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86C75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정보통신기반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보호법</w:t>
      </w:r>
    </w:p>
    <w:p w:rsidR="00000000" w:rsidRDefault="00186C75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1. 24.]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20068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1. 23.,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186C75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사이버침해대응과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044-202-6465 ,6466</w:t>
      </w:r>
    </w:p>
    <w:p w:rsidR="00000000" w:rsidRDefault="00186C75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침해행위에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안정적으로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21., 2020. 6. 9.&gt;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정보통신기반시설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국가안전보장ㆍ행정ㆍ국방ㆍ치안ㆍ금융ㆍ통신ㆍ운송ㆍ에너지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제어ㆍ관리시스템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컴퓨터바이러스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논리ㆍ메일폭탄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서비스거부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고출력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86C75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우회하여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프로그램이나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호체계</w:t>
      </w: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정보통신기반보호위원회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국무총리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정보통신기반보호위원회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국무조정실장이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2008. 2. 29., 2013. 3. 23.,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공공분야와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민간분야를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2007. 12. 21., 2018. 2. 21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., 2020. 6. 9.&gt;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주요정보통신기반시설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종합ㆍ조정에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주요정보통신기반시설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정책사항으로서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주요정보통신기반시설보호대책의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취약점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분석ㆍ평가의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백업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복구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물리적ㆍ기술적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관리대책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</w:t>
      </w:r>
      <w:r>
        <w:rPr>
          <w:rFonts w:ascii="HYSMyeongJo-Medium" w:eastAsia="HY중고딕" w:hAnsi="HYSMyeongJo-Medium" w:cs="HYSMyeongJo-Medium"/>
          <w:sz w:val="20"/>
          <w:szCs w:val="20"/>
        </w:rPr>
        <w:t>보호대책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1. 20., 2019. 12. 10.&gt;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관계중앙행정기관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</w:t>
      </w:r>
      <w:r>
        <w:rPr>
          <w:rFonts w:ascii="HYSMyeongJo-Medium" w:hAnsi="HYSMyeongJo-Medium" w:cs="HYSMyeongJo-Medium"/>
          <w:sz w:val="20"/>
          <w:szCs w:val="20"/>
        </w:rPr>
        <w:t>설보호대책은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11. 19.,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정보보호책임자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정보보호책임자의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주요정보통신기반시설보호대책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여부의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국가정보원장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국가정보원장등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주요정보통신기반시설보호대책의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주요정보통신기반시설보호계획의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관계중앙행정기관의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주요정보통신기반시설보호대책을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종합ㆍ조정하여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소관분야에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주요정보통신기반시설보호계획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수립ㆍ시행하여야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전년도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추진실적과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>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요구된다고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주요정보통신기반시설보호계획에는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20.&gt;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주요정보통신기반시설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백업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복구대책에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수립지침을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2008. 2. 29., 2013. 3. 23.,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정보보호책임관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주요정보통신기</w:t>
      </w:r>
      <w:r>
        <w:rPr>
          <w:rFonts w:ascii="HYSMyeongJo-Medium" w:hAnsi="HYSMyeongJo-Medium" w:cs="HYSMyeongJo-Medium"/>
          <w:sz w:val="20"/>
          <w:szCs w:val="20"/>
        </w:rPr>
        <w:t>반시설보호계획의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정보보호책임관의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주요정보통신기반시설보호대책의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국가안전보장이나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경제사회전반에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우려된다고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국가정보원장등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21., 2008. 2. 29., 2013. 3. 23., 2017. 7. 26., 2020. 6. 9., 2024. 1. 23.&gt;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국가안전보장에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국가안전보장에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도로ㆍ철도ㆍ지하철ㆍ공항ㆍ항만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교통시설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전력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석유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에너지ㆍ수자원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방송중계ㆍ국가지도통신망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원자력ㆍ국방과학ㆍ첨단방위산업관련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연구시설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국가정보원장은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취약점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분석</w:t>
      </w: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침해행위로부터의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10., 2020. 6. 9.&gt;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중요성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의존도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상호연계성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침해사고가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국가안전보장과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경제사회에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발생가능성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용이성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폐지ㆍ정지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관리ㆍ감독하는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행정안전부장관이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>정보통신기반시설로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2014. 11. 19.,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국가안전보장을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국가정보원장등은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2. 29., 2013. 3. 23., 2017. 7. 26., 2018. 2. 21.&gt;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</w:t>
      </w:r>
      <w:r>
        <w:rPr>
          <w:rFonts w:ascii="HYSMyeongJo-Medium" w:hAnsi="HYSMyeongJo-Medium" w:cs="HYSMyeongJo-Medium"/>
          <w:sz w:val="20"/>
          <w:szCs w:val="20"/>
        </w:rPr>
        <w:t>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취약점의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분석ㆍ평가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정기적으로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취약점을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분석ㆍ평가하여야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10.&gt;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10.&gt;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2002. 12. 18., 2007. 12. 21., 2009. 5.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22., 2013. 3. 23., 2015. 6. 22., 2019. 12. 10.&gt;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「정보통신망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한국인터넷진흥원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인터넷진흥원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정보공유ㆍ분석센터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정보공유ㆍ분석센터에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「정보보호산업의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「정부출연연구기관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한국전자통신연구원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2013. 3. 23., 2017. 7. 26., 2019. 12. 10.&gt;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10.&gt;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침해사고의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대응</w:t>
      </w: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보호지침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관계중앙행정기관의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보호지침을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해당분야의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지키도록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보호지</w:t>
      </w:r>
      <w:r>
        <w:rPr>
          <w:rFonts w:ascii="HYSMyeongJo-Medium" w:hAnsi="HYSMyeongJo-Medium" w:cs="HYSMyeongJo-Medium"/>
          <w:sz w:val="20"/>
          <w:szCs w:val="20"/>
        </w:rPr>
        <w:t>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수정ㆍ보완하여야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9.,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주요정보통신기반시설보호대책의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21.]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23.]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주요정보통신기반시설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침해행위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누구든지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접근권한을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데이터를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조작ㆍ파괴ㆍ은닉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데이터를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컴퓨터바이러스ㆍ논리폭탄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프로그램을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주요정보통신기반시설의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침해사고의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교란ㆍ마비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행정기관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수사기관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인터넷진흥원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관계기관등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관계기관등은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침해사고의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피해확산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신속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피해확산의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복구조치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신속히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</w:t>
      </w:r>
      <w:r>
        <w:rPr>
          <w:rFonts w:ascii="HYSMyeongJo-Medium" w:hAnsi="HYSMyeongJo-Medium" w:cs="HYSMyeongJo-Medium"/>
          <w:sz w:val="20"/>
          <w:szCs w:val="20"/>
        </w:rPr>
        <w:t>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국가정보원장등이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인터넷진흥원의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인터넷진흥원의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피해복구가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신속히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피해확산을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</w:t>
      </w:r>
      <w:r>
        <w:rPr>
          <w:rFonts w:ascii="HYSMyeongJo-Medium" w:hAnsi="HYSMyeongJo-Medium" w:cs="HYSMyeongJo-Medium"/>
          <w:sz w:val="20"/>
          <w:szCs w:val="20"/>
        </w:rPr>
        <w:t>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대책본부의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침해사고가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광범위하게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응급대책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기술지원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피해복구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정보통신기반침해사고대책본부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대책본부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대책본부의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대책본부장을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대책본부장은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인터넷진흥원의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대책본부의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</w:t>
      </w:r>
      <w:r>
        <w:rPr>
          <w:rFonts w:ascii="HYSMyeongJo-Medium" w:hAnsi="HYSMyeongJo-Medium" w:cs="HYSMyeongJo-Medium"/>
          <w:sz w:val="20"/>
          <w:szCs w:val="20"/>
        </w:rPr>
        <w:t>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정보공유ㆍ분석센터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금융ㆍ통신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분야별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수행하고자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정보공유ㆍ분석센터를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구축ㆍ운영할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침해요인과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대응방안에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침해사고가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경보ㆍ분석체계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정보공유ㆍ</w:t>
      </w:r>
      <w:r>
        <w:rPr>
          <w:rFonts w:ascii="HYSMyeongJo-Medium" w:hAnsi="HYSMyeongJo-Medium" w:cs="HYSMyeongJo-Medium"/>
          <w:sz w:val="20"/>
          <w:szCs w:val="20"/>
        </w:rPr>
        <w:t>분석센터의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장려하고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재정적ㆍ기술적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22.&gt;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민간협력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기술개발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전문인력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정보보호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기술개발과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민간단체로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국제협력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정부는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정보통신기반시설의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국제협력을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추진하여야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국제교류와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국제표준화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국제공동연구개발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비밀유지의무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종사하였던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2007. 12. 21., 2019. 12. 10., 2020. 6. 9.&gt;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실무위원회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주요정보통신기반시설에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복구조치와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정보공유ㆍ분석센터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</w:p>
    <w:p w:rsidR="00000000" w:rsidRDefault="00186C75">
      <w:pPr>
        <w:spacing w:line="400" w:lineRule="atLeast"/>
        <w:ind w:left="7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주요정보통신기반시설을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교란ㆍ마비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미수범은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징역</w:t>
      </w:r>
      <w:r>
        <w:rPr>
          <w:rFonts w:ascii="HYSMyeongJo-Medium" w:eastAsia="HY중고딕" w:hAnsi="HYSMyeongJo-Medium" w:cs="HYSMyeongJo-Medium"/>
          <w:sz w:val="20"/>
          <w:szCs w:val="20"/>
        </w:rPr>
        <w:t>, 10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자격정지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벌금에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186C75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관리기관의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관계중앙행정기관의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소속기관의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1. 23.&gt;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21., 2020. 6. 9., 2022. 6. 10., 2024. 1. 23.&gt;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5. 22.&gt;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6. 10., 2024. 1. 23.&gt;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86C75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취약점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분석ㆍ평가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3. 14.&gt;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3. 14.&gt;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3. 14.&gt;</w:t>
      </w:r>
    </w:p>
    <w:p w:rsidR="00000000" w:rsidRDefault="00186C75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5. 22., 2013. 3. 23., 2017. 7. 26., 2020. 6. 9., 2022. 6. 10., 2024. 1. 23.&gt;</w:t>
      </w:r>
    </w:p>
    <w:p w:rsidR="00000000" w:rsidRDefault="00186C7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86C7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86C75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186C75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20068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1. 23.&gt;</w:t>
      </w:r>
    </w:p>
    <w:p w:rsidR="00000000" w:rsidRDefault="00186C75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186C75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86C75">
      <w:r>
        <w:separator/>
      </w:r>
    </w:p>
  </w:endnote>
  <w:endnote w:type="continuationSeparator" w:id="0">
    <w:p w:rsidR="00000000" w:rsidRDefault="0018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86C7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86C75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86C75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186C75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86C75">
      <w:r>
        <w:separator/>
      </w:r>
    </w:p>
  </w:footnote>
  <w:footnote w:type="continuationSeparator" w:id="0">
    <w:p w:rsidR="00000000" w:rsidRDefault="00186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186C75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정보통신기반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보호법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75"/>
    <w:rsid w:val="001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0384205-0650-485E-8042-AFA8B4CA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2025-09-01T05:38:00Z</dcterms:created>
  <dcterms:modified xsi:type="dcterms:W3CDTF">2025-09-01T05:38:00Z</dcterms:modified>
</cp:coreProperties>
</file>