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B2B0A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정보통신산업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진흥법</w:t>
      </w:r>
      <w:r>
        <w:rPr>
          <w:rFonts w:ascii="HY중고딕" w:eastAsia="HY중고딕" w:hAnsi="Times New Roman" w:cs="HY중고딕"/>
          <w:b/>
          <w:bCs/>
          <w:color w:val="auto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</w:rPr>
        <w:t>시행령</w:t>
      </w:r>
    </w:p>
    <w:p w:rsidR="00000000" w:rsidRDefault="00CB2B0A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7. 10.]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대통령령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34657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7. 2.,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타법개정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B2B0A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과학기술정보통신부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정보통신산업정책과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044-202-6221, 6227</w:t>
      </w:r>
    </w:p>
    <w:p w:rsidR="00000000" w:rsidRDefault="00CB2B0A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지식서비스산업의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「정보통신산업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진흥법」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호라목에서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호사목에서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서비스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결합되거나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융합되는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진흥계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수립ㆍ시행하기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정보통신기술진흥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시행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정보통신기술진흥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시행계획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수립하여야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5.,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립ㆍ시행하기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단체의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대행사업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연구기관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대행사업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대행사업의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착수시기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한꺼번에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연구과제의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선정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연구과제는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기반기술에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정보통신과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통신제품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연구과제를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연구과제의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연구과제와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연구과제와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신기술의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신기술을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개발하거나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사업화하는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기술지도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획득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11. 20., 2010. 10. 1., 2013. 3. 23., 2014. 6. 25., 2017. 7. 26., 2019. 4. 2., 2019. 6. 25., 2024. 4. 30.&gt;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정보통신산업진흥원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산업진흥원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산업대학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기술대학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</w:t>
      </w:r>
      <w:r>
        <w:rPr>
          <w:rFonts w:ascii="HYSMyeongJo-Medium" w:hAnsi="HYSMyeongJo-Medium" w:cs="HYSMyeongJo-Medium"/>
          <w:sz w:val="20"/>
          <w:szCs w:val="20"/>
        </w:rPr>
        <w:t>출연연구기관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정부출연연구기관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「산업기술연구조합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산업기술연구조합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「산업기술혁신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한국산업기술진흥원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한국산업기술기획평가원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한국산업기술시험원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전문생산기술연구소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「전기통신사업법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「중소기업진흥에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중소벤처기업진흥공단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「중소기업창업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창업보육센터사업자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「특정연구기관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특정연구기관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국공립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징수ㆍ관리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협약으로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</w:t>
      </w:r>
      <w:r>
        <w:rPr>
          <w:rFonts w:ascii="HYSMyeongJo-Medium" w:eastAsia="HY중고딕" w:hAnsi="HYSMyeongJo-Medium" w:cs="HYSMyeongJo-Medium"/>
          <w:sz w:val="20"/>
          <w:szCs w:val="20"/>
        </w:rPr>
        <w:t>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기술료를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한꺼번에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한꺼번에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</w:t>
      </w:r>
      <w:r>
        <w:rPr>
          <w:rFonts w:ascii="HYSMyeongJo-Medium" w:hAnsi="HYSMyeongJo-Medium" w:cs="HYSMyeongJo-Medium"/>
          <w:sz w:val="20"/>
          <w:szCs w:val="20"/>
        </w:rPr>
        <w:t>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장려ㆍ촉진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8. 21.]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정보통신기술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정보통신기술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표준화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정보통신산업진흥단지의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단지등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정보통신산업진흥단지로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단지등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2009. 11. 20., 2010. 7. 12., 2013.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3. 23., 2014. 12. 30., 2017. 7. 26., 2020. 12. 8., 2024. 7. 2.&gt;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「물류시설의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물류단지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신기술창업집적지역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벤처기업집적시설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「산업입지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국가산업단지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일반산업단지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도시첨단산업단지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「산업집적활성화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공장설립에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지식산업센터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지식기반산업집적지구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「소프트웨어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소프트웨어진흥단지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「중소기업진흥에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단지조성사업의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단지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지역개발사업구역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1273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지역개발사업구역으로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「지역균형개발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지역종합개발지구만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단지등이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가능성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정보통신산업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진흥단지에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진흥단지에서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활성화를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산업기반시설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공동지원시설의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산업계ㆍ학계ㆍ연구계의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육성하고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기술지도의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대상ㆍ내용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기술지도의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채택ㆍ응용ㆍ개발에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정보통신제품의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생산기술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정보통신제품의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정보통신제품의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표준공법에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정보통신제</w:t>
      </w:r>
      <w:r>
        <w:rPr>
          <w:rFonts w:ascii="HYSMyeongJo-Medium" w:hAnsi="HYSMyeongJo-Medium" w:cs="HYSMyeongJo-Medium"/>
          <w:sz w:val="20"/>
          <w:szCs w:val="20"/>
        </w:rPr>
        <w:t>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품질보증에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기술지도의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기술정보의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기술훈련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해외기술협력의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기술전수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산업진흥원의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정보통신기술의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정보통신기술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정보통신표준화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정보통신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연구기반조성사업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지원사업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15.&gt;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산업진흥원의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산업진흥원이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하려면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수익사업계획서를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산업진흥원이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</w:t>
      </w:r>
      <w:r>
        <w:rPr>
          <w:rFonts w:ascii="HYSMyeongJo-Medium" w:hAnsi="HYSMyeongJo-Medium" w:cs="HYSMyeongJo-Medium"/>
          <w:sz w:val="20"/>
          <w:szCs w:val="20"/>
        </w:rPr>
        <w:t>적서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15.&gt;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연구개발부담금의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10. 1., 2011. 4. 5., 2019. 6. 25., 2021. 1. 5.&gt;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통신망을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「전기통신사업법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미보유사업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미보유사업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회선설비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미보유사업으로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매출액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연구개발부담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부담금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밝혀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한국은행에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징수대상자에게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</w:t>
      </w:r>
      <w:r>
        <w:rPr>
          <w:rFonts w:ascii="HYSMyeongJo-Medium" w:hAnsi="HYSMyeongJo-Medium" w:cs="HYSMyeongJo-Medium"/>
          <w:sz w:val="20"/>
          <w:szCs w:val="20"/>
        </w:rPr>
        <w:t>술정보통신부장관에게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5.,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5.,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5.,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부담금의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징수대상자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전년도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300</w:t>
      </w:r>
      <w:r>
        <w:rPr>
          <w:rFonts w:ascii="HYSMyeongJo-Medium" w:eastAsia="HY중고딕" w:hAnsi="HYSMyeongJo-Medium" w:cs="HYSMyeongJo-Medium"/>
          <w:sz w:val="20"/>
          <w:szCs w:val="20"/>
        </w:rPr>
        <w:t>억원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미만이거나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당기순손실이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당기순이익의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전기통신사업자에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납부기한이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주일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4. 5.&gt;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부담금의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중가산금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중가산금을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운용ㆍ관리에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정보통신진흥기금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운용ㆍ관리에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「전파법」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한국방송통신전파진흥원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전파진흥원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위탁한다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2015. 12. 15.,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전파진흥원이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「은행법」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대출금리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기금계정의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명확히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한국은행에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기금계정을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회계기관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기금수입징수관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기금재무관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기금지출관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기금출납공무원을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기금지출원인행위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기금지출직원과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기금출납직원을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기금수입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기금수입징수관의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기금지출원인행위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기금재무관의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기금지출직원은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기금지출관의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기금출납직원은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금출납공무원의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운용ㆍ관리규정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운용ㆍ관리에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기금운용ㆍ관리규정을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기금운용ㆍ관리규정을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기금운용심의회의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운용ㆍ관리에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「국가재정법」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기금운용심의회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심의회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기금운용계획안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기금운용계획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결산보고서의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운용계획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「국가재정법」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자산운용지침의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중요사항이라고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심의회의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2013. 10. 16., 2015. 12. 15.,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과학기술정보통신부의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일반직공무원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5.&gt;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전파진흥원의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산업통상자원부장관이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차례만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직무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</w:t>
      </w:r>
      <w:r>
        <w:rPr>
          <w:rFonts w:ascii="HYSMyeongJo-Medium" w:hAnsi="HYSMyeongJo-Medium" w:cs="HYSMyeongJo-Medium"/>
          <w:sz w:val="20"/>
          <w:szCs w:val="20"/>
        </w:rPr>
        <w:t>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소집하고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開議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운용ㆍ관리를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수당과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운영세칙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권한의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위임ㆍ위탁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&lt;2013. 3. 23.&gt;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산업진흥원에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</w:p>
    <w:p w:rsidR="00000000" w:rsidRDefault="00CB2B0A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22.&gt;</w:t>
      </w: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부과기준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부과기준은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B2B0A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재검토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과학기술정보통신부장관은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21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감면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2012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31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검토하여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완화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3. 23., 2017. 7. 26.&gt;</w:t>
      </w:r>
    </w:p>
    <w:p w:rsidR="00000000" w:rsidRDefault="00CB2B0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B2B0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B2B0A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B2B0A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34657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,2024. 7. 2.&gt;(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벤처기업육성에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관한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특별법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시행령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)</w:t>
      </w:r>
    </w:p>
    <w:p w:rsidR="00000000" w:rsidRDefault="00CB2B0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2024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7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 &lt;</w:t>
      </w:r>
      <w:r>
        <w:rPr>
          <w:rFonts w:ascii="HYSMyeongJo-Medium" w:eastAsia="HY중고딕" w:hAnsi="HYSMyeongJo-Medium" w:cs="HYSMyeongJo-Medium"/>
          <w:sz w:val="20"/>
          <w:szCs w:val="20"/>
        </w:rPr>
        <w:t>단서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  <w:r>
        <w:rPr>
          <w:rFonts w:ascii="HYSMyeongJo-Medium" w:eastAsia="HY중고딕" w:hAnsi="HYSMyeongJo-Medium" w:cs="HYSMyeongJo-Medium"/>
          <w:sz w:val="20"/>
          <w:szCs w:val="20"/>
        </w:rPr>
        <w:t>&gt;</w:t>
      </w:r>
    </w:p>
    <w:p w:rsidR="00000000" w:rsidRDefault="00CB2B0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MS Gothic" w:eastAsia="MS Gothic" w:hAnsi="MS Gothic" w:cs="MS Gothic" w:hint="eastAsia"/>
          <w:sz w:val="20"/>
          <w:szCs w:val="20"/>
        </w:rPr>
        <w:t>㉛</w:t>
      </w:r>
      <w:r>
        <w:rPr>
          <w:rFonts w:ascii="HY중고딕" w:eastAsia="HY중고딕" w:hAnsi="HY중고딕" w:cs="HY중고딕" w:hint="eastAsia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「벤처기업육성에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B2B0A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MS Gothic" w:eastAsia="MS Gothic" w:hAnsi="MS Gothic" w:cs="MS Gothic" w:hint="eastAsia"/>
          <w:sz w:val="20"/>
          <w:szCs w:val="20"/>
        </w:rPr>
        <w:t>㉝</w:t>
      </w:r>
      <w:r>
        <w:rPr>
          <w:rFonts w:ascii="맑은 고딕" w:eastAsia="맑은 고딕" w:hAnsi="맑은 고딕" w:cs="맑은 고딕" w:hint="eastAsia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&lt;55&gt;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생략</w:t>
      </w:r>
    </w:p>
    <w:p w:rsidR="00000000" w:rsidRDefault="00CB2B0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생략</w:t>
      </w:r>
    </w:p>
    <w:p w:rsidR="00000000" w:rsidRDefault="00CB2B0A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B2B0A">
      <w:r>
        <w:separator/>
      </w:r>
    </w:p>
  </w:endnote>
  <w:endnote w:type="continuationSeparator" w:id="0">
    <w:p w:rsidR="00000000" w:rsidRDefault="00CB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B2B0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B2B0A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B2B0A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B2B0A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B2B0A">
      <w:r>
        <w:separator/>
      </w:r>
    </w:p>
  </w:footnote>
  <w:footnote w:type="continuationSeparator" w:id="0">
    <w:p w:rsidR="00000000" w:rsidRDefault="00CB2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B2B0A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정보통신산업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진흥법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시행령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0A"/>
    <w:rsid w:val="00CB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FB0BAEB-383A-48AF-A378-C096BBC1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2025-09-01T05:39:00Z</dcterms:created>
  <dcterms:modified xsi:type="dcterms:W3CDTF">2025-09-01T05:39:00Z</dcterms:modified>
</cp:coreProperties>
</file>