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85340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중소기업진흥에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중소기업진흥법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:rsidR="00000000" w:rsidRDefault="00A8534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10.]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19990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1. 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A8534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중소벤처기업부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중소기업제도과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044-204-7576</w:t>
      </w:r>
    </w:p>
    <w:p w:rsidR="00000000" w:rsidRDefault="00A8534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중소벤처기업부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기업금융과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중소벤처기업진흥공단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기금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044-204-7522,7524</w:t>
      </w:r>
    </w:p>
    <w:p w:rsidR="00000000" w:rsidRDefault="00A8534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중소벤처기업부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기업금융과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매출채권보험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044-204-7523</w:t>
      </w:r>
    </w:p>
    <w:p w:rsidR="00000000" w:rsidRDefault="00A8534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강화하고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27., 2012. 12. 11., 2015. 1. 28., 2015. 5. 18., 2016. 3. 29., 2018. 12. 31., 2020. 3. 24., 2023. 1. 3., 2024. 1. 9.&gt;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「중소기업기본법」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「중소기업협동조합법」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중소기업협동조합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「산업기술연구조합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산업기술연구조</w:t>
      </w:r>
      <w:r>
        <w:rPr>
          <w:rFonts w:ascii="HYSMyeongJo-Medium" w:hAnsi="HYSMyeongJo-Medium" w:cs="HYSMyeongJo-Medium"/>
          <w:sz w:val="20"/>
          <w:szCs w:val="20"/>
        </w:rPr>
        <w:t>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소기업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「중소기업기본법」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벤처기업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「벤처기업육성에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벤처기업을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생산공정을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중소기</w:t>
      </w:r>
      <w:r>
        <w:rPr>
          <w:rFonts w:ascii="HYSMyeongJo-Medium" w:hAnsi="HYSMyeongJo-Medium" w:cs="HYSMyeongJo-Medium"/>
          <w:sz w:val="20"/>
          <w:szCs w:val="20"/>
        </w:rPr>
        <w:t>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정보화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제어장치를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중소기업자가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생산ㆍ판매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사업전환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사업전환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사업전환을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협동화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집단화하는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생산설비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연구개발설비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환경오염방지시설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원자재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물류현대화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도모하고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물류비용을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3. 29.&gt;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협업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원자재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생산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상호보완적으로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개발ㆍ생산ㆍ판매하거나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「중견기업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</w:t>
      </w:r>
    </w:p>
    <w:p w:rsidR="00000000" w:rsidRDefault="00A8534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가업승계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가업승계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기업유지기간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명문장수기업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크고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사회적책임경영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의사결정과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윤리적인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고도화</w:t>
      </w: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구조고도화지원계획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어려움을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해소하고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경영기법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생산방법의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공동사업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사업장의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특별시장ㆍ광역시장ㆍ특별자치시장ㆍ도지사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구조고도화지원계획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</w:t>
      </w:r>
      <w:r>
        <w:rPr>
          <w:rFonts w:ascii="HYSMyeongJo-Medium" w:hAnsi="HYSMyeongJo-Medium" w:cs="HYSMyeongJo-Medium"/>
          <w:sz w:val="20"/>
          <w:szCs w:val="20"/>
        </w:rPr>
        <w:t>공단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중소벤처기업진흥공단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구조고도화지원계획의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구조고도화지원계획에는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경영과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구조고도화지원계획의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자동화지원사업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자동화설비의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생산업체와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엔지니어링사업자를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자동화지원사업을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12.,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자동화지원사업으로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시범사업과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표준화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서로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</w:t>
      </w:r>
      <w:r>
        <w:rPr>
          <w:rFonts w:ascii="HYSMyeongJo-Medium" w:eastAsia="HY중고딕" w:hAnsi="HYSMyeongJo-Medium" w:cs="HYSMyeongJo-Medium"/>
          <w:sz w:val="20"/>
          <w:szCs w:val="20"/>
        </w:rPr>
        <w:t>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2023. 1. 3.&gt;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2023. 1. 3.&gt;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파견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경영기반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확충</w:t>
      </w: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협동화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협동화기준의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집단화와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시설공동화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협동화기준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협동화기준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협동화기준을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협동화실천계획의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협동화기준에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협동화실천계획을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협동화기준에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협동화실천계획을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협동화실천계획에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형질변경이나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기반시설공사를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단지조성사업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단지조성사업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서울특별시ㆍ광역시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인구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7. 26., 2018. 12. 31., 2021. 1. 12.&gt;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승인ㆍ변경승인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2023. 1. 3.&gt;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협동화실천계획의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협동화실천계획의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협동화실천계획의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협동화실천계획의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지원자금의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원리금을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지원자금의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원리금을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5. 18.,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협동화실천계획의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협동화실천계획을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협동화실천</w:t>
      </w:r>
      <w:r>
        <w:rPr>
          <w:rFonts w:ascii="HYSMyeongJo-Medium" w:hAnsi="HYSMyeongJo-Medium" w:cs="HYSMyeongJo-Medium"/>
          <w:sz w:val="20"/>
          <w:szCs w:val="20"/>
        </w:rPr>
        <w:t>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단지조성사업의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실시계획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협동화실천계획의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단지조성사업을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단지조성사업의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실시계획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8. 2. 29., 2013. 3. 23., 2016. 3. 29.,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중소기업자등이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협동화사업을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단지조성의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국토ㆍ산업ㆍ환경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국가계획과의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연계성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중소기업자등이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공업용지를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</w:t>
      </w:r>
      <w:r>
        <w:rPr>
          <w:rFonts w:ascii="HYSMyeongJo-Medium" w:hAnsi="HYSMyeongJo-Medium" w:cs="HYSMyeongJo-Medium"/>
          <w:sz w:val="20"/>
          <w:szCs w:val="20"/>
        </w:rPr>
        <w:t>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단지조성사업의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준공인가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단지조성사업을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준공인가를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29., 2013. 3. 23.,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중소기업자등은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단지조성사업으로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공장용지나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단지조성사업을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토지ㆍ건물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토지ㆍ건물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광업권ㆍ어업권ㆍ양식업권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토지등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收用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31., 2019. 8. 27.&gt;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사업인정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事業認定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단지조성사업을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立木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ㆍ토석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土石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국유지와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공유지의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실시계획이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공유지는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「국유재산법」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「지방재정법」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수의계약으로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국가와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</w:t>
      </w:r>
      <w:r>
        <w:rPr>
          <w:rFonts w:ascii="HYSMyeongJo-Medium" w:hAnsi="HYSMyeongJo-Medium" w:cs="HYSMyeongJo-Medium"/>
          <w:sz w:val="20"/>
          <w:szCs w:val="20"/>
        </w:rPr>
        <w:t>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진입도로의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단지조성사업을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「산업입지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협업지원사업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5. 18.&gt;</w:t>
      </w: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5. 18.&gt;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5. 18.&gt;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협업지원사업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협업지원사업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5. 18.,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협업자금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기술개발자금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판로개척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18.]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협업기업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구체적인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협업지원사업의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협업지원사업의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협업기업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협업기업의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휴업ㆍ폐업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어렵다고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협업기업의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18.]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전담기관의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협업지원사업을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협업지원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전담기관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전담기관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협업지원사업의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18.]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전담기관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전담기관이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</w:t>
      </w:r>
      <w:r>
        <w:rPr>
          <w:rFonts w:ascii="HYSMyeongJo-Medium" w:hAnsi="HYSMyeongJo-Medium" w:cs="HYSMyeongJo-Medium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18.]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이행실적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협업기업의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5. 18.,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지원사업과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환경오염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低減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지원사업</w:t>
      </w: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공장입지의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12., 2017. 7. 26., 2018. 12. 31.&gt;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「산업입지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산업단지개발사업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단지조성사업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「산업집적활성화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지식산업센터의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환경오염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저감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환경오염을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줄이기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생산공정을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저공해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환경오염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환경오염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연수사업</w:t>
      </w: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기술지도에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지도계획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세우고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지도실시기관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기술지도를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지도실시기관을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지도실시기관의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지도기준의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기술지도에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불성실ㆍ불공정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제재사항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기술지도를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지도계획에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「경영지도사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기술지도사에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2020. 4. 7.&gt;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연수계획의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경영능력과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기술수준의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연수계</w:t>
      </w:r>
      <w:r>
        <w:rPr>
          <w:rFonts w:ascii="HYSMyeongJo-Medium" w:eastAsia="HY중고딕" w:hAnsi="HYSMyeongJo-Medium" w:cs="HYSMyeongJo-Medium"/>
          <w:sz w:val="20"/>
          <w:szCs w:val="20"/>
        </w:rPr>
        <w:t>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연수계획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세워야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연수실시기관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연수계획에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국제화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국제화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산업기술능력에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생산시설의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해외이전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생산시설을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19., 2010. 4. 5., 2018. 12. 31.&gt;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「한국수출입은행법」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해외투자자금의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「대외경제협력기금법」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대외경제협력기금에서의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「무역보험법」에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해외투자보험의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중소벤처기업창업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진흥기금에서의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생산시설의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경영안정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000000" w:rsidRDefault="00A85340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경영정상화의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어려움을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겪고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겪을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경영정상화를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2023. 9. 14.&gt;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일시적인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원자재의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노사분규로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조업중단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산업구조의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사업ㆍ재무ㆍ조직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구조개선이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경영정상화를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경영건전성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지원시스템의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경영건전성을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경영위기를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성장ㆍ발전을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>원하는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맞춤식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문제해결체계인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경영건전성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지원시스템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지원시스템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긴급경영안정지원계획의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수립ㆍ시행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「재난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경제여건의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경영안정을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긴급경영안정지원계획을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2022. 6. 10.&gt;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긴급경영안정지원계획에는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자금ㆍ입지ㆍ인력지원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긴급경영안정지원을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긴급경영안정지원계획을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중소기업매출채권보험계정의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호가목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상행위와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약속어음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환어음의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매출채권에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채무불이행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연쇄도산의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「신용보증기금법」에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신용보증기금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신용보증기금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중소기업매출채권보험계정을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3. 29.&gt;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중소기업매출채권보험계정에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출연금ㆍ보험료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수입ㆍ운용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보험계약자의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재원ㆍ용도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중소기업매출채권보험계정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계정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중소기업매출채권보험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보험료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계정의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부대수입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중소기업매출채권보험금의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계정재산의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여유금은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금융기관에의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정부ㆍ지방자치단체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신용보증기금은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신용보증기금은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신용보증기금은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결산보고서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재무상태표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책임준비금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신용보증기금은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결산기마다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책임준비금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비상위험준비금을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計上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비상위험준비금의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손익금의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보전하고도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업무방법서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신용보증기금은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업무방법서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얻어야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보험료율에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보험계약의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보험금의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운용ㆍ관리에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중소기업매출채권보험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중소기업매출채권보험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출연금과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17</w:t>
      </w:r>
      <w:r>
        <w:rPr>
          <w:rFonts w:ascii="HYSMyeongJo-Medium" w:eastAsia="HY중고딕" w:hAnsi="HYSMyeongJo-Medium" w:cs="HYSMyeongJo-Medium"/>
          <w:sz w:val="20"/>
          <w:szCs w:val="20"/>
        </w:rPr>
        <w:t>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민속공예산업에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민속공예산업을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경영안정을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가업승계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27.&gt;</w:t>
      </w: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가업승계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가업승계를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세제지원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중소기업가업승계지원센터의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가업승계를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기관이</w:t>
      </w:r>
      <w:r>
        <w:rPr>
          <w:rFonts w:ascii="HYSMyeongJo-Medium" w:eastAsia="HY중고딕" w:hAnsi="HYSMyeongJo-Medium" w:cs="HYSMyeongJo-Medium"/>
          <w:sz w:val="20"/>
          <w:szCs w:val="20"/>
        </w:rPr>
        <w:t>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중소기업가업승계지원센터로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3. 29.,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중소기업가업승계지원센터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지원센터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29.,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가업승계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가업승계에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컨설팅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가업승계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선진제도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가업승계에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가업승계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지정절차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명문장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명문장수기업은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건설업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금융업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연금업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서비스업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갖추어야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경제적ㆍ사회적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브랜드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총매출액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명문장수기업의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명문장수기업으로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확인받고자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명문장수기업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명문장수기업에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명문장수기업확인서를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명문장수기업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명문장수기업이라는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명문장수기업의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명문장수기업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명문장수기업으로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명문장수기업의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명문장수기업의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명문장수기업의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사회적책임경영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11.&gt;</w:t>
      </w: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사회적책임경영의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거래처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고객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지역사회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사회적책임경영을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11.]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사회적책임경영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중소기업육성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사회적책임경영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체계적으로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사회적책임경영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중소기업육성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「산업발전법」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지속가능경영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사회적책임경영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기본방향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목표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사회적책임경영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사회적책임경영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사회적책임경영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사회적책임경영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연차별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사회적책임경영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중소기업지원센터의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사회적책임경영을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사회적책임경영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중소기업지원센터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책임경영지원센터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책임경영지원센터는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013. 3. 23.,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사회적책임경영에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사회적책임경영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사회적책임경영에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인식제고를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사회적책임경영에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컨설팅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사회적책임경영의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책임경영지원센터에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</w:t>
      </w:r>
      <w:r>
        <w:rPr>
          <w:rFonts w:ascii="HYSMyeongJo-Medium" w:hAnsi="HYSMyeongJo-Medium" w:cs="HYSMyeongJo-Medium"/>
          <w:sz w:val="20"/>
          <w:szCs w:val="20"/>
        </w:rPr>
        <w:t>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책임경영지원센터가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책임경영지원센터의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11.]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소기업에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3. 29.&gt;</w:t>
      </w: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공장설립에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「산업집적활성화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공장설립에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건축면적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제곱미터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「부가가치세법」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사업자등록증은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「산업집적활성화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공장설립에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공장등록을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하였음을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「산업집적활성화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「수도권정비계획법」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신축ㆍ증축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신축ㆍ증축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총건축면적과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총면적의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천제곱미터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「농지법」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농지보전부담금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「산지관리법」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대체산림자원조성비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「개발이익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개발부담금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「산업입지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국가산업단지ㆍ일반산업단지ㆍ도시첨단산업단지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농공단지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農工團地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소기업을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국가산업단지ㆍ일반산업단지ㆍ도시첨단산업단지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농공단지를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소기업에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신용보증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지원시책의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수립ㆍ시행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추진하기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신용보증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유한회사인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소기업에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경영안정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경영안정을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경영상담ㆍ자문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立地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3. 29.&gt;]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&lt;2021. 7. 27.&gt;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중소벤처기업창업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중소벤처기업창업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산업기반의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구조고도화에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중소벤처기업창업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진흥기금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19.,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19., 2018. 12. 31.]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융자금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융자금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「복권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수익금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「공공자금관리기금법」에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공공자금관리기금에서의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예수금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豫受金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수익금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세출예산에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포함시켜야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기획재정부장관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30.&gt;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원금은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운용과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운용ㆍ관리한다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19.&gt;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19.&gt;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19.&gt;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기금운용계획에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27., 2008. 12. 19.&gt;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운용ㆍ관리하는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지배구조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재무건전성을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10., 2022. 6. 10.&gt;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기금운용계획안의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「국가재정법」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기금운용계획안을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기금운용계획안이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</w:t>
      </w:r>
      <w:r>
        <w:rPr>
          <w:rFonts w:ascii="HYSMyeongJo-Medium" w:eastAsia="HY중고딕" w:hAnsi="HYSMyeongJo-Medium" w:cs="HYSMyeongJo-Medium"/>
          <w:sz w:val="20"/>
          <w:szCs w:val="20"/>
        </w:rPr>
        <w:t>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2008. 12. 19.,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「국가재정법」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기금결산보고서를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이월손실금의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충당하고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나머지는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30.&gt;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2008. 12. 19., 2012. 1. 17., 2016. 3.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29., 2017. 7. 26., 2018. 12. 31., 2020. 2. 11., 2021. 7. 27., 2021. 12. 28., 2022. 6. 10., 2023. 1. 3., 2023. 3. 28., 2023. 6. 20.&gt;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「중소기업창업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창업보육센터사업자와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「벤처투자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벤처투자회사에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「벤처투자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벤처투자조합에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「중소기업창업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중소기업상담회사에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중소기업ㆍ벤처기업의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중소기업제품ㆍ벤처기업제품의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</w:t>
      </w:r>
      <w:r>
        <w:rPr>
          <w:rFonts w:ascii="HYSMyeongJo-Medium" w:hAnsi="HYSMyeongJo-Medium" w:cs="HYSMyeongJo-Medium"/>
          <w:sz w:val="20"/>
          <w:szCs w:val="20"/>
        </w:rPr>
        <w:t>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물류현대화의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협업사업의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입지지원과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환경오염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줄이기를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지도ㆍ연수사업과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전문기술인력의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중소기업ㆍ벤처기업의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중소기업ㆍ벤처기업이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중소기업ㆍ벤처기업진흥을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21. </w:t>
      </w:r>
      <w:r>
        <w:rPr>
          <w:rFonts w:ascii="HYSMyeongJo-Medium" w:hAnsi="HYSMyeongJo-Medium" w:cs="HYSMyeongJo-Medium"/>
          <w:sz w:val="20"/>
          <w:szCs w:val="20"/>
        </w:rPr>
        <w:t>중소기업ㆍ벤처기업의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지배구조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22.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>구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23. </w:t>
      </w:r>
      <w:r>
        <w:rPr>
          <w:rFonts w:ascii="HYSMyeongJo-Medium" w:hAnsi="HYSMyeongJo-Medium" w:cs="HYSMyeongJo-Medium"/>
          <w:sz w:val="20"/>
          <w:szCs w:val="20"/>
        </w:rPr>
        <w:t>「지역중소기업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24. </w:t>
      </w:r>
      <w:r>
        <w:rPr>
          <w:rFonts w:ascii="HYSMyeongJo-Medium" w:hAnsi="HYSMyeongJo-Medium" w:cs="HYSMyeongJo-Medium"/>
          <w:sz w:val="20"/>
          <w:szCs w:val="20"/>
        </w:rPr>
        <w:t>「산업발전법」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딸린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19.&gt;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19.&gt;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운영ㆍ관리와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중소벤처기업진흥공단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중소벤처기업진흥공단의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자동화지원센터와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정보화지원센터를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중소벤처기업진흥공단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정부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중소벤처기업진흥공단에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중소기업제품ㆍ벤처기업제품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판매회사의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</w:t>
      </w:r>
      <w:r>
        <w:rPr>
          <w:rFonts w:ascii="HYSMyeongJo-Medium" w:eastAsia="HY중고딕" w:hAnsi="HYSMyeongJo-Medium" w:cs="HYSMyeongJo-Medium"/>
          <w:sz w:val="20"/>
          <w:szCs w:val="20"/>
        </w:rPr>
        <w:t>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중소기업제품ㆍ벤처기업제품에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「유통산업발전법」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대규모점포로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운영위원회와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공고의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규약과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중소벤처기업진흥공단이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운영위원회는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명과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非常勤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이사장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부이사장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이사회는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부이사장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이사장의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대표권제한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이사장은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>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11.]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&lt;2012. 12. 11.&gt;]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비밀누설의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임직원으로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근무하였던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도용하여서는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&lt;2012. 12. 11.&gt;]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21., 2017. 7. 26., 2018. 12. 31., 2023. 1. 3., 2023. 3. 28.&gt;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자동화의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정보화의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기술개발의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사업전환의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중소기업제품ㆍ벤처기업제품의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연계생산의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물류현대화의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협동화사업의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토지ㆍ건물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협업사업의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중소기업ㆍ벤처기업의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농공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환경오염을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경영과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민간이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경영ㆍ기술전문지도기관ㆍ단체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기술도입과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>보급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중소기업ㆍ벤처기업의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전문기술인력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핵심인력에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성과보상공제사업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국외투자와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중소기업ㆍ벤처기업의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중소기업ㆍ벤처기업이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중소기업제품ㆍ벤처기업제품의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중소기업ㆍ벤처기업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21.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수집ㆍ보급과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딸린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중소기업ㆍ벤처기업에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연대보증채무의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감경ㆍ면제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「채무자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</w:t>
      </w:r>
      <w:r>
        <w:rPr>
          <w:rFonts w:ascii="HYSMyeongJo-Medium" w:eastAsia="HY중고딕" w:hAnsi="HYSMyeongJo-Medium" w:cs="HYSMyeongJo-Medium"/>
          <w:sz w:val="20"/>
          <w:szCs w:val="20"/>
        </w:rPr>
        <w:t>업진흥공단인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이루어지는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중소기업ㆍ벤처기업이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회생계획인가결정을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면책결정을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주채무가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연대보증채무도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11.]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</w:t>
      </w:r>
      <w:r>
        <w:rPr>
          <w:rFonts w:ascii="HYSMyeongJo-Medium" w:eastAsia="HY중고딕" w:hAnsi="HYSMyeongJo-Medium" w:cs="HYSMyeongJo-Medium"/>
          <w:sz w:val="20"/>
          <w:szCs w:val="20"/>
        </w:rPr>
        <w:t>내외로부터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「국민연금법」에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국민연금공단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「국민건강보험법」에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국민건강보험공단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「산업재해보상보험법」에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근로복지공단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11.]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총지출을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중소벤처기업진흥공단이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>소벤처기업진흥공단은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중소벤처기업진흥공단은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회계연도마다의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이월손실금의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나머지는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지도ㆍ감독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</w:t>
      </w:r>
      <w:r>
        <w:rPr>
          <w:rFonts w:ascii="HYSMyeongJo-Medium" w:eastAsia="HY중고딕" w:hAnsi="HYSMyeongJo-Medium" w:cs="HYSMyeongJo-Medium"/>
          <w:sz w:val="20"/>
          <w:szCs w:val="20"/>
        </w:rPr>
        <w:t>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지도ㆍ감독하며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중소벤처기업진흥공단에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중소벤처기업진흥공단에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</w:t>
      </w:r>
      <w:r>
        <w:rPr>
          <w:rFonts w:ascii="HYSMyeongJo-Medium" w:eastAsia="HY중고딕" w:hAnsi="HYSMyeongJo-Medium" w:cs="HYSMyeongJo-Medium"/>
          <w:sz w:val="20"/>
          <w:szCs w:val="20"/>
        </w:rPr>
        <w:t>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장부ㆍ서류나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21.,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정책정보시스템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정책정보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인증에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분류ㆍ제공하는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정책정보시스템을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2017. 7. 26., 2023. 9. 14.&gt;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정책정보시스템에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등록ㆍ갱신될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9. 14.&gt;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정책정보시스템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2023. 9. 14.&gt;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현황정보시스템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종업원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지원내용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수집ㆍ이용하는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현황정보시스템을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법인ㆍ단체는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경영기반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세제상의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3. 29.&gt;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「지역중소기업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혁신촉진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중소기업특별지원지역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「지방세특례제한법」에서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29., 2020. 3. 24., 2021. 7. 27.&gt;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단지조성사업의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면허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승인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인ㆍ허가등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실시계획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인ㆍ허가등의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27., 2008. 3. 21., 2009. 6. 9., 2010. 4. 15., 2010. 5. 31., 2014. 1. 14., 2014. 6. 3., 2016. 12. 27., 2020. 1. 29., 2021. 7. 20., 2022. 12. 27.&gt;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형질변경허가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도시계획시설사업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「수도법」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「하수도법」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공공하수도공사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「공유수면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공유수면의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점용ㆍ사용허가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점용ㆍ사용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승인ㆍ신고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HYSMyeongJo-Medium" w:hAnsi="HYSMyeongJo-Medium" w:cs="HYSMyeongJo-Medium"/>
          <w:sz w:val="20"/>
          <w:szCs w:val="20"/>
        </w:rPr>
        <w:t>항만법」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항만개발사업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항만개발사업실시계획의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「하천법」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하천공사시행의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점용허가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도로공사시행의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도로점용의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「농지법」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허가ㆍ협의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「산지관리법」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산지전용허가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산지전용신고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산지일시사용허가ㆍ신고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「산림자원의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입목벌채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허가ㆍ신고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「사방사업법」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「초지법」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초지전용허가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「사도법」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私道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개설허가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「공간정보의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「</w:t>
      </w:r>
      <w:r>
        <w:rPr>
          <w:rFonts w:ascii="HYSMyeongJo-Medium" w:hAnsi="HYSMyeongJo-Medium" w:cs="HYSMyeongJo-Medium"/>
          <w:sz w:val="20"/>
          <w:szCs w:val="20"/>
        </w:rPr>
        <w:t>광업법」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광업권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「장사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改葬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허가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「농어촌정비법」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농업생산기반시설의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사용허가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실시계획이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「산업집적활성화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유치지역으로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중소기업자등이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단지조성사업의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연수실시기관에서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공업표준화와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「산업표준화법」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위임ㆍ위탁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중소기업중앙회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21., 2015. 5. 18., 2016. 3. 29., 2017. 7. 26., 2018. 12. 31.&gt;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18., 2018. 12. 31.&gt;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중소기업중앙회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전담기관에서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협업지원사업의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</w:t>
      </w:r>
      <w:r>
        <w:rPr>
          <w:rFonts w:ascii="HYSMyeongJo-Medium" w:hAnsi="HYSMyeongJo-Medium" w:cs="HYSMyeongJo-Medium"/>
          <w:sz w:val="20"/>
          <w:szCs w:val="20"/>
        </w:rPr>
        <w:t>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협동화실천계획의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2015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18.]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A8534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27., 2012. 12. 11., 2017. 3. 21.&gt;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5. 21.&gt;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19.&gt;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19.&gt;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A8534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명문장수기업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명문장수기업이라는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3. 29.&gt;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19., 2016. 3. 29., 2018. 12. 31.&gt;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4. 7.&gt;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A8534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3. 29., 2017. 7. 26.&gt;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19.&gt;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12. 19.&gt;</w:t>
      </w:r>
    </w:p>
    <w:p w:rsidR="00000000" w:rsidRDefault="00A8534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A8534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A8534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A85340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19990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1. 9.&gt;(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벤처기업육성에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관한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특별법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:rsidR="00000000" w:rsidRDefault="00A8534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㉞</w:t>
      </w:r>
      <w:r>
        <w:rPr>
          <w:rFonts w:ascii="HY중고딕" w:eastAsia="HY중고딕" w:hAnsi="HY중고딕" w:cs="HY중고딕" w:hint="eastAsia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㉟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벤처기업육성에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벤처기업육성에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A8534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:rsidR="00000000" w:rsidRDefault="00A8534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000000" w:rsidRDefault="00A8534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85340">
      <w:r>
        <w:separator/>
      </w:r>
    </w:p>
  </w:endnote>
  <w:endnote w:type="continuationSeparator" w:id="0">
    <w:p w:rsidR="00000000" w:rsidRDefault="00A8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A85340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A8534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A8534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A85340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85340">
      <w:r>
        <w:separator/>
      </w:r>
    </w:p>
  </w:footnote>
  <w:footnote w:type="continuationSeparator" w:id="0">
    <w:p w:rsidR="00000000" w:rsidRDefault="00A85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8534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중소기업진흥에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40"/>
    <w:rsid w:val="00A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6C67220-25AF-4CB7-8F59-436F36FC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5173</Words>
  <Characters>29488</Characters>
  <Application>Microsoft Office Word</Application>
  <DocSecurity>0</DocSecurity>
  <Lines>245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2025-09-01T05:43:00Z</dcterms:created>
  <dcterms:modified xsi:type="dcterms:W3CDTF">2025-09-01T05:43:00Z</dcterms:modified>
</cp:coreProperties>
</file>