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535F6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클라우드컴퓨팅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발전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보호에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proofErr w:type="gramStart"/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proofErr w:type="gramEnd"/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C535F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20732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1. </w:t>
      </w:r>
      <w:proofErr w:type="gramStart"/>
      <w:r>
        <w:rPr>
          <w:rFonts w:ascii="HYSMyeongJo-Medium" w:hAnsi="HYSMyeongJo-Medium" w:cs="HYSMyeongJo-Medium"/>
          <w:color w:val="0000FF"/>
          <w:sz w:val="20"/>
          <w:szCs w:val="20"/>
        </w:rPr>
        <w:t>31.,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535F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인터넷진흥과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044-202-6286, 6366</w:t>
      </w:r>
    </w:p>
    <w:p w:rsidR="00000000" w:rsidRDefault="00C535F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사이버침해대응과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신뢰성확보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및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이용자보호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관련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044-202-6467, 6468</w:t>
      </w:r>
    </w:p>
    <w:p w:rsidR="00000000" w:rsidRDefault="00C535F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(Cloud Computing)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</w:t>
      </w:r>
      <w:r>
        <w:rPr>
          <w:rFonts w:ascii="HYSMyeongJo-Medium" w:hAnsi="HYSMyeongJo-Medium" w:cs="HYSMyeongJo-Medium"/>
          <w:sz w:val="20"/>
          <w:szCs w:val="20"/>
        </w:rPr>
        <w:t>적ㆍ공유된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정보통신설비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정보통신자원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클라우드컴퓨팅기술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가상화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분산처리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商用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정보통신자원을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정보통신자원에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「지능정보화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</w:t>
      </w:r>
      <w:r>
        <w:rPr>
          <w:rFonts w:ascii="HYSMyeongJo-Medium" w:eastAsia="HY중고딕" w:hAnsi="HYSMyeongJo-Medium" w:cs="HYSMyeongJo-Medium"/>
          <w:sz w:val="20"/>
          <w:szCs w:val="20"/>
        </w:rPr>
        <w:t>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1. 11.&gt;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전략위원회의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클라우드컴퓨팅의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클라우드컴퓨팅기술의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법령ㆍ제도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추진실적의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제출ㆍ평가에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연구개발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연구개발사업을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기업ㆍ연구기관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시범사업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이용ㆍ보급을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조세감면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클라우드컴퓨팅서비스에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도입하도록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「지능정</w:t>
      </w:r>
      <w:r>
        <w:rPr>
          <w:rFonts w:ascii="HYSMyeongJo-Medium" w:hAnsi="HYSMyeongJo-Medium" w:cs="HYSMyeongJo-Medium"/>
          <w:sz w:val="20"/>
          <w:szCs w:val="20"/>
        </w:rPr>
        <w:t>보화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지능정보화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수요예보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</w:t>
      </w:r>
      <w:r>
        <w:rPr>
          <w:rFonts w:ascii="HYSMyeongJo-Medium" w:hAnsi="HYSMyeongJo-Medium" w:cs="HYSMyeongJo-Medium"/>
          <w:sz w:val="20"/>
          <w:szCs w:val="20"/>
        </w:rPr>
        <w:t>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횟수ㆍ시기ㆍ방법ㆍ절차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전문인력의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2025. 1. 31.&gt;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국제협력과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해외진출의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국제협력과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해외진출을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정보ㆍ기</w:t>
      </w:r>
      <w:r>
        <w:rPr>
          <w:rFonts w:ascii="HYSMyeongJo-Medium" w:hAnsi="HYSMyeongJo-Medium" w:cs="HYSMyeongJo-Medium"/>
          <w:sz w:val="20"/>
          <w:szCs w:val="20"/>
        </w:rPr>
        <w:t>술ㆍ인력의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국제교류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마케팅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연구ㆍ개발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집적정보통신시설의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행정적ㆍ재정적ㆍ기술적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산업단지의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연구ㆍ개발과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</w:t>
      </w:r>
      <w:r>
        <w:rPr>
          <w:rFonts w:ascii="HYSMyeongJo-Medium" w:hAnsi="HYSMyeongJo-Medium" w:cs="HYSMyeongJo-Medium"/>
          <w:sz w:val="20"/>
          <w:szCs w:val="20"/>
        </w:rPr>
        <w:t>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국가산업단지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일반산업단지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도시첨단산업단지의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경쟁환경을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전담기관의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클라우드컴퓨팅서비스의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클라우드컴퓨팅서비스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1. 11.&gt;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디지털서비스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디지털서비스를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이용지원시스템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지능정보기술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기술ㆍ서비스와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디지털서비스의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전산시설등의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인가ㆍ허가ㆍ등록ㆍ지정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시설ㆍ장비ㆍ설비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전산시설등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전산시설등에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전산시설등의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클라우드컴퓨팅서비스의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향상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향상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품질ㆍ성능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향상시키기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품질ㆍ성능에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관리적ㆍ물리적ㆍ기술적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보안인증기준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클</w:t>
      </w:r>
      <w:r>
        <w:rPr>
          <w:rFonts w:ascii="HYSMyeongJo-Medium" w:hAnsi="HYSMyeongJo-Medium" w:cs="HYSMyeongJo-Medium"/>
          <w:sz w:val="20"/>
          <w:szCs w:val="20"/>
        </w:rPr>
        <w:t>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2022. 1. 11.&gt;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품질ㆍ성능에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방송통신위원회의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클라우드컴퓨팅서비스의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보안인증기준에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보안인증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한국인터넷진흥원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인증기관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보안인증기준에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인증평가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인증평가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</w:t>
      </w:r>
      <w:r>
        <w:rPr>
          <w:rFonts w:ascii="HYSMyeongJo-Medium" w:hAnsi="HYSMyeongJo-Medium" w:cs="HYSMyeongJo-Medium"/>
          <w:sz w:val="20"/>
          <w:szCs w:val="20"/>
        </w:rPr>
        <w:t>안인증서의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발급ㆍ관리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사후관리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보안인증평가원의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자격관리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평가기관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기준ㆍ절차ㆍ유효기간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보안인증의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인증기관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제정ㆍ개정하고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제정ㆍ개정하려는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방송통신위원회의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침해사고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사전예고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저장되는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</w:t>
      </w:r>
      <w:r>
        <w:rPr>
          <w:rFonts w:ascii="HYSMyeongJo-Medium" w:hAnsi="HYSMyeongJo-Medium" w:cs="HYSMyeongJo-Medium"/>
          <w:sz w:val="20"/>
          <w:szCs w:val="20"/>
        </w:rPr>
        <w:t>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방송통신위원회의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제출명령이나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</w:t>
      </w:r>
      <w:r>
        <w:rPr>
          <w:rFonts w:ascii="HYSMyeongJo-Medium" w:hAnsi="HYSMyeongJo-Medium" w:cs="HYSMyeongJo-Medium"/>
          <w:sz w:val="20"/>
          <w:szCs w:val="20"/>
        </w:rPr>
        <w:t>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전문인력과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수치인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受置人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任置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사무소ㆍ사업장에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기간ㆍ이유ㆍ내용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증거인멸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사무소ㆍ사업장에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엄수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클라우드컴퓨팅서비스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C535F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</w:t>
      </w:r>
      <w:r>
        <w:rPr>
          <w:rFonts w:ascii="HYSMyeongJo-Medium" w:eastAsia="HY중고딕" w:hAnsi="HYSMyeongJo-Medium" w:cs="HYSMyeongJo-Medium"/>
          <w:sz w:val="20"/>
          <w:szCs w:val="20"/>
        </w:rPr>
        <w:t>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535F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2022. 1. 11.&gt;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535F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gramStart"/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proofErr w:type="gramEnd"/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C535F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535F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535F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535F6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20732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1. 31.&gt;</w:t>
      </w:r>
    </w:p>
    <w:p w:rsidR="00000000" w:rsidRDefault="00C535F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교육기관의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지정취소에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535F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535F6">
      <w:r>
        <w:separator/>
      </w:r>
    </w:p>
  </w:endnote>
  <w:endnote w:type="continuationSeparator" w:id="0">
    <w:p w:rsidR="00000000" w:rsidRDefault="00C5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D77E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35F6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535F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535F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4D77E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35F6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535F6">
      <w:r>
        <w:separator/>
      </w:r>
    </w:p>
  </w:footnote>
  <w:footnote w:type="continuationSeparator" w:id="0">
    <w:p w:rsidR="00000000" w:rsidRDefault="00C5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535F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클라우드컴퓨팅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발전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이용자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보호에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A"/>
    <w:rsid w:val="004D77EA"/>
    <w:rsid w:val="00C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DBFC7B-56C3-40B4-A5A4-83840B66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2025-09-01T05:42:00Z</dcterms:created>
  <dcterms:modified xsi:type="dcterms:W3CDTF">2025-09-01T05:42:00Z</dcterms:modified>
</cp:coreProperties>
</file>