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013F7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하도급거래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공정화에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proofErr w:type="gramStart"/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proofErr w:type="gramEnd"/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4013F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35089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12. </w:t>
      </w:r>
      <w:proofErr w:type="gramStart"/>
      <w:r>
        <w:rPr>
          <w:rFonts w:ascii="HYSMyeongJo-Medium" w:hAnsi="HYSMyeongJo-Medium" w:cs="HYSMyeongJo-Medium"/>
          <w:color w:val="0000FF"/>
          <w:sz w:val="20"/>
          <w:szCs w:val="20"/>
        </w:rPr>
        <w:t>24.,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044-200-4946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서</w:t>
      </w:r>
      <w:r>
        <w:rPr>
          <w:rFonts w:ascii="HYSMyeongJo-Medium" w:hAnsi="HYSMyeongJo-Medium" w:cs="HYSMyeongJo-Medium"/>
          <w:color w:val="auto"/>
          <w:sz w:val="18"/>
          <w:szCs w:val="18"/>
        </w:rPr>
        <w:t>면실태조사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044-200-4951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표준하도급계약서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044-200-4953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기술유용제도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044-200-4952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하도급거래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공시제도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044-200-4947</w:t>
      </w:r>
    </w:p>
    <w:p w:rsidR="00000000" w:rsidRDefault="004013F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「하도급거래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「하도급거래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연간매출액은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손익계산서에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체결일까지의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5., 2020. 1. 12.&gt;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연간매출액에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제조위탁ㆍ수리위탁의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연간매출액이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건설위탁의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시공능력평가액이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용역위탁의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연간매출액이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레미콘을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受給事業者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대구광역시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광주광역시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대전광역시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세종특별자치시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강원특별자치도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충청북도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충청남도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전북특별자치도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전라남도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경상북도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경상남도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22., 2024. 6. 4., 2024. 12. 24.&gt;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「건설산업기본법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「전기공사업법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10. 28., 2015. 7. 24., 2016. 8. 11.&gt;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「환경기술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「하수도법」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「가축분뇨의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「에너지이용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합리화법」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「도시가스사업법」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「액화석유가스의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27.&gt;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실용신안권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디자인권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저작권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연구자료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연구개발보고서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생산ㆍ영업활동에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위탁일과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목적물등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목적물등을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납품ㆍ인도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선급금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기성금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제조ㆍ수리ㆍ시공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용역수행행위에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품명ㆍ수량ㆍ제공일ㆍ대가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조정요건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지표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산식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정일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조정주기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반영일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원사업자로부터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회신은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7. 22., 2020. 12. 8.,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내용증명우편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「전자서명법」제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공인전자주소를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공인전자주소를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7. 22., 2018. 7. 10., 2021. 1. 12., 2022. 2. 15., 2022. 7. 11., 2023. 1. 3.,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수령증명서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지급일ㆍ지급금액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지급수단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어음으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교부일ㆍ금액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어음할인료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제조ㆍ수리ㆍ시공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용역수행행위에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공제일ㆍ공제금액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공제사유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비밀유지계약에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조정사유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수급사업자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「중소기업협동조합법」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중소기업협동조합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「중소기업협동조합법」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중소기업중앙회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중앙회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입찰명세서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낙찰자결정품의서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견적서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현장설명서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</w:t>
      </w:r>
      <w:r>
        <w:rPr>
          <w:rFonts w:ascii="HYSMyeongJo-Medium" w:hAnsi="HYSMyeongJo-Medium" w:cs="HYSMyeongJo-Medium"/>
          <w:sz w:val="20"/>
          <w:szCs w:val="20"/>
        </w:rPr>
        <w:t>계설명서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건설위탁의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16., 2022. 2. 15.&gt;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표준하도급계약서의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제정ㆍ개정안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표준하도급계약서의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제정ㆍ개정안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표준계약서안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표준계약서안의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듣기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참석하도록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제정ㆍ개정된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표준하도급계약서의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2022. 7. 11.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&lt;2022. 7. 11.&gt;]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자문위원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자문위원으로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7. 11.]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</w:t>
      </w:r>
      <w:r>
        <w:rPr>
          <w:rFonts w:ascii="HYSMyeongJo-Medium" w:eastAsia="HY중고딕" w:hAnsi="HYSMyeongJo-Medium" w:cs="HYSMyeongJo-Medium"/>
          <w:sz w:val="20"/>
          <w:szCs w:val="20"/>
        </w:rPr>
        <w:t>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5. 7.&gt;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환경관리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발주자를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재작업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재작업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추가작업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보수작업으로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발주자와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하자담보책임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매장유산의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해킹ㆍ컴퓨터바이러스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위탁시점에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</w:t>
      </w:r>
      <w:r>
        <w:rPr>
          <w:rFonts w:ascii="HYSMyeongJo-Medium" w:hAnsi="HYSMyeongJo-Medium" w:cs="HYSMyeongJo-Medium"/>
          <w:sz w:val="20"/>
          <w:szCs w:val="20"/>
        </w:rPr>
        <w:t>합리하게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직접노무비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발주자와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계약기간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</w:t>
      </w:r>
      <w:r>
        <w:rPr>
          <w:rFonts w:ascii="HYSMyeongJo-Medium" w:hAnsi="HYSMyeongJo-Medium" w:cs="HYSMyeongJo-Medium"/>
          <w:sz w:val="20"/>
          <w:szCs w:val="20"/>
        </w:rPr>
        <w:t>정으로서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박탈한다고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11.]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&lt;2022. 7. 11.&gt;]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건설하도급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입찰결과의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5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건설공사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건설공사를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입찰참가자에게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우수기업등의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선정ㆍ지원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우수기업등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선정기</w:t>
      </w:r>
      <w:r>
        <w:rPr>
          <w:rFonts w:ascii="HYSMyeongJo-Medium" w:eastAsia="HY중고딕" w:hAnsi="HYSMyeongJo-Medium" w:cs="HYSMyeongJo-Medium"/>
          <w:sz w:val="20"/>
          <w:szCs w:val="20"/>
        </w:rPr>
        <w:t>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우수기업등에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>수기업등에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행정적ㆍ재정적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지원시책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26.]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지원본부의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연동지원본부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연동지원본부로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연동지원본부로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갖춰야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2. 6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갖춰야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사무공간을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사무공간을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갖춰야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연동지원본부로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만족도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원가분석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연동지원본부의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연동지원본부의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26.]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직접공사비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값을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도급내역상의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</w:t>
      </w:r>
      <w:r>
        <w:rPr>
          <w:rFonts w:ascii="HYSMyeongJo-Medium" w:eastAsia="HY중고딕" w:hAnsi="HYSMyeongJo-Medium" w:cs="HYSMyeongJo-Medium"/>
          <w:sz w:val="20"/>
          <w:szCs w:val="20"/>
        </w:rPr>
        <w:t>료비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직접노무비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費目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법정경비는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공사현장여건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특허공법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감액사유와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감액의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물량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감액금액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감액방법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요구목적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권리귀속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10. 16., 2022. 2. 15.&gt;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요구목적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2. 15.&gt;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요구대상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요구대상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요구대상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요구일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제공방법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2. 15.&gt;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2. 15.&gt;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2. 15.&gt;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비밀유지계약의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기술자료를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비밀유지의무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</w:t>
      </w:r>
      <w:r>
        <w:rPr>
          <w:rFonts w:ascii="HYSMyeongJo-Medium" w:eastAsia="HY중고딕" w:hAnsi="HYSMyeongJo-Medium" w:cs="HYSMyeongJo-Medium"/>
          <w:sz w:val="20"/>
          <w:szCs w:val="20"/>
        </w:rPr>
        <w:t>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사용기간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비밀유지의무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사용금지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기술자료의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반환ㆍ폐기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일자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15.]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&lt;2022. 2. 15.&gt;]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수급사업자로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연간매출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연간매출액을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&lt;2022. 2. 15.&gt;]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원사업자로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매출액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&lt;2022. 2. 15.&gt;]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건설하도급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8. 27., 2013. 11. 27., 2016. 12. 27., 2020. 4. 7.&gt;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공사금액이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하도급계약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하도급대금지급관리시스템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7. 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「전기공사공제조합법」에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전기공사공제조합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「정보통신공사업법」에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정보통신공제조합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「주택도시기금법」에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주택도시보증공사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「소방산업의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소방산업공제조합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11., 2016. 1. 22., 2017. 9. 29.&gt;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불명확하여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자료보완이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기성금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수급사업자와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11., 2016. 1. 22., 2017. 9. 29.&gt;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지급불능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11., 2016. 1. 22., 2016. 4. 29., 2017. 9. 29.&gt;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「기업구조조정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발주자에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공사대금채권에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압류ㆍ가압류를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공사대금채권을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어음대체결제수단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하도급대금지급관리시스템의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11.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결제조건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지급수단별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비중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비중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원사업자의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>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연락처</w:t>
      </w:r>
    </w:p>
    <w:p w:rsidR="00000000" w:rsidRDefault="004013F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소요기간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공시대상기업집단에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도달되었다는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供託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대금지급의무의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제조ㆍ수리ㆍ시공한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하도급대금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공급원가는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노무비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제조ㆍ수리ㆍ시공하거나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</w:t>
      </w:r>
      <w:r>
        <w:rPr>
          <w:rFonts w:ascii="HYSMyeongJo-Medium" w:eastAsia="HY중고딕" w:hAnsi="HYSMyeongJo-Medium" w:cs="HYSMyeongJo-Medium"/>
          <w:sz w:val="20"/>
          <w:szCs w:val="20"/>
        </w:rPr>
        <w:t>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소요되는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7. 10.&gt;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11. 27., 2014. 7. 21., 2016. 1. 22., 2018. 7. 10., 2021. 1. 12.&gt;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상호출자제한기업집단에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12.&gt;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12.&gt;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11. 27., 2018. 7. 10., 2021. 1. 12.&gt;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계약금액이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경쟁입찰에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앙회에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3.,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3., 2023. 9. 26.&gt;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22., 2013. 11.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하도급분쟁조정협의회에의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11. 27., 2023. 1. 3.&gt;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조정협의의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27.]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「기업구조조정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금융채권자협의회가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공동관리절차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29.]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&lt;2017. 9. 29.&gt;]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제시하여야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대물변제의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대물변제의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「공증인법」에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자기디스크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자기테이프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기록ㆍ보관ㆍ출력할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발송ㆍ도달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자동수신사실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대물변제를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</w:t>
      </w:r>
      <w:r>
        <w:rPr>
          <w:rFonts w:ascii="HYSMyeongJo-Medium" w:hAnsi="HYSMyeongJo-Medium" w:cs="HYSMyeongJo-Medium"/>
          <w:sz w:val="20"/>
          <w:szCs w:val="20"/>
        </w:rPr>
        <w:t>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목차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11.]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9. 29.&gt;]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밝혀야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7. 19.&gt;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피신고자의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22., 2016. 7. 19.&gt;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7. 19.&gt;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7. 19.&gt;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지급대상자는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지급대상자에서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9. 29.&gt;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수급사업자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9. 29.&gt;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</w:t>
      </w:r>
      <w:r>
        <w:rPr>
          <w:rFonts w:ascii="HYSMyeongJo-Medium" w:hAnsi="HYSMyeongJo-Medium" w:cs="HYSMyeongJo-Medium"/>
          <w:sz w:val="20"/>
          <w:szCs w:val="20"/>
        </w:rPr>
        <w:t>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신고포상금심의위원회를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신고포상금심의위원회의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분쟁조정의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각하하거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분쟁조정종료서를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5. 28.&gt;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분쟁당사자의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일반현황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경위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쟁점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조정신청의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7. 10.]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수소법원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受訴法院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분쟁당사자의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분쟁당사자가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분쟁조정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분쟁조정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소송사건의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수소법원이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수소법원에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분쟁당사자의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조정신청의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소송사건의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5. 28.]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7. 19.&gt;</w:t>
      </w: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분할납부의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간격은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당기순손실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당기순손실이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부채비율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재무상태표에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현금보유액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부과ㆍ납부ㆍ징수ㆍ체납처분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환급가산금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2012. 6. 19., 2021. 12.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28., 2023. 1. 3.&gt;</w:t>
      </w: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상습법위반사업자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명단공표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호라목에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누산점수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27.&gt;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상습법위반사업자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상습법위반사업자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명단공표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상습법위반사업자명단공표심의위원회의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상습법위반사업자명단공표심의위원회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조사관리관이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3. 28.&gt;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일반직공무원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3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비위사실이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이행실적에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호라목에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누산점수가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11. 1., 2013. 11. 27., 2016. 1. 22.&gt;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입찰참가자격의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점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점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하도급거래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2014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2. 11.&gt;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2017. 12. 12., 2018. 7.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10., 2018. 10. 16., 2020. 3. 3., 2022. 3. 8., 2023. 1. 3., 2023. 3. 7.,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공시사항</w:t>
      </w:r>
      <w:r>
        <w:rPr>
          <w:rFonts w:ascii="HYSMyeongJo-Medium" w:hAnsi="HYSMyeongJo-Medium" w:cs="HYSMyeongJo-Medium"/>
          <w:sz w:val="20"/>
          <w:szCs w:val="20"/>
        </w:rPr>
        <w:t>: 2026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>: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12. 12.&gt;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30.]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4013F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4. 30., 2018. 10. 16., 2023. 1. 3., 2023. 9. 26.&gt;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</w:p>
    <w:p w:rsidR="00000000" w:rsidRDefault="004013F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29.]</w:t>
      </w:r>
    </w:p>
    <w:p w:rsidR="00000000" w:rsidRDefault="004013F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4013F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4013F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4013F7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35089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12. 24.&gt;(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전북특별자치도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설치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및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글로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벌생명경제도시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조성을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위한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특별법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시행령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4013F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27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4013F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㉚</w:t>
      </w:r>
      <w:r>
        <w:rPr>
          <w:rFonts w:ascii="HY중고딕" w:eastAsia="HY중고딕" w:hAnsi="HY중고딕" w:cs="HY중고딕" w:hint="eastAsia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㉛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전라북도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전북특별자치도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㉜</w:t>
      </w:r>
      <w:r>
        <w:rPr>
          <w:rFonts w:ascii="맑은 고딕" w:eastAsia="맑은 고딕" w:hAnsi="맑은 고딕" w:cs="맑은 고딕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&lt;34&gt;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000000" w:rsidRDefault="004013F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013F7">
      <w:r>
        <w:separator/>
      </w:r>
    </w:p>
  </w:endnote>
  <w:endnote w:type="continuationSeparator" w:id="0">
    <w:p w:rsidR="00000000" w:rsidRDefault="0040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013F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013F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013F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013F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013F7">
      <w:r>
        <w:separator/>
      </w:r>
    </w:p>
  </w:footnote>
  <w:footnote w:type="continuationSeparator" w:id="0">
    <w:p w:rsidR="00000000" w:rsidRDefault="0040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013F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하도급거래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공정화에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F7"/>
    <w:rsid w:val="004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D23B99-5468-4FF9-81F8-72174766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4775</Words>
  <Characters>17048</Characters>
  <Application>Microsoft Office Word</Application>
  <DocSecurity>0</DocSecurity>
  <Lines>142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2025-09-01T05:43:00Z</dcterms:created>
  <dcterms:modified xsi:type="dcterms:W3CDTF">2025-09-01T05:43:00Z</dcterms:modified>
</cp:coreProperties>
</file>