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中央处理器课程学习系统个人设计报告</w:t>
      </w:r>
    </w:p>
    <w:p>
      <w:pPr>
        <w:spacing w:after="60"/>
        <w:jc w:val="center"/>
      </w:pPr>
      <w:r>
        <w:t>姜苏豪 24201718</w:t>
      </w:r>
    </w:p>
    <w:p>
      <w:pPr>
        <w:spacing w:after="60"/>
        <w:jc w:val="center"/>
      </w:pPr>
      <w:r>
        <w:t>242017 班 g24201710 组</w:t>
      </w:r>
    </w:p>
    <w:p>
      <w:pPr>
        <w:spacing w:after="60"/>
        <w:jc w:val="center"/>
      </w:pPr>
      <w:r>
        <w:t>2026 年 10 月 22 日</w:t>
      </w:r>
    </w:p>
    <w:p>
      <w:pPr>
        <w:pStyle w:val="Heading1"/>
      </w:pPr>
      <w:r>
        <w:t>1 报告范围与结论</w:t>
      </w:r>
    </w:p>
    <w:p>
      <w:pPr>
        <w:ind w:firstLine="420"/>
      </w:pPr>
      <w:r>
        <w:t>本报告面向课程项目检查，说明我作为组长负责的 SPEC-001 用户与课程权限、SPEC-002 考勤、SPEC-010A 考勤与学习表现统计、SPEC-014 学习预警、SPEC-016 受限图片识别和 SPEC-019 工程协作。各模块的设计、代码、测试和接口以统一 PRD、APIC、DBD 及下文标明的实际提交为准。本报告由自动化工具协助整理；实际课堂演示、教师评定和 Gitea 归档仍须按真实记录补证，不能由文档替代。</w:t>
      </w:r>
    </w:p>
    <w:p>
      <w:pPr>
        <w:ind w:firstLine="420"/>
      </w:pPr>
      <w:r>
        <w:t>本人基础模块覆盖用户权限及考勤两个独立功能，统计模块为独立的 010A。相关前后端已经具备本地可运行链路；固定测试图像、接口回归、统计算例及页面冒烟属于本机验证。实验箱连线过程模拟和 Logisim 电路文件在线评测是全组必做内容，由对应组员主责。本人的局部检查通过不意味着全项目验收或 main 可发布。</w:t>
      </w:r>
    </w:p>
    <w:p>
      <w:pPr>
        <w:pStyle w:val="Heading1"/>
      </w:pPr>
      <w:r>
        <w:t>2 职责、架构与数据边界</w:t>
      </w:r>
    </w:p>
    <w:p>
      <w:pPr>
        <w:ind w:firstLine="420"/>
      </w:pPr>
      <w:r>
        <w:t>前端采用 Vue 3，后端采用 Flask RESTful API，持久层为 SQLite。共享身份和课程授权在服务端执行，前端隐藏按钮不是安全边界。公共迁移 runner 管理 schema 和校验和；统计基于真实考勤、试卷、作答与实验事实，不能为演示伪造业务表。OpenCV 只识别受限的标准门符号，不声称理解整张电路。GitHub 用于日常开发和 CI，Gitea 用于课堂归档，两个仓库需核对同一提交 SHA。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893"/>
            <w:vAlign w:val="center"/>
            <w:shd w:fill="E7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4320"/>
            <w:vAlign w:val="center"/>
            <w:shd w:fill="E7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本人负责的主要输出</w:t>
            </w:r>
          </w:p>
        </w:tc>
        <w:tc>
          <w:tcPr>
            <w:tcW w:type="dxa" w:w="4435"/>
            <w:vAlign w:val="center"/>
            <w:shd w:fill="E7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跨模块输入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001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注册登录、会话、角色、课程成员、权限与审计</w:t>
            </w:r>
          </w:p>
        </w:tc>
        <w:tc>
          <w:tcPr>
            <w:tcW w:type="dxa" w:w="44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各组员接口通过同一身份和课程授权入口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002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任务与冻结名单、签到、请假、审批、关闭和更正</w:t>
            </w:r>
          </w:p>
        </w:tc>
        <w:tc>
          <w:tcPr>
            <w:tcW w:type="dxa" w:w="4435"/>
            <w:vAlign w:val="center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010A 和 014 读取关闭考勤事实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010A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考勤率、周趋势、成绩配对、相关系数、原快照和 CSV</w:t>
            </w:r>
          </w:p>
        </w:tc>
        <w:tc>
          <w:tcPr>
            <w:tcW w:type="dxa" w:w="44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002 冻结名单、006/008 已评分测评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014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规则提示、KMeans 聚类、批次与处理记录</w:t>
            </w:r>
          </w:p>
        </w:tc>
        <w:tc>
          <w:tcPr>
            <w:tcW w:type="dxa" w:w="4435"/>
            <w:vAlign w:val="center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002、006/008、009/017/018 真实事实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016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图片定位、模板相似度、人工确认的结构草稿</w:t>
            </w:r>
          </w:p>
        </w:tc>
        <w:tc>
          <w:tcPr>
            <w:tcW w:type="dxa" w:w="44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001 授权和受控上传文件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019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分支、CI、发布与回滚流程</w:t>
            </w:r>
          </w:p>
        </w:tc>
        <w:tc>
          <w:tcPr>
            <w:tcW w:type="dxa" w:w="4435"/>
            <w:vAlign w:val="center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全部必做模块及真实目标环境验收</w:t>
            </w:r>
          </w:p>
        </w:tc>
      </w:tr>
    </w:tbl>
    <w:p>
      <w:pPr>
        <w:spacing w:after="40"/>
      </w:pPr>
    </w:p>
    <w:p>
      <w:pPr>
        <w:pStyle w:val="Heading1"/>
      </w:pPr>
      <w:r>
        <w:t>3 用户、课程与考勤设计</w:t>
      </w:r>
    </w:p>
    <w:p>
      <w:pPr>
        <w:ind w:firstLine="420"/>
      </w:pPr>
      <w:r>
        <w:t>学生可注册，教师和管理员身份只能由受控管理员操作授予。密码以适合密码存储的哈希保存，会话使用服务端版本约束，停用或改密后旧会话失效。课程成员和角色构成所有课程数据的授权边界；教师只管理自己负责的课程，学生不能访问他人记录或跨课数据。写操作要求 Origin 和 CSRF，事务中重新检查会话与课程资格，避免读取权限和提交事实之间发生撤权竞态。</w:t>
      </w:r>
    </w:p>
    <w:p>
      <w:pPr>
        <w:ind w:firstLine="420"/>
      </w:pPr>
      <w:r>
        <w:t>考勤任务发布时冻结在课学生集合，之后转入者不补历史缺勤，退出者不改变历史应到分母。签到码采用六位数字且仅创建或轮换响应返回一次；数据库保存哈希，普通查询不返回明文。学生在有效时窗内签到，重复或并发请求只能产生一条有效记录；轮换后旧码不能再用。关闭任务才结算缺勤。请假申请、驳回重提、批准撤销及教师有理由更正均保留记录与通知，四种有效考勤状态互斥。</w:t>
      </w:r>
    </w:p>
    <w:p>
      <w:pPr>
        <w:ind w:firstLine="420"/>
      </w:pPr>
      <w:r>
        <w:t>教师页面显示当前课程成员和状态，可按完整学号添加、移出。课程切换或退出会清除签到明文、表单和统计结果；异步响应带课程代际检查，避免上一课程的查询结果写入新课程界面。成员查找期间若已换课，前端不将查到的学生误加到另一课程；服务端仍负责最终授权。</w:t>
      </w:r>
    </w:p>
    <w:p>
      <w:pPr>
        <w:pStyle w:val="Heading1"/>
      </w:pPr>
      <w:r>
        <w:t>4 考勤统计与学习预警</w:t>
      </w:r>
    </w:p>
    <w:p>
      <w:pPr>
        <w:ind w:firstLine="420"/>
      </w:pPr>
      <w:r>
        <w:t>010A 选择同一时间区间内已关闭任务的冻结参与人，计算应到、出勤、迟到、请假、缺勤；到勤率为出勤加迟到除以应到，空分母返回 null。测评只使用本课程、已发布、区间内的作业、考试或随堂测，成绩只取已评分有效答卷。学生多卷成绩先转换为百分比，再取等权均值；待人工评分、缺交、部分成绩不当零分。相关分析以同一个学生的到勤率和有效成绩配对；不足三人、任一维零方差分别返回明确原因。</w:t>
      </w:r>
    </w:p>
    <w:p>
      <w:pPr>
        <w:ind w:firstLine="420"/>
      </w:pPr>
      <w:r>
        <w:t>固定验收 C01 有三名学生正常配对，相关系数为 1；C02 少于三名有效配对返回 null；C03 零方差返回 null；C04 的第四名学生缺少已评分卷，不填假零分，班级到勤率仍包含其应到。学生请求仅可看本人指标，不能泄露班级配对名单。计算前冻结数据，保存参数、来源截止、算法版本、指标、样本与周趋势到 analysis_run。接口可按原 ID 恢复，CSV 导出也读取原快照；当前首页只提供新快照和当前快照导出入口。后续考勤更正或人工批分不静默改写旧报告。</w:t>
      </w:r>
    </w:p>
    <w:p>
      <w:pPr>
        <w:ind w:firstLine="420"/>
      </w:pPr>
      <w:r>
        <w:t>014 在 28 天窗口内以真实客观作答正确率、到期实验完成率、关闭任务考勤率形成特征。客观题少于五次不进行成绩风险推断，最近两次考勤迟到或缺勤仍可提示。只有至少十名三项均有分母且特征行有区分的学生才运行固定参数 KMeans；否则 model_status 为 insufficient_data，仅展示有证据的规则原因。一个班全员表现良好时不强制产生风险提示。预警是教师辅助信息，可标记已处理，不自动处分或扣分。</w:t>
      </w:r>
    </w:p>
    <w:p>
      <w:pPr>
        <w:pStyle w:val="Heading1"/>
      </w:pPr>
      <w:r>
        <w:t>5 受限识别与人工确认</w:t>
      </w:r>
    </w:p>
    <w:p>
      <w:pPr>
        <w:ind w:firstLine="420"/>
      </w:pPr>
      <w:r>
        <w:t>016 仅接受受控大小的 PNG/JPEG，并校验真实格式、尺寸与可解码内容。灰度小于 128 为前景；先以固定形态学核定位正向门符号与印刷标签，再裁白边、最近邻缩放到 64×64，以前景交并比和固定模板匹配。0.55 以下不输出已识别项，0.55 至小于 0.85 为低置信度，0.85 及以上为高置信度；判断用未舍入值，返回值保留六位。置信度是模板相似度，不是“识别正确概率”。</w:t>
      </w:r>
    </w:p>
    <w:p>
      <w:pPr>
        <w:ind w:firstLine="420"/>
      </w:pPr>
      <w:r>
        <w:t>本次将 F01 清晰 AND/NOT、F02 残损 AND、F03 电阻、F04 未知 XYZ 标签、F05 空白五张 640×240 PNG 连同 SHA-256 固定在仓库。测试同时检查类别、门框和标签框的像素容差、阈值边界与服务端上传流程。原规划的 v1 图像只有哈希没有实际文件，因此按变更规则改为 v2 固定字节，不冒称验证了不存在的 v1 输入。任何识别项均需本人确认，可删改原有项并补字典内标签；确认不生成可运行电路，不触发连线或 Logisim 成绩。</w:t>
      </w:r>
    </w:p>
    <w:p>
      <w:pPr>
        <w:pStyle w:val="Heading1"/>
      </w:pPr>
      <w:r>
        <w:t>6 工程协作、验证与交付边界</w:t>
      </w:r>
    </w:p>
    <w:p>
      <w:pPr>
        <w:ind w:firstLine="420"/>
      </w:pPr>
      <w:r>
        <w:t>采用 feature 分支开发，经 PR 合入 develop；发布准备从 develop 拉 release，完整门禁通过后再 PR 到 main，main 禁止直推。Actions 分开执行文档规则、lint、后端与前端测试、构建和真实评测冒烟，聚合门禁不能把失败或跳过误判为成功。发布还需在目标环境验证 Java 21、固定 Logisim JAR、评测 worker、数据库与上传文件一致备份、恢复、维护模式及真实闭环。只有部署冒烟成功后才开放普通写入；最后按相同 SHA 归档 Gitea。</w:t>
      </w:r>
    </w:p>
    <w:p>
      <w:pPr>
        <w:ind w:firstLine="420"/>
      </w:pPr>
      <w:r>
        <w:t>本地检查入口为 python -m unittest discover -s tests -v、python scripts/check_docs.py，以及前端 npm test、npm run lint、npm run build。本人测试重点检查登录/权限/撤权、冻结名单和重复签到、010A C01—C04 与同快照 CSV、014 样本不足与真实事实、016 固定 PNG/阈值/HTTP 确认和成绩隔离。受控浏览器另验证教师登录、成员列表、无数据统计快照和切课状态清理。具体测试函数与尚缺的课堂证据写在 docs/TEST_REPORT_JIANG_SUHAO.md，不能用旧提交的绿色检查代替最终提交。</w:t>
      </w:r>
    </w:p>
    <w:p>
      <w:pPr>
        <w:ind w:firstLine="420"/>
      </w:pPr>
      <w:r>
        <w:t>第 2 阶段课堂可展示本人基础模块；第 3 阶段展示 010A 独立统计；第 4 阶段提交并发幂等、预警和图像识别作为难点候选，是否计分由教师检查决定。个人报告格式附件尚未提供，此 Word 版为内容与版式可审阅的准备稿；课堂要求的最终模板、真实教学数据、全组连线及真实电路评测、50 会话目标环境、备份恢复和 Gitea 提交证明需按真实结果续填，不伪写通过。</w:t>
      </w:r>
    </w:p>
    <w:p>
      <w:pPr>
        <w:pStyle w:val="Heading1"/>
      </w:pPr>
      <w:r>
        <w:t>7 文档和证据入口</w:t>
      </w:r>
    </w:p>
    <w:p>
      <w:pPr>
        <w:ind w:firstLine="420"/>
      </w:pPr>
      <w:r>
        <w:t>统一设计与验收见 PRD、APIC、DBD；本人交付索引集中链接实施记录、测试报告、阶段检查和用户说明。自动测试在 tests/，固定识别样图在 tests/fixtures/recognition/，CI 在 .github/workflows/ci.yml。本 Markdown 是 Word 报告的内容源，两个版本的设计结论一致。</w:t>
      </w:r>
    </w:p>
    <w:p>
      <w:pPr>
        <w:pStyle w:val="Heading1"/>
      </w:pPr>
      <w:r>
        <w:t>8 实际提交与验收状态</w:t>
      </w:r>
    </w:p>
    <w:p>
      <w:r>
        <w:t>本人收尾分支经 GitHub PR #39 合入 develop：head faf17789，merge 2973bef7，完整 SHA 见交付索引。Actions run 39260824775 的五个 develop 必需检查成功，后端 376 项、前端 135 项通过；ci-grader 跳过，不能据此声称真实 Logisim 已验收。2026 年 10 月 20 日本机课堂目录同步至该 merge，尚无 Gitea 或教师验收证明。</w:t>
      </w:r>
    </w:p>
    <w:p>
      <w:r>
        <w:t>课程要求每人至少负责两个模块。我负责的两个基础模块、一个统计模块及两个智能模块已有代码和本地/CI 证据；SPEC-019 的 main/release 拒绝演练、同 SHA 归档、回灌和目标恢复尚未完成。第 12 周的个人与小组报告、源码设计包及超星提交只能依据届时实际结果定稿。</w:t>
      </w:r>
    </w:p>
    <w:sectPr w:rsidR="00FC693F" w:rsidRPr="0006063C" w:rsidSect="00034616">
      <w:footerReference w:type="default" r:id="rId9"/>
      <w:pgSz w:w="12240" w:h="15840"/>
      <w:pgMar w:top="1224" w:right="1267" w:bottom="1080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g24201710  姜苏豪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32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