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9AC" w:rsidRDefault="001D09AC" w:rsidP="007C6C2D">
      <w:pPr>
        <w:spacing w:line="360" w:lineRule="auto"/>
        <w:jc w:val="both"/>
      </w:pPr>
      <w:r>
        <w:t>PYE</w:t>
      </w:r>
      <w:r w:rsidR="00B77272">
        <w:t xml:space="preserve">-CA </w:t>
      </w:r>
      <w:r>
        <w:t xml:space="preserve"> – </w:t>
      </w:r>
      <w:proofErr w:type="spellStart"/>
      <w:r>
        <w:t>Potential</w:t>
      </w:r>
      <w:proofErr w:type="spellEnd"/>
      <w:r>
        <w:t xml:space="preserve"> </w:t>
      </w:r>
      <w:proofErr w:type="spellStart"/>
      <w:r>
        <w:t>Yield</w:t>
      </w:r>
      <w:proofErr w:type="spellEnd"/>
      <w:r>
        <w:t xml:space="preserve"> </w:t>
      </w:r>
      <w:proofErr w:type="spellStart"/>
      <w:r>
        <w:t>Estimator</w:t>
      </w:r>
      <w:proofErr w:type="spellEnd"/>
      <w:r>
        <w:t> </w:t>
      </w:r>
      <w:r w:rsidR="00B77272">
        <w:t xml:space="preserve">– Conservation Agriculture </w:t>
      </w:r>
      <w:r>
        <w:t xml:space="preserve">: Simulateur </w:t>
      </w:r>
      <w:proofErr w:type="spellStart"/>
      <w:r>
        <w:t>agroclimatique</w:t>
      </w:r>
      <w:proofErr w:type="spellEnd"/>
      <w:r>
        <w:t xml:space="preserve"> des rendements</w:t>
      </w:r>
      <w:r w:rsidR="00B77272">
        <w:t xml:space="preserve"> avec prise en compte de l’impact des </w:t>
      </w:r>
      <w:proofErr w:type="spellStart"/>
      <w:r w:rsidR="00B77272">
        <w:t>mulchs</w:t>
      </w:r>
      <w:proofErr w:type="spellEnd"/>
      <w:r w:rsidR="00B77272">
        <w:t xml:space="preserve"> pailleux sur le bilan hydrique</w:t>
      </w:r>
      <w:r>
        <w:t>.</w:t>
      </w:r>
    </w:p>
    <w:p w:rsidR="00F26659" w:rsidRDefault="00F26659" w:rsidP="007C6C2D">
      <w:pPr>
        <w:spacing w:line="360" w:lineRule="auto"/>
        <w:jc w:val="both"/>
      </w:pPr>
    </w:p>
    <w:p w:rsidR="00F26659" w:rsidRDefault="00F26659" w:rsidP="007C6C2D">
      <w:pPr>
        <w:spacing w:line="360" w:lineRule="auto"/>
        <w:jc w:val="both"/>
      </w:pPr>
      <w:r>
        <w:t>CELSIUS  -</w:t>
      </w:r>
      <w:proofErr w:type="spellStart"/>
      <w:r>
        <w:t>CEreal</w:t>
      </w:r>
      <w:proofErr w:type="spellEnd"/>
      <w:r>
        <w:t xml:space="preserve"> and </w:t>
      </w:r>
      <w:proofErr w:type="spellStart"/>
      <w:r>
        <w:t>Legume</w:t>
      </w:r>
      <w:proofErr w:type="spellEnd"/>
      <w:r>
        <w:t xml:space="preserve"> </w:t>
      </w:r>
      <w:proofErr w:type="spellStart"/>
      <w:r>
        <w:t>crops</w:t>
      </w:r>
      <w:proofErr w:type="spellEnd"/>
      <w:r>
        <w:t xml:space="preserve"> Simulator Under </w:t>
      </w:r>
      <w:proofErr w:type="spellStart"/>
      <w:r>
        <w:t>Sahelo</w:t>
      </w:r>
      <w:proofErr w:type="spellEnd"/>
      <w:r>
        <w:t>-</w:t>
      </w:r>
      <w:proofErr w:type="spellStart"/>
      <w:r>
        <w:t>Soudanian</w:t>
      </w:r>
      <w:proofErr w:type="spellEnd"/>
      <w:r>
        <w:t xml:space="preserve"> </w:t>
      </w:r>
      <w:proofErr w:type="spellStart"/>
      <w:r>
        <w:t>Environments</w:t>
      </w:r>
      <w:proofErr w:type="spellEnd"/>
    </w:p>
    <w:p w:rsidR="00B77272" w:rsidRDefault="00B77272" w:rsidP="007C6C2D">
      <w:pPr>
        <w:spacing w:line="360" w:lineRule="auto"/>
        <w:jc w:val="both"/>
      </w:pPr>
    </w:p>
    <w:p w:rsidR="00056FBA" w:rsidRPr="00351F32" w:rsidRDefault="00BC265C" w:rsidP="00351F32">
      <w:pPr>
        <w:spacing w:line="360" w:lineRule="auto"/>
        <w:jc w:val="center"/>
        <w:rPr>
          <w:b/>
          <w:sz w:val="28"/>
        </w:rPr>
      </w:pPr>
      <w:r w:rsidRPr="00351F32">
        <w:rPr>
          <w:b/>
          <w:sz w:val="28"/>
        </w:rPr>
        <w:t xml:space="preserve">Guide succinct de </w:t>
      </w:r>
      <w:r w:rsidR="002242FF">
        <w:rPr>
          <w:b/>
          <w:sz w:val="28"/>
        </w:rPr>
        <w:t>prise en main d</w:t>
      </w:r>
      <w:r w:rsidR="00F26659">
        <w:rPr>
          <w:b/>
          <w:sz w:val="28"/>
        </w:rPr>
        <w:t>es</w:t>
      </w:r>
      <w:r w:rsidR="002242FF">
        <w:rPr>
          <w:b/>
          <w:sz w:val="28"/>
        </w:rPr>
        <w:t xml:space="preserve"> modèle</w:t>
      </w:r>
      <w:r w:rsidR="00F26659">
        <w:rPr>
          <w:b/>
          <w:sz w:val="28"/>
        </w:rPr>
        <w:t>s</w:t>
      </w:r>
      <w:r w:rsidR="002242FF">
        <w:rPr>
          <w:b/>
          <w:sz w:val="28"/>
        </w:rPr>
        <w:t xml:space="preserve"> dans l’architecture logicielle « LASCAR » (</w:t>
      </w:r>
      <w:proofErr w:type="spellStart"/>
      <w:r w:rsidR="002242FF">
        <w:rPr>
          <w:b/>
          <w:sz w:val="28"/>
        </w:rPr>
        <w:t>LAboratoire</w:t>
      </w:r>
      <w:proofErr w:type="spellEnd"/>
      <w:r w:rsidR="002242FF">
        <w:rPr>
          <w:b/>
          <w:sz w:val="28"/>
        </w:rPr>
        <w:t xml:space="preserve"> pour Simulation Consciente en </w:t>
      </w:r>
      <w:proofErr w:type="spellStart"/>
      <w:r w:rsidR="002242FF">
        <w:rPr>
          <w:b/>
          <w:sz w:val="28"/>
        </w:rPr>
        <w:t>AgRonomie</w:t>
      </w:r>
      <w:proofErr w:type="spellEnd"/>
      <w:r w:rsidR="002242FF">
        <w:rPr>
          <w:b/>
          <w:sz w:val="28"/>
        </w:rPr>
        <w:t>)</w:t>
      </w:r>
    </w:p>
    <w:p w:rsidR="00056FBA" w:rsidRDefault="00056FBA" w:rsidP="007C6C2D">
      <w:pPr>
        <w:spacing w:line="360" w:lineRule="auto"/>
        <w:jc w:val="both"/>
      </w:pPr>
    </w:p>
    <w:p w:rsidR="00005A3E" w:rsidRPr="00685188" w:rsidRDefault="00005A3E" w:rsidP="007C6C2D">
      <w:pPr>
        <w:spacing w:line="360" w:lineRule="auto"/>
        <w:jc w:val="both"/>
      </w:pPr>
    </w:p>
    <w:p w:rsidR="007C6C2D" w:rsidRDefault="00685188" w:rsidP="007C6C2D">
      <w:pPr>
        <w:spacing w:line="360" w:lineRule="auto"/>
        <w:jc w:val="both"/>
      </w:pPr>
      <w:r>
        <w:t>Modèle conceptuel</w:t>
      </w:r>
    </w:p>
    <w:p w:rsidR="00056FBA" w:rsidRDefault="00690F83" w:rsidP="007C6C2D">
      <w:pPr>
        <w:spacing w:line="360" w:lineRule="auto"/>
        <w:jc w:val="both"/>
      </w:pPr>
      <w:r>
        <w:t>Le modèle conceptuel corre</w:t>
      </w:r>
      <w:r w:rsidR="00784D17">
        <w:t>s</w:t>
      </w:r>
      <w:r>
        <w:t>pondant à PYE</w:t>
      </w:r>
      <w:r w:rsidR="00784D17">
        <w:t>-CA</w:t>
      </w:r>
      <w:r>
        <w:t xml:space="preserve"> est schématisé ci-</w:t>
      </w:r>
      <w:r w:rsidR="00BF61F3">
        <w:t>dessous</w:t>
      </w:r>
      <w:r>
        <w:t>.</w:t>
      </w:r>
      <w:r w:rsidR="00F26659">
        <w:t xml:space="preserve"> CELSIUS n’est pas détaillé ici, se référer au document </w:t>
      </w:r>
      <w:r w:rsidR="00F26659" w:rsidRPr="00F26659">
        <w:t>Scientific_Math_descriptionCELSIUS.docx</w:t>
      </w:r>
      <w:r w:rsidR="00F26659">
        <w:t>.</w:t>
      </w:r>
      <w:r>
        <w:t xml:space="preserve"> </w:t>
      </w:r>
    </w:p>
    <w:p w:rsidR="00351F32" w:rsidRDefault="00351F32" w:rsidP="007C6C2D">
      <w:pPr>
        <w:spacing w:line="360" w:lineRule="auto"/>
        <w:jc w:val="both"/>
      </w:pPr>
    </w:p>
    <w:p w:rsidR="00351F32" w:rsidRDefault="00B77272" w:rsidP="007C6C2D">
      <w:pPr>
        <w:spacing w:line="360" w:lineRule="auto"/>
        <w:jc w:val="both"/>
      </w:pPr>
      <w:r w:rsidRPr="00B77272">
        <w:rPr>
          <w:noProof/>
        </w:rPr>
        <w:drawing>
          <wp:inline distT="0" distB="0" distL="0" distR="0">
            <wp:extent cx="5760720" cy="3529559"/>
            <wp:effectExtent l="19050" t="0" r="0" b="0"/>
            <wp:docPr id="2"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5269" cy="4941887"/>
                      <a:chOff x="467544" y="1916113"/>
                      <a:chExt cx="8065269" cy="4941887"/>
                    </a:xfrm>
                  </a:grpSpPr>
                  <a:grpSp>
                    <a:nvGrpSpPr>
                      <a:cNvPr id="70" name="Groupe 69"/>
                      <a:cNvGrpSpPr/>
                    </a:nvGrpSpPr>
                    <a:grpSpPr>
                      <a:xfrm>
                        <a:off x="467544" y="1916113"/>
                        <a:ext cx="8065269" cy="4941887"/>
                        <a:chOff x="467544" y="1916113"/>
                        <a:chExt cx="8065269" cy="4941887"/>
                      </a:xfrm>
                    </a:grpSpPr>
                    <a:sp>
                      <a:nvSpPr>
                        <a:cNvPr id="56" name="ZoneTexte 55"/>
                        <a:cNvSpPr txBox="1"/>
                      </a:nvSpPr>
                      <a:spPr>
                        <a:xfrm>
                          <a:off x="4211960" y="6488668"/>
                          <a:ext cx="4048801"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FTSW: Fraction of </a:t>
                            </a:r>
                            <a:r>
                              <a:rPr lang="fr-FR" dirty="0" err="1" smtClean="0"/>
                              <a:t>Transpirable</a:t>
                            </a:r>
                            <a:r>
                              <a:rPr lang="fr-FR" dirty="0" smtClean="0"/>
                              <a:t> </a:t>
                            </a:r>
                            <a:r>
                              <a:rPr lang="fr-FR" dirty="0" err="1" smtClean="0"/>
                              <a:t>Soil</a:t>
                            </a:r>
                            <a:r>
                              <a:rPr lang="fr-FR" dirty="0" smtClean="0"/>
                              <a:t> </a:t>
                            </a:r>
                            <a:r>
                              <a:rPr lang="fr-FR" dirty="0" err="1" smtClean="0"/>
                              <a:t>Water</a:t>
                            </a:r>
                            <a:endParaRPr lang="fr-FR" dirty="0"/>
                          </a:p>
                        </a:txBody>
                        <a:useSpRect/>
                      </a:txSp>
                    </a:sp>
                    <a:grpSp>
                      <a:nvGrpSpPr>
                        <a:cNvPr id="4" name="Groupe 68"/>
                        <a:cNvGrpSpPr/>
                      </a:nvGrpSpPr>
                      <a:grpSpPr>
                        <a:xfrm>
                          <a:off x="467544" y="1916113"/>
                          <a:ext cx="8065269" cy="4726334"/>
                          <a:chOff x="467544" y="1916113"/>
                          <a:chExt cx="8065269" cy="4726334"/>
                        </a:xfrm>
                      </a:grpSpPr>
                      <a:grpSp>
                        <a:nvGrpSpPr>
                          <a:cNvPr id="5" name="Group 48"/>
                          <a:cNvGrpSpPr>
                            <a:grpSpLocks/>
                          </a:cNvGrpSpPr>
                        </a:nvGrpSpPr>
                        <a:grpSpPr bwMode="auto">
                          <a:xfrm>
                            <a:off x="4284663" y="5949950"/>
                            <a:ext cx="1654175" cy="646113"/>
                            <a:chOff x="262" y="390"/>
                            <a:chExt cx="1042" cy="421"/>
                          </a:xfrm>
                        </a:grpSpPr>
                        <a:sp>
                          <a:nvSpPr>
                            <a:cNvPr id="38959" name="Line 49"/>
                            <a:cNvSpPr>
                              <a:spLocks noChangeShapeType="1"/>
                            </a:cNvSpPr>
                          </a:nvSpPr>
                          <a:spPr bwMode="auto">
                            <a:xfrm>
                              <a:off x="262" y="511"/>
                              <a:ext cx="318" cy="0"/>
                            </a:xfrm>
                            <a:prstGeom prst="line">
                              <a:avLst/>
                            </a:prstGeom>
                            <a:noFill/>
                            <a:ln w="38100">
                              <a:solidFill>
                                <a:srgbClr val="003399"/>
                              </a:solidFill>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60" name="Line 50"/>
                            <a:cNvSpPr>
                              <a:spLocks noChangeShapeType="1"/>
                            </a:cNvSpPr>
                          </a:nvSpPr>
                          <a:spPr bwMode="auto">
                            <a:xfrm>
                              <a:off x="262" y="693"/>
                              <a:ext cx="318" cy="0"/>
                            </a:xfrm>
                            <a:prstGeom prst="line">
                              <a:avLst/>
                            </a:prstGeom>
                            <a:noFill/>
                            <a:ln w="38100">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61" name="Text Box 51"/>
                            <a:cNvSpPr txBox="1">
                              <a:spLocks noChangeArrowheads="1"/>
                            </a:cNvSpPr>
                          </a:nvSpPr>
                          <a:spPr bwMode="auto">
                            <a:xfrm>
                              <a:off x="609" y="390"/>
                              <a:ext cx="340" cy="239"/>
                            </a:xfrm>
                            <a:prstGeom prst="rect">
                              <a:avLst/>
                            </a:prstGeom>
                            <a:noFill/>
                            <a:ln w="9525">
                              <a:noFill/>
                              <a:miter lim="800000"/>
                              <a:headEnd/>
                              <a:tailEnd/>
                            </a:ln>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Clr>
                                    <a:srgbClr val="000000"/>
                                  </a:buClr>
                                  <a:buSzPct val="100000"/>
                                  <a:buFont typeface="Times New Roman" pitchFamily="18" charset="0"/>
                                  <a:buNone/>
                                </a:pPr>
                                <a:r>
                                  <a:rPr lang="fr-FR" sz="1800"/>
                                  <a:t>flux</a:t>
                                </a:r>
                              </a:p>
                            </a:txBody>
                            <a:useSpRect/>
                          </a:txSp>
                        </a:sp>
                        <a:sp>
                          <a:nvSpPr>
                            <a:cNvPr id="38962" name="Text Box 52"/>
                            <a:cNvSpPr txBox="1">
                              <a:spLocks noChangeArrowheads="1"/>
                            </a:cNvSpPr>
                          </a:nvSpPr>
                          <a:spPr bwMode="auto">
                            <a:xfrm>
                              <a:off x="612" y="572"/>
                              <a:ext cx="692" cy="239"/>
                            </a:xfrm>
                            <a:prstGeom prst="rect">
                              <a:avLst/>
                            </a:prstGeom>
                            <a:noFill/>
                            <a:ln w="9525">
                              <a:noFill/>
                              <a:miter lim="800000"/>
                              <a:headEnd/>
                              <a:tailEnd/>
                            </a:ln>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Clr>
                                    <a:srgbClr val="000000"/>
                                  </a:buClr>
                                  <a:buSzPct val="100000"/>
                                  <a:buFont typeface="Times New Roman" pitchFamily="18" charset="0"/>
                                  <a:buNone/>
                                </a:pPr>
                                <a:r>
                                  <a:rPr lang="fr-FR" sz="1800"/>
                                  <a:t>influence</a:t>
                                </a:r>
                              </a:p>
                            </a:txBody>
                            <a:useSpRect/>
                          </a:txSp>
                        </a:sp>
                      </a:grpSp>
                      <a:grpSp>
                        <a:nvGrpSpPr>
                          <a:cNvPr id="6" name="Group 64"/>
                          <a:cNvGrpSpPr>
                            <a:grpSpLocks/>
                          </a:cNvGrpSpPr>
                        </a:nvGrpSpPr>
                        <a:grpSpPr bwMode="auto">
                          <a:xfrm>
                            <a:off x="684213" y="1916113"/>
                            <a:ext cx="7848600" cy="3603625"/>
                            <a:chOff x="431" y="1207"/>
                            <a:chExt cx="4944" cy="2270"/>
                          </a:xfrm>
                        </a:grpSpPr>
                        <a:sp>
                          <a:nvSpPr>
                            <a:cNvPr id="81924" name="AutoShape 11"/>
                            <a:cNvSpPr>
                              <a:spLocks noChangeArrowheads="1"/>
                            </a:cNvSpPr>
                          </a:nvSpPr>
                          <a:spPr bwMode="auto">
                            <a:xfrm>
                              <a:off x="4241" y="1548"/>
                              <a:ext cx="1043" cy="1137"/>
                            </a:xfrm>
                            <a:prstGeom prst="roundRect">
                              <a:avLst>
                                <a:gd name="adj" fmla="val 199"/>
                              </a:avLst>
                            </a:prstGeom>
                            <a:solidFill>
                              <a:srgbClr val="579D1C"/>
                            </a:solidFill>
                            <a:ln w="25400">
                              <a:solidFill>
                                <a:srgbClr val="000000"/>
                              </a:solidFill>
                              <a:miter lim="800000"/>
                              <a:headEnd/>
                              <a:tailEnd/>
                            </a:ln>
                          </a:spPr>
                          <a:txSp>
                            <a:txBody>
                              <a:bodyPr lIns="90000" tIns="45000" rIns="90000" bIns="45000" anchor="ctr" anchorCtr="1"/>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defRPr/>
                                </a:pPr>
                                <a:endParaRPr lang="fr-FR" sz="1800" dirty="0">
                                  <a:solidFill>
                                    <a:srgbClr val="000000"/>
                                  </a:solidFill>
                                </a:endParaRPr>
                              </a:p>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defRPr/>
                                </a:pPr>
                                <a:endParaRPr lang="fr-FR" sz="1800" dirty="0">
                                  <a:solidFill>
                                    <a:srgbClr val="000000"/>
                                  </a:solidFill>
                                </a:endParaRPr>
                              </a:p>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defRPr/>
                                </a:pPr>
                                <a:endParaRPr lang="fr-FR" sz="1800" dirty="0">
                                  <a:solidFill>
                                    <a:srgbClr val="000000"/>
                                  </a:solidFill>
                                </a:endParaRPr>
                              </a:p>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defRPr/>
                                </a:pPr>
                                <a:r>
                                  <a:rPr lang="fr-FR" sz="1800" b="1" dirty="0" err="1" smtClean="0">
                                    <a:solidFill>
                                      <a:schemeClr val="bg1"/>
                                    </a:solidFill>
                                    <a:effectLst>
                                      <a:outerShdw blurRad="38100" dist="38100" dir="2700000" algn="tl">
                                        <a:srgbClr val="000000"/>
                                      </a:outerShdw>
                                    </a:effectLst>
                                  </a:rPr>
                                  <a:t>Aboveground</a:t>
                                </a:r>
                                <a:r>
                                  <a:rPr lang="fr-FR" sz="1800" b="1" dirty="0" smtClean="0">
                                    <a:solidFill>
                                      <a:schemeClr val="bg1"/>
                                    </a:solidFill>
                                    <a:effectLst>
                                      <a:outerShdw blurRad="38100" dist="38100" dir="2700000" algn="tl">
                                        <a:srgbClr val="000000"/>
                                      </a:outerShdw>
                                    </a:effectLst>
                                  </a:rPr>
                                  <a:t> </a:t>
                                </a:r>
                                <a:r>
                                  <a:rPr lang="fr-FR" sz="1800" b="1" dirty="0" err="1" smtClean="0">
                                    <a:solidFill>
                                      <a:schemeClr val="bg1"/>
                                    </a:solidFill>
                                    <a:effectLst>
                                      <a:outerShdw blurRad="38100" dist="38100" dir="2700000" algn="tl">
                                        <a:srgbClr val="000000"/>
                                      </a:outerShdw>
                                    </a:effectLst>
                                  </a:rPr>
                                  <a:t>Biomass</a:t>
                                </a:r>
                                <a:r>
                                  <a:rPr lang="fr-FR" sz="1800" b="1" dirty="0" smtClean="0">
                                    <a:solidFill>
                                      <a:schemeClr val="bg1"/>
                                    </a:solidFill>
                                    <a:effectLst>
                                      <a:outerShdw blurRad="38100" dist="38100" dir="2700000" algn="tl">
                                        <a:srgbClr val="000000"/>
                                      </a:outerShdw>
                                    </a:effectLst>
                                  </a:rPr>
                                  <a:t> </a:t>
                                </a:r>
                                <a:r>
                                  <a:rPr lang="fr-FR" sz="1800" dirty="0" smtClean="0">
                                    <a:solidFill>
                                      <a:srgbClr val="000000"/>
                                    </a:solidFill>
                                  </a:rPr>
                                  <a:t> </a:t>
                                </a:r>
                                <a:endParaRPr lang="fr-FR" sz="1800" dirty="0">
                                  <a:solidFill>
                                    <a:srgbClr val="000000"/>
                                  </a:solidFill>
                                </a:endParaRPr>
                              </a:p>
                            </a:txBody>
                            <a:useSpRect/>
                          </a:txSp>
                        </a:sp>
                        <a:sp>
                          <a:nvSpPr>
                            <a:cNvPr id="38934" name="AutoShape 12"/>
                            <a:cNvSpPr>
                              <a:spLocks noChangeArrowheads="1"/>
                            </a:cNvSpPr>
                          </a:nvSpPr>
                          <a:spPr bwMode="auto">
                            <a:xfrm>
                              <a:off x="1750" y="1307"/>
                              <a:ext cx="3612" cy="2170"/>
                            </a:xfrm>
                            <a:prstGeom prst="roundRect">
                              <a:avLst>
                                <a:gd name="adj" fmla="val 42"/>
                              </a:avLst>
                            </a:prstGeom>
                            <a:noFill/>
                            <a:ln w="25400">
                              <a:solidFill>
                                <a:srgbClr val="000000"/>
                              </a:solidFill>
                              <a:miter lim="800000"/>
                              <a:headEnd/>
                              <a:tailEnd/>
                            </a:ln>
                          </a:spPr>
                          <a:txSp>
                            <a:txBody>
                              <a:bodyPr wrap="none" anchor="ct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Clr>
                                    <a:srgbClr val="000000"/>
                                  </a:buClr>
                                  <a:buSzPct val="100000"/>
                                  <a:buFont typeface="Times New Roman" pitchFamily="18" charset="0"/>
                                  <a:buNone/>
                                </a:pPr>
                                <a:endParaRPr lang="en-US" sz="1800">
                                  <a:solidFill>
                                    <a:schemeClr val="bg1"/>
                                  </a:solidFill>
                                </a:endParaRPr>
                              </a:p>
                            </a:txBody>
                            <a:useSpRect/>
                          </a:txSp>
                        </a:sp>
                        <a:sp>
                          <a:nvSpPr>
                            <a:cNvPr id="38935" name="AutoShape 13"/>
                            <a:cNvSpPr>
                              <a:spLocks noChangeArrowheads="1"/>
                            </a:cNvSpPr>
                          </a:nvSpPr>
                          <a:spPr bwMode="auto">
                            <a:xfrm>
                              <a:off x="3062" y="1780"/>
                              <a:ext cx="855" cy="614"/>
                            </a:xfrm>
                            <a:prstGeom prst="roundRect">
                              <a:avLst>
                                <a:gd name="adj" fmla="val 199"/>
                              </a:avLst>
                            </a:prstGeom>
                            <a:solidFill>
                              <a:srgbClr val="AECF00"/>
                            </a:solidFill>
                            <a:ln w="25400">
                              <a:solidFill>
                                <a:srgbClr val="000000"/>
                              </a:solidFill>
                              <a:miter lim="800000"/>
                              <a:headEnd/>
                              <a:tailEnd/>
                            </a:ln>
                          </a:spPr>
                          <a:txSp>
                            <a:txBody>
                              <a:bodyPr lIns="90000" tIns="45000" rIns="90000" bIns="45000" anchor="ctr" anchorCtr="1"/>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fr-FR" sz="1800" dirty="0" err="1" smtClean="0">
                                    <a:solidFill>
                                      <a:srgbClr val="000000"/>
                                    </a:solidFill>
                                  </a:rPr>
                                  <a:t>Potential</a:t>
                                </a:r>
                                <a:r>
                                  <a:rPr lang="fr-FR" sz="1800" dirty="0" smtClean="0">
                                    <a:solidFill>
                                      <a:srgbClr val="000000"/>
                                    </a:solidFill>
                                  </a:rPr>
                                  <a:t> </a:t>
                                </a:r>
                                <a:r>
                                  <a:rPr lang="fr-FR" sz="1800" dirty="0" err="1" smtClean="0">
                                    <a:solidFill>
                                      <a:srgbClr val="000000"/>
                                    </a:solidFill>
                                  </a:rPr>
                                  <a:t>Leaf</a:t>
                                </a:r>
                                <a:r>
                                  <a:rPr lang="fr-FR" sz="1800" dirty="0" smtClean="0">
                                    <a:solidFill>
                                      <a:srgbClr val="000000"/>
                                    </a:solidFill>
                                  </a:rPr>
                                  <a:t> area Index</a:t>
                                </a:r>
                                <a:endParaRPr lang="fr-FR" sz="1800" dirty="0">
                                  <a:solidFill>
                                    <a:srgbClr val="000000"/>
                                  </a:solidFill>
                                </a:endParaRPr>
                              </a:p>
                            </a:txBody>
                            <a:useSpRect/>
                          </a:txSp>
                        </a:sp>
                        <a:sp>
                          <a:nvSpPr>
                            <a:cNvPr id="38936" name="AutoShape 14"/>
                            <a:cNvSpPr>
                              <a:spLocks noChangeArrowheads="1"/>
                            </a:cNvSpPr>
                          </a:nvSpPr>
                          <a:spPr bwMode="auto">
                            <a:xfrm>
                              <a:off x="4395" y="1733"/>
                              <a:ext cx="708" cy="341"/>
                            </a:xfrm>
                            <a:prstGeom prst="roundRect">
                              <a:avLst>
                                <a:gd name="adj" fmla="val 199"/>
                              </a:avLst>
                            </a:prstGeom>
                            <a:solidFill>
                              <a:srgbClr val="FFFF66"/>
                            </a:solidFill>
                            <a:ln w="25400">
                              <a:solidFill>
                                <a:srgbClr val="000000"/>
                              </a:solidFill>
                              <a:miter lim="800000"/>
                              <a:headEnd/>
                              <a:tailEnd/>
                            </a:ln>
                          </a:spPr>
                          <a:txSp>
                            <a:txBody>
                              <a:bodyPr lIns="90000" tIns="45000" rIns="90000" bIns="45000" anchor="ctr" anchorCtr="1"/>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fr-FR" sz="1800" dirty="0" smtClean="0">
                                    <a:solidFill>
                                      <a:srgbClr val="000000"/>
                                    </a:solidFill>
                                  </a:rPr>
                                  <a:t>Grain </a:t>
                                </a:r>
                                <a:endParaRPr lang="fr-FR" sz="1800" dirty="0">
                                  <a:solidFill>
                                    <a:srgbClr val="000000"/>
                                  </a:solidFill>
                                </a:endParaRPr>
                              </a:p>
                            </a:txBody>
                            <a:useSpRect/>
                          </a:txSp>
                        </a:sp>
                        <a:sp>
                          <a:nvSpPr>
                            <a:cNvPr id="81928" name="AutoShape 15"/>
                            <a:cNvSpPr>
                              <a:spLocks noChangeArrowheads="1"/>
                            </a:cNvSpPr>
                          </a:nvSpPr>
                          <a:spPr bwMode="auto">
                            <a:xfrm>
                              <a:off x="4241" y="2687"/>
                              <a:ext cx="1043" cy="476"/>
                            </a:xfrm>
                            <a:prstGeom prst="roundRect">
                              <a:avLst>
                                <a:gd name="adj" fmla="val 199"/>
                              </a:avLst>
                            </a:prstGeom>
                            <a:solidFill>
                              <a:srgbClr val="996633"/>
                            </a:solidFill>
                            <a:ln w="25400">
                              <a:solidFill>
                                <a:srgbClr val="000000"/>
                              </a:solidFill>
                              <a:miter lim="800000"/>
                              <a:headEnd/>
                              <a:tailEnd/>
                            </a:ln>
                          </a:spPr>
                          <a:txSp>
                            <a:txBody>
                              <a:bodyPr lIns="90000" tIns="45000" rIns="90000" bIns="45000" anchor="ctr" anchorCtr="1"/>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defRPr/>
                                </a:pPr>
                                <a:r>
                                  <a:rPr lang="fr-FR" sz="1800" b="1" dirty="0" err="1" smtClean="0">
                                    <a:solidFill>
                                      <a:schemeClr val="bg1"/>
                                    </a:solidFill>
                                    <a:effectLst>
                                      <a:outerShdw blurRad="38100" dist="38100" dir="2700000" algn="tl">
                                        <a:srgbClr val="000000"/>
                                      </a:outerShdw>
                                    </a:effectLst>
                                  </a:rPr>
                                  <a:t>Roots</a:t>
                                </a:r>
                                <a:r>
                                  <a:rPr lang="fr-FR" sz="1800" dirty="0" smtClean="0">
                                    <a:solidFill>
                                      <a:srgbClr val="000000"/>
                                    </a:solidFill>
                                  </a:rPr>
                                  <a:t> </a:t>
                                </a:r>
                                <a:endParaRPr lang="fr-FR" sz="1800" dirty="0">
                                  <a:solidFill>
                                    <a:srgbClr val="000000"/>
                                  </a:solidFill>
                                </a:endParaRPr>
                              </a:p>
                            </a:txBody>
                            <a:useSpRect/>
                          </a:txSp>
                        </a:sp>
                        <a:sp>
                          <a:nvSpPr>
                            <a:cNvPr id="38938" name="Text Box 17"/>
                            <a:cNvSpPr txBox="1">
                              <a:spLocks noChangeArrowheads="1"/>
                            </a:cNvSpPr>
                          </a:nvSpPr>
                          <a:spPr bwMode="auto">
                            <a:xfrm>
                              <a:off x="431" y="1856"/>
                              <a:ext cx="1044" cy="515"/>
                            </a:xfrm>
                            <a:prstGeom prst="rect">
                              <a:avLst/>
                            </a:prstGeom>
                            <a:solidFill>
                              <a:srgbClr val="FF99FF"/>
                            </a:solidFill>
                            <a:ln w="9525">
                              <a:solidFill>
                                <a:schemeClr val="tx1"/>
                              </a:solidFill>
                              <a:round/>
                              <a:headEnd/>
                              <a:tailEnd/>
                            </a:ln>
                          </a:spPr>
                          <a:txSp>
                            <a:txBody>
                              <a:bodyPr lIns="90000" tIns="45000" rIns="90000" bIns="45000" anchor="ct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fr-FR" sz="1800" dirty="0" err="1" smtClean="0">
                                    <a:solidFill>
                                      <a:srgbClr val="000000"/>
                                    </a:solidFill>
                                  </a:rPr>
                                  <a:t>Climate</a:t>
                                </a:r>
                                <a:endParaRPr lang="fr-FR" sz="1800" dirty="0">
                                  <a:solidFill>
                                    <a:srgbClr val="000000"/>
                                  </a:solidFill>
                                </a:endParaRPr>
                              </a:p>
                            </a:txBody>
                            <a:useSpRect/>
                          </a:txSp>
                        </a:sp>
                        <a:sp>
                          <a:nvSpPr>
                            <a:cNvPr id="38939" name="Text Box 19"/>
                            <a:cNvSpPr txBox="1">
                              <a:spLocks noChangeArrowheads="1"/>
                            </a:cNvSpPr>
                          </a:nvSpPr>
                          <a:spPr bwMode="auto">
                            <a:xfrm>
                              <a:off x="2699" y="2886"/>
                              <a:ext cx="1270" cy="482"/>
                            </a:xfrm>
                            <a:prstGeom prst="rect">
                              <a:avLst/>
                            </a:prstGeom>
                            <a:noFill/>
                            <a:ln w="25400">
                              <a:solidFill>
                                <a:schemeClr val="tx1"/>
                              </a:solidFill>
                              <a:round/>
                              <a:headEnd/>
                              <a:tailEnd/>
                            </a:ln>
                          </a:spPr>
                          <a:txSp>
                            <a:txBody>
                              <a:bodyPr lIns="90000" tIns="45000" rIns="90000" bIns="45000" anchor="ct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fr-FR" sz="1800" dirty="0" err="1" smtClean="0">
                                    <a:solidFill>
                                      <a:srgbClr val="000000"/>
                                    </a:solidFill>
                                  </a:rPr>
                                  <a:t>Water</a:t>
                                </a:r>
                                <a:r>
                                  <a:rPr lang="fr-FR" sz="1800" dirty="0" smtClean="0">
                                    <a:solidFill>
                                      <a:srgbClr val="000000"/>
                                    </a:solidFill>
                                  </a:rPr>
                                  <a:t> balance: FTSW </a:t>
                                </a:r>
                                <a:r>
                                  <a:rPr lang="fr-FR" sz="1800" dirty="0" smtClean="0"/>
                                  <a:t>(</a:t>
                                </a:r>
                                <a:r>
                                  <a:rPr lang="fr-FR" sz="1800" dirty="0" err="1" smtClean="0"/>
                                  <a:t>Water</a:t>
                                </a:r>
                                <a:r>
                                  <a:rPr lang="fr-FR" sz="1800" dirty="0" smtClean="0"/>
                                  <a:t> stress)</a:t>
                                </a:r>
                                <a:endParaRPr lang="fr-FR" sz="1800" dirty="0"/>
                              </a:p>
                            </a:txBody>
                            <a:useSpRect/>
                          </a:txSp>
                        </a:sp>
                        <a:sp>
                          <a:nvSpPr>
                            <a:cNvPr id="38940" name="Line 21"/>
                            <a:cNvSpPr>
                              <a:spLocks noChangeShapeType="1"/>
                            </a:cNvSpPr>
                          </a:nvSpPr>
                          <a:spPr bwMode="auto">
                            <a:xfrm>
                              <a:off x="1746" y="2688"/>
                              <a:ext cx="3629" cy="0"/>
                            </a:xfrm>
                            <a:prstGeom prst="line">
                              <a:avLst/>
                            </a:prstGeom>
                            <a:noFill/>
                            <a:ln w="25400">
                              <a:solidFill>
                                <a:schemeClr val="tx1"/>
                              </a:solidFill>
                              <a:round/>
                              <a:headEnd/>
                              <a:tailEn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41" name="Text Box 22"/>
                            <a:cNvSpPr txBox="1">
                              <a:spLocks noChangeArrowheads="1"/>
                            </a:cNvSpPr>
                          </a:nvSpPr>
                          <a:spPr bwMode="auto">
                            <a:xfrm>
                              <a:off x="2329" y="2659"/>
                              <a:ext cx="324" cy="231"/>
                            </a:xfrm>
                            <a:prstGeom prst="rect">
                              <a:avLst/>
                            </a:prstGeom>
                            <a:noFill/>
                            <a:ln w="9525">
                              <a:noFill/>
                              <a:miter lim="800000"/>
                              <a:headEnd/>
                              <a:tailEnd/>
                            </a:ln>
                          </a:spPr>
                          <a:txSp>
                            <a:txBody>
                              <a:bodyPr wrap="none">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Clr>
                                    <a:srgbClr val="000000"/>
                                  </a:buClr>
                                  <a:buSzPct val="100000"/>
                                  <a:buFont typeface="Times New Roman" pitchFamily="18" charset="0"/>
                                  <a:buNone/>
                                </a:pPr>
                                <a:r>
                                  <a:rPr lang="fr-FR" sz="1800" dirty="0" err="1" smtClean="0"/>
                                  <a:t>Soil</a:t>
                                </a:r>
                                <a:endParaRPr lang="fr-FR" sz="1800" dirty="0"/>
                              </a:p>
                            </a:txBody>
                            <a:useSpRect/>
                          </a:txSp>
                        </a:sp>
                        <a:sp>
                          <a:nvSpPr>
                            <a:cNvPr id="38942" name="Line 23"/>
                            <a:cNvSpPr>
                              <a:spLocks noChangeShapeType="1"/>
                            </a:cNvSpPr>
                          </a:nvSpPr>
                          <a:spPr bwMode="auto">
                            <a:xfrm flipV="1">
                              <a:off x="3923" y="1952"/>
                              <a:ext cx="453" cy="132"/>
                            </a:xfrm>
                            <a:prstGeom prst="line">
                              <a:avLst/>
                            </a:prstGeom>
                            <a:noFill/>
                            <a:ln w="38100">
                              <a:solidFill>
                                <a:srgbClr val="003399"/>
                              </a:solidFill>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81935" name="Text Box 24"/>
                            <a:cNvSpPr txBox="1">
                              <a:spLocks noChangeArrowheads="1"/>
                            </a:cNvSpPr>
                          </a:nvSpPr>
                          <a:spPr bwMode="auto">
                            <a:xfrm>
                              <a:off x="1882" y="1816"/>
                              <a:ext cx="953" cy="407"/>
                            </a:xfrm>
                            <a:prstGeom prst="rect">
                              <a:avLst/>
                            </a:prstGeom>
                            <a:solidFill>
                              <a:schemeClr val="hlink"/>
                            </a:solidFill>
                            <a:ln w="25400">
                              <a:solidFill>
                                <a:schemeClr val="tx1"/>
                              </a:solidFill>
                              <a:miter lim="800000"/>
                              <a:headEnd/>
                              <a:tailEnd/>
                            </a:ln>
                          </a:spPr>
                          <a:txSp>
                            <a:txBody>
                              <a:bodyPr anchor="ctr">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hangingPunct="1">
                                  <a:buClr>
                                    <a:srgbClr val="000000"/>
                                  </a:buClr>
                                  <a:buSzPct val="100000"/>
                                  <a:buFont typeface="Times New Roman" pitchFamily="18" charset="0"/>
                                  <a:buNone/>
                                  <a:defRPr/>
                                </a:pPr>
                                <a:r>
                                  <a:rPr lang="fr-FR" sz="1800" b="1" dirty="0" err="1" smtClean="0">
                                    <a:solidFill>
                                      <a:schemeClr val="bg1"/>
                                    </a:solidFill>
                                    <a:effectLst>
                                      <a:outerShdw blurRad="38100" dist="38100" dir="2700000" algn="tl">
                                        <a:srgbClr val="000000"/>
                                      </a:outerShdw>
                                    </a:effectLst>
                                  </a:rPr>
                                  <a:t>Phenology</a:t>
                                </a:r>
                                <a:endParaRPr lang="fr-FR" sz="1800" b="1" dirty="0" smtClean="0">
                                  <a:solidFill>
                                    <a:schemeClr val="bg1"/>
                                  </a:solidFill>
                                  <a:effectLst>
                                    <a:outerShdw blurRad="38100" dist="38100" dir="2700000" algn="tl">
                                      <a:srgbClr val="000000"/>
                                    </a:outerShdw>
                                  </a:effectLst>
                                </a:endParaRPr>
                              </a:p>
                              <a:p>
                                <a:pPr eaLnBrk="1" hangingPunct="1">
                                  <a:buClr>
                                    <a:srgbClr val="000000"/>
                                  </a:buClr>
                                  <a:buSzPct val="100000"/>
                                  <a:buFont typeface="Times New Roman" pitchFamily="18" charset="0"/>
                                  <a:buNone/>
                                  <a:defRPr/>
                                </a:pPr>
                                <a:endParaRPr lang="fr-FR" sz="1800" b="1" dirty="0" smtClean="0">
                                  <a:solidFill>
                                    <a:schemeClr val="bg1"/>
                                  </a:solidFill>
                                  <a:effectLst>
                                    <a:outerShdw blurRad="38100" dist="38100" dir="2700000" algn="tl">
                                      <a:srgbClr val="000000"/>
                                    </a:outerShdw>
                                  </a:effectLst>
                                </a:endParaRPr>
                              </a:p>
                            </a:txBody>
                            <a:useSpRect/>
                          </a:txSp>
                        </a:sp>
                        <a:sp>
                          <a:nvSpPr>
                            <a:cNvPr id="38944" name="Line 25"/>
                            <a:cNvSpPr>
                              <a:spLocks noChangeShapeType="1"/>
                            </a:cNvSpPr>
                          </a:nvSpPr>
                          <a:spPr bwMode="auto">
                            <a:xfrm>
                              <a:off x="1474" y="2008"/>
                              <a:ext cx="401" cy="0"/>
                            </a:xfrm>
                            <a:prstGeom prst="line">
                              <a:avLst/>
                            </a:prstGeom>
                            <a:noFill/>
                            <a:ln w="25400">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45" name="Line 26"/>
                            <a:cNvSpPr>
                              <a:spLocks noChangeShapeType="1"/>
                            </a:cNvSpPr>
                          </a:nvSpPr>
                          <a:spPr bwMode="auto">
                            <a:xfrm>
                              <a:off x="2835" y="1947"/>
                              <a:ext cx="227" cy="5"/>
                            </a:xfrm>
                            <a:prstGeom prst="line">
                              <a:avLst/>
                            </a:prstGeom>
                            <a:noFill/>
                            <a:ln w="25400">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46" name="Line 27"/>
                            <a:cNvSpPr>
                              <a:spLocks noChangeShapeType="1"/>
                            </a:cNvSpPr>
                          </a:nvSpPr>
                          <a:spPr bwMode="auto">
                            <a:xfrm>
                              <a:off x="3924" y="2074"/>
                              <a:ext cx="453" cy="220"/>
                            </a:xfrm>
                            <a:prstGeom prst="line">
                              <a:avLst/>
                            </a:prstGeom>
                            <a:noFill/>
                            <a:ln w="38100">
                              <a:solidFill>
                                <a:srgbClr val="003399"/>
                              </a:solidFill>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47" name="Line 28"/>
                            <a:cNvSpPr>
                              <a:spLocks noChangeShapeType="1"/>
                            </a:cNvSpPr>
                          </a:nvSpPr>
                          <a:spPr bwMode="auto">
                            <a:xfrm>
                              <a:off x="1474" y="2260"/>
                              <a:ext cx="1588" cy="0"/>
                            </a:xfrm>
                            <a:prstGeom prst="line">
                              <a:avLst/>
                            </a:prstGeom>
                            <a:noFill/>
                            <a:ln w="38100">
                              <a:solidFill>
                                <a:srgbClr val="003399"/>
                              </a:solidFill>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48" name="Line 29"/>
                            <a:cNvSpPr>
                              <a:spLocks noChangeShapeType="1"/>
                            </a:cNvSpPr>
                          </a:nvSpPr>
                          <a:spPr bwMode="auto">
                            <a:xfrm>
                              <a:off x="1020" y="2391"/>
                              <a:ext cx="0" cy="691"/>
                            </a:xfrm>
                            <a:prstGeom prst="line">
                              <a:avLst/>
                            </a:prstGeom>
                            <a:noFill/>
                            <a:ln w="25400">
                              <a:solidFill>
                                <a:srgbClr val="FF0000"/>
                              </a:solidFill>
                              <a:prstDash val="dash"/>
                              <a:round/>
                              <a:headEnd/>
                              <a:tailEnd type="none" w="lg" len="lg"/>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50" name="Line 31"/>
                            <a:cNvSpPr>
                              <a:spLocks noChangeShapeType="1"/>
                            </a:cNvSpPr>
                          </a:nvSpPr>
                          <a:spPr bwMode="auto">
                            <a:xfrm flipV="1">
                              <a:off x="4059" y="2215"/>
                              <a:ext cx="0" cy="901"/>
                            </a:xfrm>
                            <a:prstGeom prst="line">
                              <a:avLst/>
                            </a:prstGeom>
                            <a:noFill/>
                            <a:ln w="25400">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51" name="Line 32"/>
                            <a:cNvSpPr>
                              <a:spLocks noChangeShapeType="1"/>
                            </a:cNvSpPr>
                          </a:nvSpPr>
                          <a:spPr bwMode="auto">
                            <a:xfrm flipV="1">
                              <a:off x="2835" y="1952"/>
                              <a:ext cx="0" cy="1184"/>
                            </a:xfrm>
                            <a:prstGeom prst="line">
                              <a:avLst/>
                            </a:prstGeom>
                            <a:noFill/>
                            <a:ln w="25400">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52" name="Line 33"/>
                            <a:cNvSpPr>
                              <a:spLocks noChangeShapeType="1"/>
                            </a:cNvSpPr>
                          </a:nvSpPr>
                          <a:spPr bwMode="auto">
                            <a:xfrm>
                              <a:off x="3787" y="3136"/>
                              <a:ext cx="272" cy="0"/>
                            </a:xfrm>
                            <a:prstGeom prst="line">
                              <a:avLst/>
                            </a:prstGeom>
                            <a:noFill/>
                            <a:ln w="25400">
                              <a:solidFill>
                                <a:srgbClr val="FF0000"/>
                              </a:solidFill>
                              <a:prstDash val="dash"/>
                              <a:round/>
                              <a:headEnd/>
                              <a:tailEn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53" name="Line 34"/>
                            <a:cNvSpPr>
                              <a:spLocks noChangeShapeType="1"/>
                            </a:cNvSpPr>
                          </a:nvSpPr>
                          <a:spPr bwMode="auto">
                            <a:xfrm>
                              <a:off x="2835" y="3127"/>
                              <a:ext cx="91" cy="0"/>
                            </a:xfrm>
                            <a:prstGeom prst="line">
                              <a:avLst/>
                            </a:prstGeom>
                            <a:noFill/>
                            <a:ln w="25400">
                              <a:solidFill>
                                <a:srgbClr val="FF0000"/>
                              </a:solidFill>
                              <a:prstDash val="dash"/>
                              <a:round/>
                              <a:headEnd/>
                              <a:tailEn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54" name="Text Box 38"/>
                            <a:cNvSpPr txBox="1">
                              <a:spLocks noChangeArrowheads="1"/>
                            </a:cNvSpPr>
                          </a:nvSpPr>
                          <a:spPr bwMode="auto">
                            <a:xfrm>
                              <a:off x="486" y="1207"/>
                              <a:ext cx="1169" cy="233"/>
                            </a:xfrm>
                            <a:prstGeom prst="rect">
                              <a:avLst/>
                            </a:prstGeom>
                            <a:solidFill>
                              <a:srgbClr val="66FF66"/>
                            </a:solidFill>
                            <a:ln w="25400">
                              <a:solidFill>
                                <a:schemeClr val="tx1"/>
                              </a:solidFill>
                              <a:miter lim="800000"/>
                              <a:headEnd/>
                              <a:tailEnd/>
                            </a:ln>
                          </a:spPr>
                          <a:txSp>
                            <a:txBody>
                              <a:bodyPr>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buClr>
                                    <a:srgbClr val="000000"/>
                                  </a:buClr>
                                  <a:buSzPct val="100000"/>
                                  <a:buFont typeface="Times New Roman" pitchFamily="18" charset="0"/>
                                  <a:buNone/>
                                </a:pPr>
                                <a:r>
                                  <a:rPr lang="fr-FR" sz="1800" dirty="0" err="1" smtClean="0"/>
                                  <a:t>crops</a:t>
                                </a:r>
                                <a:endParaRPr lang="fr-FR" sz="1800" dirty="0"/>
                              </a:p>
                            </a:txBody>
                            <a:useSpRect/>
                          </a:txSp>
                        </a:sp>
                        <a:sp>
                          <a:nvSpPr>
                            <a:cNvPr id="38955" name="Line 39"/>
                            <a:cNvSpPr>
                              <a:spLocks noChangeShapeType="1"/>
                            </a:cNvSpPr>
                          </a:nvSpPr>
                          <a:spPr bwMode="auto">
                            <a:xfrm>
                              <a:off x="1655" y="1427"/>
                              <a:ext cx="2359" cy="0"/>
                            </a:xfrm>
                            <a:prstGeom prst="line">
                              <a:avLst/>
                            </a:prstGeom>
                            <a:noFill/>
                            <a:ln w="25400">
                              <a:solidFill>
                                <a:srgbClr val="FF0000"/>
                              </a:solidFill>
                              <a:prstDash val="dash"/>
                              <a:round/>
                              <a:headEnd/>
                              <a:tailEn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56" name="Line 40"/>
                            <a:cNvSpPr>
                              <a:spLocks noChangeShapeType="1"/>
                            </a:cNvSpPr>
                          </a:nvSpPr>
                          <a:spPr bwMode="auto">
                            <a:xfrm>
                              <a:off x="2290" y="1427"/>
                              <a:ext cx="0" cy="351"/>
                            </a:xfrm>
                            <a:prstGeom prst="line">
                              <a:avLst/>
                            </a:prstGeom>
                            <a:noFill/>
                            <a:ln w="25400">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57" name="Line 41"/>
                            <a:cNvSpPr>
                              <a:spLocks noChangeShapeType="1"/>
                            </a:cNvSpPr>
                          </a:nvSpPr>
                          <a:spPr bwMode="auto">
                            <a:xfrm>
                              <a:off x="4014" y="1438"/>
                              <a:ext cx="0" cy="526"/>
                            </a:xfrm>
                            <a:prstGeom prst="line">
                              <a:avLst/>
                            </a:prstGeom>
                            <a:noFill/>
                            <a:ln w="25400">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38958" name="Line 39"/>
                            <a:cNvSpPr>
                              <a:spLocks noChangeShapeType="1"/>
                            </a:cNvSpPr>
                          </a:nvSpPr>
                          <a:spPr bwMode="auto">
                            <a:xfrm flipH="1">
                              <a:off x="3969" y="3048"/>
                              <a:ext cx="273" cy="0"/>
                            </a:xfrm>
                            <a:prstGeom prst="line">
                              <a:avLst/>
                            </a:prstGeom>
                            <a:noFill/>
                            <a:ln w="28575">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grpSp>
                      <a:sp>
                        <a:nvSpPr>
                          <a:cNvPr id="51" name="Text Box 43"/>
                          <a:cNvSpPr txBox="1">
                            <a:spLocks noChangeArrowheads="1"/>
                          </a:cNvSpPr>
                        </a:nvSpPr>
                        <a:spPr bwMode="auto">
                          <a:xfrm>
                            <a:off x="467544" y="5085184"/>
                            <a:ext cx="1259877" cy="365864"/>
                          </a:xfrm>
                          <a:prstGeom prst="rect">
                            <a:avLst/>
                          </a:prstGeom>
                          <a:solidFill>
                            <a:srgbClr val="99FFCC"/>
                          </a:solidFill>
                          <a:ln w="9525" algn="ctr">
                            <a:solidFill>
                              <a:schemeClr val="tx1"/>
                            </a:solidFill>
                            <a:miter lim="800000"/>
                            <a:headEnd/>
                            <a:tailEnd/>
                          </a:ln>
                        </a:spPr>
                        <a:txSp>
                          <a:txBody>
                            <a:bodyPr>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800" b="1" dirty="0" err="1" smtClean="0"/>
                                <a:t>mulch</a:t>
                              </a:r>
                              <a:endParaRPr lang="fr-FR" sz="1800" b="1" dirty="0"/>
                            </a:p>
                          </a:txBody>
                          <a:useSpRect/>
                        </a:txSp>
                      </a:sp>
                      <a:sp>
                        <a:nvSpPr>
                          <a:cNvPr id="53" name="Text Box 19"/>
                          <a:cNvSpPr txBox="1">
                            <a:spLocks noChangeArrowheads="1"/>
                          </a:cNvSpPr>
                        </a:nvSpPr>
                        <a:spPr bwMode="auto">
                          <a:xfrm>
                            <a:off x="2771800" y="4581128"/>
                            <a:ext cx="1224135" cy="765175"/>
                          </a:xfrm>
                          <a:prstGeom prst="rect">
                            <a:avLst/>
                          </a:prstGeom>
                          <a:noFill/>
                          <a:ln w="25400">
                            <a:solidFill>
                              <a:schemeClr val="tx1"/>
                            </a:solidFill>
                            <a:round/>
                            <a:headEnd/>
                            <a:tailEnd/>
                          </a:ln>
                        </a:spPr>
                        <a:txSp>
                          <a:txBody>
                            <a:bodyPr lIns="90000" tIns="45000" rIns="90000" bIns="45000" anchor="ct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fr-FR" sz="1800" dirty="0" err="1" smtClean="0">
                                  <a:solidFill>
                                    <a:srgbClr val="000000"/>
                                  </a:solidFill>
                                </a:rPr>
                                <a:t>Water</a:t>
                              </a:r>
                              <a:r>
                                <a:rPr lang="fr-FR" sz="1800" dirty="0" smtClean="0">
                                  <a:solidFill>
                                    <a:srgbClr val="000000"/>
                                  </a:solidFill>
                                </a:rPr>
                                <a:t> </a:t>
                              </a:r>
                              <a:r>
                                <a:rPr lang="fr-FR" sz="1800" dirty="0" err="1" smtClean="0">
                                  <a:solidFill>
                                    <a:srgbClr val="000000"/>
                                  </a:solidFill>
                                </a:rPr>
                                <a:t>infiltrated</a:t>
                              </a:r>
                              <a:endParaRPr lang="fr-FR" sz="1800" dirty="0"/>
                            </a:p>
                          </a:txBody>
                          <a:useSpRect/>
                        </a:txSp>
                      </a:sp>
                      <a:sp>
                        <a:nvSpPr>
                          <a:cNvPr id="54" name="Text Box 19"/>
                          <a:cNvSpPr txBox="1">
                            <a:spLocks noChangeArrowheads="1"/>
                          </a:cNvSpPr>
                        </a:nvSpPr>
                        <a:spPr bwMode="auto">
                          <a:xfrm>
                            <a:off x="1763688" y="5877272"/>
                            <a:ext cx="2016125" cy="765175"/>
                          </a:xfrm>
                          <a:prstGeom prst="rect">
                            <a:avLst/>
                          </a:prstGeom>
                          <a:noFill/>
                          <a:ln w="25400">
                            <a:solidFill>
                              <a:schemeClr val="tx1"/>
                            </a:solidFill>
                            <a:round/>
                            <a:headEnd/>
                            <a:tailEnd/>
                          </a:ln>
                        </a:spPr>
                        <a:txSp>
                          <a:txBody>
                            <a:bodyPr lIns="90000" tIns="45000" rIns="90000" bIns="45000" anchor="ct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fr-FR" sz="1800" dirty="0" err="1" smtClean="0">
                                  <a:solidFill>
                                    <a:srgbClr val="000000"/>
                                  </a:solidFill>
                                </a:rPr>
                                <a:t>runoff</a:t>
                              </a:r>
                              <a:endParaRPr lang="fr-FR" sz="1800" dirty="0"/>
                            </a:p>
                          </a:txBody>
                          <a:useSpRect/>
                        </a:txSp>
                      </a:sp>
                      <a:sp>
                        <a:nvSpPr>
                          <a:cNvPr id="55" name="Text Box 19"/>
                          <a:cNvSpPr txBox="1">
                            <a:spLocks noChangeArrowheads="1"/>
                          </a:cNvSpPr>
                        </a:nvSpPr>
                        <a:spPr bwMode="auto">
                          <a:xfrm>
                            <a:off x="6732240" y="5373216"/>
                            <a:ext cx="1728093" cy="765175"/>
                          </a:xfrm>
                          <a:prstGeom prst="rect">
                            <a:avLst/>
                          </a:prstGeom>
                          <a:noFill/>
                          <a:ln w="25400">
                            <a:solidFill>
                              <a:schemeClr val="tx1"/>
                            </a:solidFill>
                            <a:round/>
                            <a:headEnd/>
                            <a:tailEnd/>
                          </a:ln>
                        </a:spPr>
                        <a:txSp>
                          <a:txBody>
                            <a:bodyPr lIns="90000" tIns="45000" rIns="90000" bIns="45000" anchor="ct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449263">
                                <a:buSzPct val="100000"/>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fr-FR" sz="1800" dirty="0" smtClean="0">
                                  <a:solidFill>
                                    <a:srgbClr val="000000"/>
                                  </a:solidFill>
                                </a:rPr>
                                <a:t>Drainage </a:t>
                              </a:r>
                              <a:r>
                                <a:rPr lang="fr-FR" sz="1800" dirty="0" err="1" smtClean="0">
                                  <a:solidFill>
                                    <a:srgbClr val="000000"/>
                                  </a:solidFill>
                                </a:rPr>
                                <a:t>below</a:t>
                              </a:r>
                              <a:r>
                                <a:rPr lang="fr-FR" sz="1800" dirty="0" smtClean="0">
                                  <a:solidFill>
                                    <a:srgbClr val="000000"/>
                                  </a:solidFill>
                                </a:rPr>
                                <a:t> </a:t>
                              </a:r>
                              <a:r>
                                <a:rPr lang="fr-FR" sz="1800" dirty="0" err="1" smtClean="0">
                                  <a:solidFill>
                                    <a:srgbClr val="000000"/>
                                  </a:solidFill>
                                </a:rPr>
                                <a:t>root</a:t>
                              </a:r>
                              <a:r>
                                <a:rPr lang="fr-FR" sz="1800" dirty="0" smtClean="0">
                                  <a:solidFill>
                                    <a:srgbClr val="000000"/>
                                  </a:solidFill>
                                </a:rPr>
                                <a:t> zone</a:t>
                              </a:r>
                              <a:endParaRPr lang="fr-FR" sz="1800" dirty="0"/>
                            </a:p>
                          </a:txBody>
                          <a:useSpRect/>
                        </a:txSp>
                      </a:sp>
                      <a:sp>
                        <a:nvSpPr>
                          <a:cNvPr id="60" name="Line 49"/>
                          <a:cNvSpPr>
                            <a:spLocks noChangeShapeType="1"/>
                          </a:cNvSpPr>
                        </a:nvSpPr>
                        <a:spPr bwMode="auto">
                          <a:xfrm>
                            <a:off x="3923928" y="5157192"/>
                            <a:ext cx="360040" cy="0"/>
                          </a:xfrm>
                          <a:prstGeom prst="line">
                            <a:avLst/>
                          </a:prstGeom>
                          <a:noFill/>
                          <a:ln w="38100">
                            <a:solidFill>
                              <a:srgbClr val="003399"/>
                            </a:solidFill>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61" name="Line 25"/>
                          <a:cNvSpPr>
                            <a:spLocks noChangeShapeType="1"/>
                          </a:cNvSpPr>
                        </a:nvSpPr>
                        <a:spPr bwMode="auto">
                          <a:xfrm>
                            <a:off x="1619672" y="4869160"/>
                            <a:ext cx="1152128" cy="0"/>
                          </a:xfrm>
                          <a:prstGeom prst="line">
                            <a:avLst/>
                          </a:prstGeom>
                          <a:noFill/>
                          <a:ln w="25400">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62" name="Line 49"/>
                          <a:cNvSpPr>
                            <a:spLocks noChangeShapeType="1"/>
                          </a:cNvSpPr>
                        </a:nvSpPr>
                        <a:spPr bwMode="auto">
                          <a:xfrm>
                            <a:off x="6228184" y="5373216"/>
                            <a:ext cx="504056" cy="288032"/>
                          </a:xfrm>
                          <a:prstGeom prst="line">
                            <a:avLst/>
                          </a:prstGeom>
                          <a:noFill/>
                          <a:ln w="38100">
                            <a:solidFill>
                              <a:srgbClr val="003399"/>
                            </a:solidFill>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63" name="Line 49"/>
                          <a:cNvSpPr>
                            <a:spLocks noChangeShapeType="1"/>
                          </a:cNvSpPr>
                        </a:nvSpPr>
                        <a:spPr bwMode="auto">
                          <a:xfrm flipH="1">
                            <a:off x="2771800" y="5445224"/>
                            <a:ext cx="360040" cy="432048"/>
                          </a:xfrm>
                          <a:prstGeom prst="line">
                            <a:avLst/>
                          </a:prstGeom>
                          <a:noFill/>
                          <a:ln w="38100">
                            <a:solidFill>
                              <a:srgbClr val="003399"/>
                            </a:solidFill>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64" name="Line 25"/>
                          <a:cNvSpPr>
                            <a:spLocks noChangeShapeType="1"/>
                          </a:cNvSpPr>
                        </a:nvSpPr>
                        <a:spPr bwMode="auto">
                          <a:xfrm>
                            <a:off x="1691680" y="5229200"/>
                            <a:ext cx="1152128" cy="0"/>
                          </a:xfrm>
                          <a:prstGeom prst="line">
                            <a:avLst/>
                          </a:prstGeom>
                          <a:noFill/>
                          <a:ln w="25400">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66" name="Line 39"/>
                          <a:cNvSpPr>
                            <a:spLocks noChangeShapeType="1"/>
                          </a:cNvSpPr>
                        </a:nvSpPr>
                        <a:spPr bwMode="auto">
                          <a:xfrm>
                            <a:off x="1403648" y="5733256"/>
                            <a:ext cx="3744913" cy="0"/>
                          </a:xfrm>
                          <a:prstGeom prst="line">
                            <a:avLst/>
                          </a:prstGeom>
                          <a:noFill/>
                          <a:ln w="25400">
                            <a:solidFill>
                              <a:srgbClr val="FF0000"/>
                            </a:solidFill>
                            <a:prstDash val="dash"/>
                            <a:round/>
                            <a:headEnd/>
                            <a:tailEn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67" name="Line 29"/>
                          <a:cNvSpPr>
                            <a:spLocks noChangeShapeType="1"/>
                          </a:cNvSpPr>
                        </a:nvSpPr>
                        <a:spPr bwMode="auto">
                          <a:xfrm>
                            <a:off x="1403648" y="5445224"/>
                            <a:ext cx="0" cy="288032"/>
                          </a:xfrm>
                          <a:prstGeom prst="line">
                            <a:avLst/>
                          </a:prstGeom>
                          <a:noFill/>
                          <a:ln w="25400">
                            <a:solidFill>
                              <a:srgbClr val="FF0000"/>
                            </a:solidFill>
                            <a:prstDash val="dash"/>
                            <a:round/>
                            <a:headEnd/>
                            <a:tailEnd type="none" w="lg" len="lg"/>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sp>
                        <a:nvSpPr>
                          <a:cNvPr id="68" name="Line 40"/>
                          <a:cNvSpPr>
                            <a:spLocks noChangeShapeType="1"/>
                          </a:cNvSpPr>
                        </a:nvSpPr>
                        <a:spPr bwMode="auto">
                          <a:xfrm flipV="1">
                            <a:off x="5220072" y="5301208"/>
                            <a:ext cx="0" cy="432048"/>
                          </a:xfrm>
                          <a:prstGeom prst="line">
                            <a:avLst/>
                          </a:prstGeom>
                          <a:noFill/>
                          <a:ln w="25400">
                            <a:solidFill>
                              <a:srgbClr val="FF0000"/>
                            </a:solidFill>
                            <a:prstDash val="dash"/>
                            <a:round/>
                            <a:headEnd/>
                            <a:tailEnd type="triangle" w="med" len="med"/>
                          </a:ln>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a:p>
                          </a:txBody>
                          <a:useSpRect/>
                        </a:txSp>
                      </a:sp>
                    </a:grpSp>
                  </a:grpSp>
                </lc:lockedCanvas>
              </a:graphicData>
            </a:graphic>
          </wp:inline>
        </w:drawing>
      </w:r>
    </w:p>
    <w:p w:rsidR="00685188" w:rsidRDefault="00685188" w:rsidP="007C6C2D">
      <w:pPr>
        <w:spacing w:line="360" w:lineRule="auto"/>
        <w:jc w:val="both"/>
      </w:pPr>
    </w:p>
    <w:p w:rsidR="00BF61F3" w:rsidRDefault="00BF61F3" w:rsidP="007C6C2D">
      <w:pPr>
        <w:spacing w:line="360" w:lineRule="auto"/>
        <w:jc w:val="both"/>
      </w:pPr>
    </w:p>
    <w:p w:rsidR="00BF61F3" w:rsidRDefault="00BF61F3" w:rsidP="00B77272">
      <w:pPr>
        <w:spacing w:line="360" w:lineRule="auto"/>
        <w:jc w:val="center"/>
      </w:pPr>
      <w:r>
        <w:t>Modèle conceptuel de PYE.</w:t>
      </w:r>
    </w:p>
    <w:p w:rsidR="00BF61F3" w:rsidRDefault="00BF61F3" w:rsidP="007C6C2D">
      <w:pPr>
        <w:spacing w:line="360" w:lineRule="auto"/>
        <w:jc w:val="both"/>
      </w:pPr>
    </w:p>
    <w:p w:rsidR="00351F32" w:rsidRDefault="00351F32" w:rsidP="007C6C2D">
      <w:pPr>
        <w:spacing w:line="360" w:lineRule="auto"/>
        <w:jc w:val="both"/>
      </w:pPr>
    </w:p>
    <w:p w:rsidR="00B77272" w:rsidRDefault="00BF61F3" w:rsidP="007C6C2D">
      <w:pPr>
        <w:spacing w:line="360" w:lineRule="auto"/>
        <w:jc w:val="both"/>
      </w:pPr>
      <w:r>
        <w:t>Le calcul du stress hydrique peut être activé (0&lt; stress hydrique &lt;</w:t>
      </w:r>
      <w:proofErr w:type="gramStart"/>
      <w:r>
        <w:t>1 )</w:t>
      </w:r>
      <w:proofErr w:type="gramEnd"/>
      <w:r>
        <w:t xml:space="preserve"> ou désactivé (stress hydrique maintenu égal à 1)</w:t>
      </w:r>
      <w:r w:rsidR="00005A3E">
        <w:t xml:space="preserve">. Dans le premier cas le modèle simule un rendement potentiel </w:t>
      </w:r>
      <w:r w:rsidR="00005A3E">
        <w:lastRenderedPageBreak/>
        <w:t>(</w:t>
      </w:r>
      <w:proofErr w:type="spellStart"/>
      <w:r w:rsidR="00005A3E">
        <w:t>Yp</w:t>
      </w:r>
      <w:proofErr w:type="spellEnd"/>
      <w:r w:rsidR="00005A3E">
        <w:t>) déterminé par la température, le rayonnement et des caractéristiques du cultivar. Dans le second cas, PYE calcule le rendement limité par l’eau (</w:t>
      </w:r>
      <w:proofErr w:type="spellStart"/>
      <w:r w:rsidR="00005A3E">
        <w:t>Yw</w:t>
      </w:r>
      <w:proofErr w:type="spellEnd"/>
      <w:r w:rsidR="00005A3E">
        <w:t xml:space="preserve">). </w:t>
      </w:r>
      <w:r w:rsidR="00B77272">
        <w:t xml:space="preserve">Notons que </w:t>
      </w:r>
      <w:proofErr w:type="spellStart"/>
      <w:r w:rsidR="00B77272">
        <w:t>Yp</w:t>
      </w:r>
      <w:proofErr w:type="spellEnd"/>
      <w:r w:rsidR="00B77272">
        <w:t xml:space="preserve"> n’est pas complètement indépendant de la présence ou non d’un </w:t>
      </w:r>
      <w:proofErr w:type="spellStart"/>
      <w:r w:rsidR="00B77272">
        <w:t>mulch</w:t>
      </w:r>
      <w:proofErr w:type="spellEnd"/>
      <w:r w:rsidR="00B77272">
        <w:t xml:space="preserve"> pailleux, si la simulation de la levée est activée (il est possible également d’imposer une date de levée) : en effet dans ce cas la date de levée dépend de l’état hydrique du sol quelle que soit l’option choisie pour le stress hydrique, et cet état dépendant de la présence d’un </w:t>
      </w:r>
      <w:proofErr w:type="spellStart"/>
      <w:r w:rsidR="00B77272">
        <w:t>mulch</w:t>
      </w:r>
      <w:proofErr w:type="spellEnd"/>
      <w:r w:rsidR="00B77272">
        <w:t xml:space="preserve"> et de ses caractéristiques, il en résulte des variations de </w:t>
      </w:r>
      <w:proofErr w:type="spellStart"/>
      <w:r w:rsidR="00B77272">
        <w:t>Yp</w:t>
      </w:r>
      <w:proofErr w:type="spellEnd"/>
      <w:r w:rsidR="00B77272">
        <w:t xml:space="preserve">. </w:t>
      </w:r>
      <w:proofErr w:type="spellStart"/>
      <w:r w:rsidR="00B77272">
        <w:t>Yw</w:t>
      </w:r>
      <w:proofErr w:type="spellEnd"/>
      <w:r w:rsidR="00B77272">
        <w:t xml:space="preserve"> est bien entendu dépendant de la présence ou non d’un </w:t>
      </w:r>
      <w:proofErr w:type="spellStart"/>
      <w:r w:rsidR="00B77272">
        <w:t>mulch</w:t>
      </w:r>
      <w:proofErr w:type="spellEnd"/>
      <w:r w:rsidR="00B77272">
        <w:t xml:space="preserve"> et de ses caractéristiques, en raison des effets de ce </w:t>
      </w:r>
      <w:proofErr w:type="spellStart"/>
      <w:r w:rsidR="00B77272">
        <w:t>mulch</w:t>
      </w:r>
      <w:proofErr w:type="spellEnd"/>
      <w:r w:rsidR="00B77272">
        <w:t xml:space="preserve"> sur l’</w:t>
      </w:r>
      <w:proofErr w:type="spellStart"/>
      <w:r w:rsidR="00B77272">
        <w:t>éta</w:t>
      </w:r>
      <w:r w:rsidR="002242FF">
        <w:t>T</w:t>
      </w:r>
      <w:proofErr w:type="spellEnd"/>
      <w:r w:rsidR="00B77272">
        <w:t xml:space="preserve"> hydrique du sol tout au long du cycle de la culture.</w:t>
      </w:r>
    </w:p>
    <w:p w:rsidR="00BF61F3" w:rsidRDefault="00B77272" w:rsidP="007C6C2D">
      <w:pPr>
        <w:spacing w:line="360" w:lineRule="auto"/>
        <w:jc w:val="both"/>
      </w:pPr>
      <w:r>
        <w:t xml:space="preserve"> </w:t>
      </w:r>
    </w:p>
    <w:p w:rsidR="00005A3E" w:rsidRPr="00B77272" w:rsidRDefault="00005A3E" w:rsidP="007C6C2D">
      <w:pPr>
        <w:spacing w:line="360" w:lineRule="auto"/>
        <w:jc w:val="both"/>
        <w:rPr>
          <w:b/>
        </w:rPr>
      </w:pPr>
      <w:r w:rsidRPr="00B77272">
        <w:rPr>
          <w:b/>
        </w:rPr>
        <w:t>Fonctionnement pratique du modèle</w:t>
      </w:r>
    </w:p>
    <w:p w:rsidR="00B77272" w:rsidRDefault="00B77272" w:rsidP="007C6C2D">
      <w:pPr>
        <w:spacing w:line="360" w:lineRule="auto"/>
        <w:jc w:val="both"/>
      </w:pPr>
    </w:p>
    <w:p w:rsidR="00FC5013" w:rsidRPr="00864C9E" w:rsidRDefault="00FC5013" w:rsidP="007C6C2D">
      <w:pPr>
        <w:spacing w:line="360" w:lineRule="auto"/>
        <w:jc w:val="both"/>
        <w:rPr>
          <w:u w:val="single"/>
        </w:rPr>
      </w:pPr>
      <w:r w:rsidRPr="00864C9E">
        <w:rPr>
          <w:u w:val="single"/>
        </w:rPr>
        <w:t>Préparatifs de base</w:t>
      </w:r>
    </w:p>
    <w:p w:rsidR="00864C9E" w:rsidRDefault="00864C9E" w:rsidP="00864C9E">
      <w:pPr>
        <w:spacing w:line="360" w:lineRule="auto"/>
        <w:ind w:firstLine="708"/>
        <w:jc w:val="both"/>
      </w:pPr>
    </w:p>
    <w:p w:rsidR="002242FF" w:rsidRDefault="00005A3E" w:rsidP="00864C9E">
      <w:pPr>
        <w:spacing w:line="360" w:lineRule="auto"/>
        <w:ind w:firstLine="708"/>
        <w:jc w:val="both"/>
      </w:pPr>
      <w:r>
        <w:t xml:space="preserve">Ouvrir la base de données </w:t>
      </w:r>
      <w:r w:rsidR="00B77272">
        <w:t>LASCAR contenant le modèle à employer</w:t>
      </w:r>
      <w:r w:rsidR="00E044EA">
        <w:t xml:space="preserve"> [dans le cas de cette formation : </w:t>
      </w:r>
      <w:r w:rsidR="00D97842" w:rsidRPr="00D97842">
        <w:t>ModeleCELSIUS_projetV2_formation2016.mdb</w:t>
      </w:r>
      <w:r w:rsidR="00E044EA">
        <w:t xml:space="preserve">. Le fichier contient le modèle CELSIUS, qui lui-même englobe PYE-CA lorsqu’on fixe à « faux » les options relatives à la simulation de l’impact de l’offre en nutriments. Les tables de simulation contiennent des données relatives à une application de PYE-CA </w:t>
      </w:r>
      <w:r w:rsidR="00D97842">
        <w:t xml:space="preserve">à </w:t>
      </w:r>
      <w:proofErr w:type="spellStart"/>
      <w:r w:rsidR="00D97842">
        <w:t>Madgascar</w:t>
      </w:r>
      <w:proofErr w:type="spellEnd"/>
      <w:r w:rsidR="00E044EA">
        <w:t>].</w:t>
      </w:r>
    </w:p>
    <w:p w:rsidR="002242FF" w:rsidRDefault="002242FF" w:rsidP="007C6C2D">
      <w:pPr>
        <w:spacing w:line="360" w:lineRule="auto"/>
        <w:jc w:val="both"/>
      </w:pPr>
    </w:p>
    <w:p w:rsidR="002242FF" w:rsidRDefault="00E044EA" w:rsidP="007C6C2D">
      <w:pPr>
        <w:spacing w:line="360" w:lineRule="auto"/>
        <w:jc w:val="both"/>
      </w:pPr>
      <w:r>
        <w:t xml:space="preserve">La version de </w:t>
      </w:r>
      <w:proofErr w:type="spellStart"/>
      <w:r w:rsidR="00005A3E">
        <w:t>Microsof</w:t>
      </w:r>
      <w:proofErr w:type="spellEnd"/>
      <w:r w:rsidR="00005A3E">
        <w:t xml:space="preserve"> Access </w:t>
      </w:r>
      <w:r>
        <w:t xml:space="preserve">à employer doit être la version </w:t>
      </w:r>
      <w:r w:rsidR="00005A3E">
        <w:t xml:space="preserve">2003 ou </w:t>
      </w:r>
      <w:r w:rsidR="002242FF">
        <w:t xml:space="preserve">une version </w:t>
      </w:r>
      <w:r w:rsidR="00005A3E">
        <w:t>supérieure</w:t>
      </w:r>
      <w:r>
        <w:t>.</w:t>
      </w:r>
      <w:r w:rsidR="00005A3E">
        <w:t xml:space="preserve"> Veillez </w:t>
      </w:r>
      <w:r w:rsidR="002242FF">
        <w:t>à</w:t>
      </w:r>
    </w:p>
    <w:p w:rsidR="002242FF" w:rsidRDefault="002242FF" w:rsidP="00864C9E">
      <w:pPr>
        <w:spacing w:line="360" w:lineRule="auto"/>
        <w:ind w:firstLine="708"/>
        <w:jc w:val="both"/>
      </w:pPr>
      <w:r>
        <w:t>-</w:t>
      </w:r>
      <w:r w:rsidR="00005A3E">
        <w:t xml:space="preserve"> activer les macros</w:t>
      </w:r>
      <w:r>
        <w:t xml:space="preserve"> (bouton Office en haut à gauche &gt; bouton « options Access »&gt; lien « centre de gestion de la Confidentialité » &gt; bouton « Paramètres du Centre de Gestion de la Confidentialité » &gt; lien « Paramètres des macros » &gt; Cocher le point « Activer toutes les macros »</w:t>
      </w:r>
    </w:p>
    <w:p w:rsidR="00AF664F" w:rsidRDefault="002242FF" w:rsidP="00864C9E">
      <w:pPr>
        <w:spacing w:line="360" w:lineRule="auto"/>
        <w:ind w:firstLine="360"/>
        <w:jc w:val="both"/>
      </w:pPr>
      <w:r>
        <w:t>- c</w:t>
      </w:r>
      <w:r w:rsidR="00005A3E">
        <w:t>harger le cas échéant l</w:t>
      </w:r>
      <w:r w:rsidR="00AF664F">
        <w:t>es</w:t>
      </w:r>
      <w:r w:rsidR="00005A3E">
        <w:t xml:space="preserve"> référence</w:t>
      </w:r>
      <w:r w:rsidR="00AF664F">
        <w:t>s</w:t>
      </w:r>
      <w:r>
        <w:t xml:space="preserve"> suivantes :</w:t>
      </w:r>
    </w:p>
    <w:p w:rsidR="00AF664F" w:rsidRDefault="00005A3E" w:rsidP="00AF664F">
      <w:pPr>
        <w:pStyle w:val="Paragraphedeliste"/>
        <w:numPr>
          <w:ilvl w:val="0"/>
          <w:numId w:val="3"/>
        </w:numPr>
        <w:spacing w:line="360" w:lineRule="auto"/>
        <w:jc w:val="both"/>
      </w:pPr>
      <w:r>
        <w:t xml:space="preserve"> « Microsoft DAO3.6 </w:t>
      </w:r>
      <w:proofErr w:type="spellStart"/>
      <w:r>
        <w:t>object</w:t>
      </w:r>
      <w:proofErr w:type="spellEnd"/>
      <w:r>
        <w:t xml:space="preserve"> </w:t>
      </w:r>
      <w:proofErr w:type="spellStart"/>
      <w:r>
        <w:t>library</w:t>
      </w:r>
      <w:proofErr w:type="spellEnd"/>
      <w:r>
        <w:t xml:space="preserve"> » </w:t>
      </w:r>
    </w:p>
    <w:p w:rsidR="00AF664F" w:rsidRDefault="00AF664F" w:rsidP="00AF664F">
      <w:pPr>
        <w:pStyle w:val="Paragraphedeliste"/>
        <w:numPr>
          <w:ilvl w:val="0"/>
          <w:numId w:val="3"/>
        </w:numPr>
        <w:spacing w:line="360" w:lineRule="auto"/>
        <w:jc w:val="both"/>
      </w:pPr>
      <w:r>
        <w:t xml:space="preserve">« Microsoft Active X data Object 2.1 </w:t>
      </w:r>
      <w:proofErr w:type="spellStart"/>
      <w:r>
        <w:t>library</w:t>
      </w:r>
      <w:proofErr w:type="spellEnd"/>
      <w:r>
        <w:t xml:space="preserve"> </w:t>
      </w:r>
    </w:p>
    <w:p w:rsidR="00005A3E" w:rsidRDefault="00005A3E" w:rsidP="00AF664F">
      <w:pPr>
        <w:spacing w:line="360" w:lineRule="auto"/>
        <w:jc w:val="both"/>
      </w:pPr>
      <w:r>
        <w:t>(</w:t>
      </w:r>
      <w:proofErr w:type="gramStart"/>
      <w:r w:rsidR="00AF664F">
        <w:t>pour</w:t>
      </w:r>
      <w:proofErr w:type="gramEnd"/>
      <w:r w:rsidR="00AF664F">
        <w:t xml:space="preserve"> cela aller dans </w:t>
      </w:r>
      <w:r>
        <w:t>l’édit</w:t>
      </w:r>
      <w:r w:rsidR="00AF664F">
        <w:t>eur</w:t>
      </w:r>
      <w:r>
        <w:t xml:space="preserve"> </w:t>
      </w:r>
      <w:proofErr w:type="spellStart"/>
      <w:r>
        <w:t>VisualBasic</w:t>
      </w:r>
      <w:proofErr w:type="spellEnd"/>
      <w:r>
        <w:t xml:space="preserve"> sous Access</w:t>
      </w:r>
      <w:r w:rsidR="002242FF">
        <w:t xml:space="preserve"> (double cliquer par exemple sur le module « principal »</w:t>
      </w:r>
      <w:r>
        <w:t xml:space="preserve">, </w:t>
      </w:r>
      <w:r w:rsidR="002242FF">
        <w:t xml:space="preserve">puis </w:t>
      </w:r>
      <w:r>
        <w:t>menu Outils&gt;références)</w:t>
      </w:r>
      <w:r w:rsidR="00FC5013">
        <w:t>.</w:t>
      </w:r>
    </w:p>
    <w:p w:rsidR="00AF664F" w:rsidRDefault="00AF664F" w:rsidP="007C6C2D">
      <w:pPr>
        <w:spacing w:line="360" w:lineRule="auto"/>
        <w:jc w:val="both"/>
      </w:pPr>
    </w:p>
    <w:p w:rsidR="00864C9E" w:rsidRDefault="00FC5013" w:rsidP="007C6C2D">
      <w:pPr>
        <w:spacing w:line="360" w:lineRule="auto"/>
        <w:jc w:val="both"/>
      </w:pPr>
      <w:r>
        <w:t xml:space="preserve">Les tables présentes ne doivent pas être supprimées et la modification de leur structure n’est possible que pour des utilisateurs avancés, ayant conscience de la façon dont le modèle se </w:t>
      </w:r>
      <w:r>
        <w:lastRenderedPageBreak/>
        <w:t>connecte à ces tables et y lit et écrit des données. Cependant, un des avantages de cette architecture est justement de permettre aux utilisateurs avancés de modifier le modèle en y ajoutant ou supprimant des variables et des processus, ce qui suppose également la modification des tables. Pour cette raison l’application ne comporte aucun verrou et aucune protection pouvant protéger l’utilisateur débutant de manœuvres malencontreuses. Si vous n’</w:t>
      </w:r>
      <w:r w:rsidR="00A30BD8">
        <w:t>êtes</w:t>
      </w:r>
      <w:r>
        <w:t xml:space="preserve"> pas sur de vous, faites une sauvegarde du fichier original, et si vous rencontrez, </w:t>
      </w:r>
      <w:r w:rsidR="00A30BD8">
        <w:t>après</w:t>
      </w:r>
      <w:r>
        <w:t xml:space="preserve"> quelques tentatives infructueuses de réaliser des simulations, encore des difficultés, repartez de la version originale.</w:t>
      </w:r>
    </w:p>
    <w:p w:rsidR="00864C9E" w:rsidRDefault="00864C9E" w:rsidP="007C6C2D">
      <w:pPr>
        <w:spacing w:line="360" w:lineRule="auto"/>
        <w:jc w:val="both"/>
      </w:pPr>
    </w:p>
    <w:p w:rsidR="00864C9E" w:rsidRPr="00864C9E" w:rsidRDefault="00864C9E" w:rsidP="007C6C2D">
      <w:pPr>
        <w:spacing w:line="360" w:lineRule="auto"/>
        <w:jc w:val="both"/>
        <w:rPr>
          <w:u w:val="single"/>
        </w:rPr>
      </w:pPr>
      <w:r w:rsidRPr="00864C9E">
        <w:rPr>
          <w:u w:val="single"/>
        </w:rPr>
        <w:t xml:space="preserve">Compréhension du </w:t>
      </w:r>
      <w:proofErr w:type="spellStart"/>
      <w:r w:rsidRPr="00864C9E">
        <w:rPr>
          <w:u w:val="single"/>
        </w:rPr>
        <w:t>modéle</w:t>
      </w:r>
      <w:proofErr w:type="spellEnd"/>
    </w:p>
    <w:p w:rsidR="00864C9E" w:rsidRDefault="00FC5013" w:rsidP="00864C9E">
      <w:pPr>
        <w:spacing w:line="360" w:lineRule="auto"/>
        <w:jc w:val="both"/>
      </w:pPr>
      <w:r>
        <w:t>Pour chaque table, on peut accéder à la définition de chaque variable en ouvrant la table en mode « création ». Les définitions sont dans le champ « description ». Elles apparaissent en bas à gauche de l’écran dans la « barre d’état » quand la table est ouverte en mode « feuille de données »</w:t>
      </w:r>
      <w:r w:rsidR="00CE1C6F">
        <w:t>. De même pour chaque module du modèle, consultable dans l’éditeur Visual Basic, toutes les variables sont définies à l’aide d’un commentaire présent a coté de chaque variable au moment de sa déclaration (en tête du module). Les variables communes au modèle et aux tables sont les variables explicatives, les paramètres explicatifs, et les variables simulées. Ils ont évidemment la même définition dans les tables et dans le modèle. Consulter les tables donne donc accès à une description détaillée des entrées et so</w:t>
      </w:r>
      <w:r w:rsidR="00D65B29">
        <w:t>r</w:t>
      </w:r>
      <w:r w:rsidR="00CE1C6F">
        <w:t xml:space="preserve">ties du modèle. </w:t>
      </w:r>
      <w:r w:rsidR="00864C9E" w:rsidRPr="00864C9E">
        <w:rPr>
          <w:b/>
          <w:u w:val="single"/>
        </w:rPr>
        <w:t xml:space="preserve">Il en résulte que la structure de la base de données est une représentation complète du modèle conceptuel présent dans le fichier </w:t>
      </w:r>
      <w:proofErr w:type="spellStart"/>
      <w:r w:rsidR="00864C9E" w:rsidRPr="00864C9E">
        <w:rPr>
          <w:b/>
          <w:u w:val="single"/>
        </w:rPr>
        <w:t>access</w:t>
      </w:r>
      <w:proofErr w:type="spellEnd"/>
      <w:r w:rsidR="00864C9E" w:rsidRPr="00864C9E">
        <w:rPr>
          <w:b/>
          <w:u w:val="single"/>
        </w:rPr>
        <w:t xml:space="preserve"> utilisé</w:t>
      </w:r>
      <w:r w:rsidR="00864C9E">
        <w:rPr>
          <w:b/>
          <w:u w:val="single"/>
        </w:rPr>
        <w:t>.</w:t>
      </w:r>
      <w:r w:rsidR="00864C9E" w:rsidRPr="00864C9E">
        <w:t xml:space="preserve"> </w:t>
      </w:r>
      <w:r w:rsidR="00864C9E">
        <w:t>L’ensemble des tables et relations entre tables est visible dans l’onglet « Relations » atteint depuis le menu « outils de bases de données » &gt; bouton « Relations ». Cette représentation est très proche de la représentation UML du modèle conceptuel)</w:t>
      </w:r>
    </w:p>
    <w:p w:rsidR="00864C9E" w:rsidRDefault="00864C9E" w:rsidP="007C6C2D">
      <w:pPr>
        <w:spacing w:line="360" w:lineRule="auto"/>
        <w:jc w:val="both"/>
      </w:pPr>
    </w:p>
    <w:p w:rsidR="00864C9E" w:rsidRDefault="00864C9E" w:rsidP="007C6C2D">
      <w:pPr>
        <w:spacing w:line="360" w:lineRule="auto"/>
        <w:jc w:val="both"/>
      </w:pPr>
    </w:p>
    <w:p w:rsidR="00FC5013" w:rsidRDefault="00CE1C6F" w:rsidP="007C6C2D">
      <w:pPr>
        <w:spacing w:line="360" w:lineRule="auto"/>
        <w:jc w:val="both"/>
      </w:pPr>
      <w:r>
        <w:t>La co</w:t>
      </w:r>
      <w:r w:rsidR="00864C9E">
        <w:t>nnaissance complète</w:t>
      </w:r>
      <w:r>
        <w:t xml:space="preserve"> du modèle mathématique est possible pour un utilisateur connaissant les bases des langages de programmation qui lirait le modèle informatique en suivant essentiellement la </w:t>
      </w:r>
      <w:r w:rsidR="00806137">
        <w:t>séquence</w:t>
      </w:r>
      <w:r>
        <w:t xml:space="preserve"> suivante : partir du module  principal » puis « </w:t>
      </w:r>
      <w:proofErr w:type="spellStart"/>
      <w:r>
        <w:t>simulationControlClass</w:t>
      </w:r>
      <w:proofErr w:type="spellEnd"/>
      <w:r>
        <w:t> » et dans ce module la méthode « simulation » et ensuite les méthodes appelées depuis « simulation » au fur et à mesure de leurs appels.</w:t>
      </w:r>
    </w:p>
    <w:p w:rsidR="00FC5013" w:rsidRDefault="00FC5013" w:rsidP="007C6C2D">
      <w:pPr>
        <w:spacing w:line="360" w:lineRule="auto"/>
        <w:jc w:val="both"/>
      </w:pPr>
      <w:r>
        <w:t xml:space="preserve"> </w:t>
      </w:r>
    </w:p>
    <w:p w:rsidR="00005A3E" w:rsidRDefault="00005A3E" w:rsidP="007C6C2D">
      <w:pPr>
        <w:spacing w:line="360" w:lineRule="auto"/>
        <w:jc w:val="both"/>
      </w:pPr>
      <w:r w:rsidRPr="00864C9E">
        <w:rPr>
          <w:u w:val="single"/>
        </w:rPr>
        <w:t>Pour lancer une simulation</w:t>
      </w:r>
      <w:r>
        <w:t xml:space="preserve"> : ouvrir le formulaire « Menu principal » et cliquer sur l’unique bouton. Selon la configuration </w:t>
      </w:r>
      <w:r w:rsidR="00FC5013">
        <w:t>d</w:t>
      </w:r>
      <w:r>
        <w:t xml:space="preserve">es messages apparaissent signalant que des enregistrements </w:t>
      </w:r>
      <w:r>
        <w:lastRenderedPageBreak/>
        <w:t>vont être</w:t>
      </w:r>
      <w:r w:rsidR="00FC5013">
        <w:t xml:space="preserve"> supprimés : accepter (OK)</w:t>
      </w:r>
      <w:r w:rsidR="00A30BD8">
        <w:t>,</w:t>
      </w:r>
      <w:r w:rsidR="00FC5013">
        <w:t> cette étape vide les tables destinées à recevoir les résultats de simulations. Pour conserver les résultats de simulations précédentes, ces données doivent avoir été sauvegardées auparavant dans d’autres tables. A la fin de la simulation un message signale que la simulation est complète.</w:t>
      </w:r>
    </w:p>
    <w:p w:rsidR="00FC5013" w:rsidRDefault="00FC5013" w:rsidP="007C6C2D">
      <w:pPr>
        <w:spacing w:line="360" w:lineRule="auto"/>
        <w:jc w:val="both"/>
      </w:pPr>
    </w:p>
    <w:p w:rsidR="00005A3E" w:rsidRPr="00864C9E" w:rsidRDefault="00005A3E" w:rsidP="007C6C2D">
      <w:pPr>
        <w:spacing w:line="360" w:lineRule="auto"/>
        <w:jc w:val="both"/>
        <w:rPr>
          <w:u w:val="single"/>
        </w:rPr>
      </w:pPr>
      <w:r w:rsidRPr="00864C9E">
        <w:rPr>
          <w:u w:val="single"/>
        </w:rPr>
        <w:t>Pour accéder</w:t>
      </w:r>
      <w:r w:rsidR="00FC5013" w:rsidRPr="00864C9E">
        <w:rPr>
          <w:u w:val="single"/>
        </w:rPr>
        <w:t xml:space="preserve"> aux résultats de simulation</w:t>
      </w:r>
    </w:p>
    <w:p w:rsidR="00FC5013" w:rsidRDefault="00FC5013" w:rsidP="007C6C2D">
      <w:pPr>
        <w:spacing w:line="360" w:lineRule="auto"/>
        <w:jc w:val="both"/>
      </w:pPr>
      <w:r>
        <w:t xml:space="preserve">Les résultats sont stockés dans les tables </w:t>
      </w:r>
      <w:proofErr w:type="spellStart"/>
      <w:r>
        <w:t>OutputSynt</w:t>
      </w:r>
      <w:proofErr w:type="spellEnd"/>
      <w:r>
        <w:t xml:space="preserve"> (données de synthèse à la fin de la simulation) et outputD1 (valeurs journalières des principales variables simulées). La table outputD2 n’est pas utilisée dans l’état actuel du modèle mais sa présence est nécessaire. Ne pas la modifier.</w:t>
      </w:r>
    </w:p>
    <w:p w:rsidR="00FC5013" w:rsidRDefault="00FC5013" w:rsidP="007C6C2D">
      <w:pPr>
        <w:spacing w:line="360" w:lineRule="auto"/>
        <w:jc w:val="both"/>
      </w:pPr>
    </w:p>
    <w:p w:rsidR="00864C9E" w:rsidRDefault="00FC5013" w:rsidP="007C6C2D">
      <w:pPr>
        <w:spacing w:line="360" w:lineRule="auto"/>
        <w:jc w:val="both"/>
      </w:pPr>
      <w:r w:rsidRPr="00864C9E">
        <w:rPr>
          <w:u w:val="single"/>
        </w:rPr>
        <w:t>Pour préparer des simulations</w:t>
      </w:r>
      <w:r w:rsidR="00E044EA">
        <w:t xml:space="preserve"> </w:t>
      </w:r>
    </w:p>
    <w:p w:rsidR="00864C9E" w:rsidRDefault="00864C9E" w:rsidP="007C6C2D">
      <w:pPr>
        <w:spacing w:line="360" w:lineRule="auto"/>
        <w:jc w:val="both"/>
      </w:pPr>
    </w:p>
    <w:p w:rsidR="00806137" w:rsidRDefault="00CE1C6F" w:rsidP="007C6C2D">
      <w:pPr>
        <w:spacing w:line="360" w:lineRule="auto"/>
        <w:jc w:val="both"/>
      </w:pPr>
      <w:r>
        <w:t>Une unité de si</w:t>
      </w:r>
      <w:r w:rsidR="00315B59">
        <w:t xml:space="preserve">mulation est dans ce modèle une « situation culturale » c'est-à-dire un espace homogène du point de vue du sol (le </w:t>
      </w:r>
      <w:proofErr w:type="spellStart"/>
      <w:r w:rsidR="00315B59">
        <w:t>pédon</w:t>
      </w:r>
      <w:proofErr w:type="spellEnd"/>
      <w:r w:rsidR="00315B59">
        <w:t xml:space="preserve">), du climat, des </w:t>
      </w:r>
      <w:proofErr w:type="spellStart"/>
      <w:r w:rsidR="00315B59">
        <w:t>bioagresseurs</w:t>
      </w:r>
      <w:proofErr w:type="spellEnd"/>
      <w:r w:rsidR="00315B59">
        <w:t xml:space="preserve"> et des actes techniques réalisés. </w:t>
      </w:r>
    </w:p>
    <w:p w:rsidR="00806137" w:rsidRDefault="00806137" w:rsidP="007C6C2D">
      <w:pPr>
        <w:spacing w:line="360" w:lineRule="auto"/>
        <w:jc w:val="both"/>
      </w:pPr>
    </w:p>
    <w:p w:rsidR="00806137" w:rsidRDefault="00315B59" w:rsidP="007C6C2D">
      <w:pPr>
        <w:spacing w:line="360" w:lineRule="auto"/>
        <w:jc w:val="both"/>
      </w:pPr>
      <w:r>
        <w:t>Le programme simule en séquence une liste d’unités de simulation fournie dans la table « </w:t>
      </w:r>
      <w:proofErr w:type="spellStart"/>
      <w:r>
        <w:t>SimUnitList</w:t>
      </w:r>
      <w:proofErr w:type="spellEnd"/>
      <w:r>
        <w:t xml:space="preserve"> ». </w:t>
      </w:r>
      <w:r w:rsidR="007C1E08">
        <w:t xml:space="preserve"> Cette table contient d’une part les dates de début et de fin de la simulation et des identifiants permettant de définir les paramètres de la simulation répartis dans les tables </w:t>
      </w:r>
      <w:r w:rsidR="00806137">
        <w:t>« </w:t>
      </w:r>
      <w:proofErr w:type="spellStart"/>
      <w:r w:rsidR="00806137" w:rsidRPr="00806137">
        <w:t>ListPAnnexes</w:t>
      </w:r>
      <w:proofErr w:type="spellEnd"/>
      <w:r w:rsidR="00806137">
        <w:t xml:space="preserve"> » (coordonnées de la station climatique utilisée), </w:t>
      </w:r>
      <w:r w:rsidR="007C1E08">
        <w:t>, « </w:t>
      </w:r>
      <w:proofErr w:type="spellStart"/>
      <w:r w:rsidR="007C1E08">
        <w:t>Soil</w:t>
      </w:r>
      <w:proofErr w:type="spellEnd"/>
      <w:r w:rsidR="007C1E08">
        <w:t xml:space="preserve"> » (données </w:t>
      </w:r>
      <w:r w:rsidR="00806137">
        <w:t xml:space="preserve">générales </w:t>
      </w:r>
      <w:r w:rsidR="007C1E08">
        <w:t xml:space="preserve">du sol), </w:t>
      </w:r>
      <w:r w:rsidR="00806137">
        <w:t xml:space="preserve"> </w:t>
      </w:r>
      <w:r w:rsidR="007C1E08">
        <w:t>« </w:t>
      </w:r>
      <w:proofErr w:type="spellStart"/>
      <w:r w:rsidR="007C1E08">
        <w:t>Tech_Commun</w:t>
      </w:r>
      <w:proofErr w:type="spellEnd"/>
      <w:r w:rsidR="007C1E08">
        <w:t> » (données des actes techniques</w:t>
      </w:r>
      <w:r w:rsidR="00806137">
        <w:t xml:space="preserve"> appliqués à l’ensemble de situation culturale</w:t>
      </w:r>
      <w:r w:rsidR="007C1E08">
        <w:t>),</w:t>
      </w:r>
      <w:r w:rsidR="00806137">
        <w:t xml:space="preserve"> </w:t>
      </w:r>
      <w:r w:rsidR="00587EE7">
        <w:t>« </w:t>
      </w:r>
      <w:proofErr w:type="spellStart"/>
      <w:r w:rsidR="00587EE7" w:rsidRPr="00587EE7">
        <w:t>ParamIni</w:t>
      </w:r>
      <w:proofErr w:type="spellEnd"/>
      <w:r w:rsidR="00587EE7">
        <w:t> » (données d’initialisation du modèle ), « </w:t>
      </w:r>
      <w:proofErr w:type="spellStart"/>
      <w:r w:rsidR="00587EE7" w:rsidRPr="00587EE7">
        <w:t>General_Parameters</w:t>
      </w:r>
      <w:proofErr w:type="spellEnd"/>
      <w:r w:rsidR="00587EE7">
        <w:t> » (paramètres généraux du modèle), « </w:t>
      </w:r>
      <w:proofErr w:type="spellStart"/>
      <w:r w:rsidR="00587EE7" w:rsidRPr="00587EE7">
        <w:t>OptionsModel</w:t>
      </w:r>
      <w:proofErr w:type="spellEnd"/>
      <w:r w:rsidR="00587EE7">
        <w:t xml:space="preserve"> » (options du modèle choisies pour la simulation). Pour chaque enregistrement de la table </w:t>
      </w:r>
      <w:proofErr w:type="spellStart"/>
      <w:r w:rsidR="00587EE7">
        <w:t>SimUnitList</w:t>
      </w:r>
      <w:proofErr w:type="spellEnd"/>
      <w:r w:rsidR="00587EE7">
        <w:t xml:space="preserve">, le programme ouvre chacune des tables listées ci-dessus et y lit le ou les enregistrements correspondant à l’identifiant figurant dans l’unité de simulation. </w:t>
      </w:r>
    </w:p>
    <w:p w:rsidR="00864C9E" w:rsidRDefault="00864C9E" w:rsidP="007C6C2D">
      <w:pPr>
        <w:spacing w:line="360" w:lineRule="auto"/>
        <w:jc w:val="both"/>
      </w:pPr>
    </w:p>
    <w:p w:rsidR="007C1E08" w:rsidRDefault="00587EE7" w:rsidP="007C6C2D">
      <w:pPr>
        <w:spacing w:line="360" w:lineRule="auto"/>
        <w:jc w:val="both"/>
      </w:pPr>
      <w:r>
        <w:t>Certain</w:t>
      </w:r>
      <w:r w:rsidR="00806137">
        <w:t xml:space="preserve">es tables renvoient à d’autres : la table </w:t>
      </w:r>
      <w:r w:rsidR="005C73FB">
        <w:t>« </w:t>
      </w:r>
      <w:proofErr w:type="spellStart"/>
      <w:r w:rsidR="005C73FB" w:rsidRPr="00806137">
        <w:t>ListPAnnexes</w:t>
      </w:r>
      <w:proofErr w:type="spellEnd"/>
      <w:r w:rsidR="005C73FB">
        <w:t xml:space="preserve"> » renvoie via un identifiant à la  table </w:t>
      </w:r>
      <w:r w:rsidR="00806137">
        <w:t>« </w:t>
      </w:r>
      <w:proofErr w:type="spellStart"/>
      <w:r w:rsidR="00806137">
        <w:t>Dweather</w:t>
      </w:r>
      <w:proofErr w:type="spellEnd"/>
      <w:r w:rsidR="00806137">
        <w:t xml:space="preserve"> » </w:t>
      </w:r>
      <w:r w:rsidR="005C73FB">
        <w:t xml:space="preserve">où se trouvent les </w:t>
      </w:r>
      <w:r w:rsidR="00806137">
        <w:t>données climatiques journalières correspondant à la station climatique utilisée</w:t>
      </w:r>
      <w:r w:rsidR="005C73FB">
        <w:t>. L</w:t>
      </w:r>
      <w:r>
        <w:t xml:space="preserve">a table </w:t>
      </w:r>
      <w:proofErr w:type="spellStart"/>
      <w:r>
        <w:t>Tech_commun</w:t>
      </w:r>
      <w:proofErr w:type="spellEnd"/>
      <w:r>
        <w:t xml:space="preserve"> contient les paramètres des actes techniques appliqués au sol et renvoie via un identifiant à la table </w:t>
      </w:r>
      <w:proofErr w:type="spellStart"/>
      <w:r>
        <w:t>TechPerCrop</w:t>
      </w:r>
      <w:proofErr w:type="spellEnd"/>
      <w:r>
        <w:t xml:space="preserve"> qui contient les paramètres des actes techniques appliqués à la plante cultivée. </w:t>
      </w:r>
      <w:r w:rsidR="005C73FB">
        <w:t xml:space="preserve">Tech-commun renvoie également </w:t>
      </w:r>
      <w:r w:rsidR="003B4203">
        <w:t xml:space="preserve">aux paramètres du </w:t>
      </w:r>
      <w:proofErr w:type="spellStart"/>
      <w:r w:rsidR="003B4203">
        <w:t>mulch</w:t>
      </w:r>
      <w:proofErr w:type="spellEnd"/>
      <w:r w:rsidR="003B4203">
        <w:t xml:space="preserve"> pailleux via un lien avec la table «</w:t>
      </w:r>
      <w:proofErr w:type="spellStart"/>
      <w:r w:rsidR="003B4203">
        <w:t>Mulch</w:t>
      </w:r>
      <w:proofErr w:type="spellEnd"/>
      <w:r w:rsidR="003B4203">
        <w:t xml:space="preserve"> ». </w:t>
      </w:r>
      <w:r>
        <w:t xml:space="preserve">De même la </w:t>
      </w:r>
      <w:r>
        <w:lastRenderedPageBreak/>
        <w:t>table « </w:t>
      </w:r>
      <w:proofErr w:type="spellStart"/>
      <w:r>
        <w:t>Soil</w:t>
      </w:r>
      <w:proofErr w:type="spellEnd"/>
      <w:r>
        <w:t> »  renvoie à la table « </w:t>
      </w:r>
      <w:proofErr w:type="spellStart"/>
      <w:r>
        <w:t>Soil_Layers</w:t>
      </w:r>
      <w:proofErr w:type="spellEnd"/>
      <w:r>
        <w:t xml:space="preserve"> » </w:t>
      </w:r>
      <w:r w:rsidR="003B4203">
        <w:t>et à la table « </w:t>
      </w:r>
      <w:proofErr w:type="spellStart"/>
      <w:r w:rsidR="003B4203">
        <w:t>TypeSurfSol</w:t>
      </w:r>
      <w:proofErr w:type="spellEnd"/>
      <w:r w:rsidR="003B4203">
        <w:t xml:space="preserve"> » </w:t>
      </w:r>
      <w:r>
        <w:t>qui contien</w:t>
      </w:r>
      <w:r w:rsidR="003B4203">
        <w:t>nen</w:t>
      </w:r>
      <w:r>
        <w:t xml:space="preserve">t </w:t>
      </w:r>
      <w:r w:rsidR="003B4203">
        <w:t xml:space="preserve">respectivement </w:t>
      </w:r>
      <w:r>
        <w:t>les paramètres du profil de sol</w:t>
      </w:r>
      <w:r w:rsidR="003B4203">
        <w:t xml:space="preserve"> et ceux de la surface du sol déterminant le ruissellement (éventuellement influencé par le </w:t>
      </w:r>
      <w:proofErr w:type="spellStart"/>
      <w:r w:rsidR="003B4203">
        <w:t>mulch</w:t>
      </w:r>
      <w:proofErr w:type="spellEnd"/>
      <w:r w:rsidR="003B4203">
        <w:t xml:space="preserve"> en fonction des paramètres de ce dernier)</w:t>
      </w:r>
      <w:r w:rsidR="00A96526">
        <w:t xml:space="preserve">. La table </w:t>
      </w:r>
      <w:proofErr w:type="spellStart"/>
      <w:r w:rsidR="00A96526">
        <w:t>TechPerCrop</w:t>
      </w:r>
      <w:proofErr w:type="spellEnd"/>
      <w:r w:rsidR="00A96526">
        <w:t xml:space="preserve"> renvoie quant à elle à la table des cultivars (« Cultivars », liée à la table des  espèces cultivées (« </w:t>
      </w:r>
      <w:proofErr w:type="spellStart"/>
      <w:r w:rsidR="00A96526">
        <w:t>PlantSpecies</w:t>
      </w:r>
      <w:proofErr w:type="spellEnd"/>
      <w:r w:rsidR="00A96526">
        <w:t xml:space="preserve"> ») et à la table des constantes thermiques des stades </w:t>
      </w:r>
      <w:proofErr w:type="spellStart"/>
      <w:r w:rsidR="00A96526">
        <w:t>phénologiques</w:t>
      </w:r>
      <w:proofErr w:type="spellEnd"/>
      <w:r w:rsidR="00A96526">
        <w:t xml:space="preserve"> du cultivar (« </w:t>
      </w:r>
      <w:proofErr w:type="spellStart"/>
      <w:r w:rsidR="00A96526">
        <w:t>StadePheno</w:t>
      </w:r>
      <w:proofErr w:type="spellEnd"/>
      <w:r w:rsidR="00A96526">
        <w:t> »).</w:t>
      </w:r>
    </w:p>
    <w:p w:rsidR="003B4203" w:rsidRDefault="003B4203" w:rsidP="003B4203">
      <w:pPr>
        <w:spacing w:line="360" w:lineRule="auto"/>
        <w:jc w:val="both"/>
      </w:pPr>
    </w:p>
    <w:p w:rsidR="003B4203" w:rsidRDefault="003B4203" w:rsidP="003B4203">
      <w:pPr>
        <w:spacing w:line="360" w:lineRule="auto"/>
        <w:jc w:val="both"/>
      </w:pPr>
      <w:r>
        <w:t>Les champs « </w:t>
      </w:r>
      <w:proofErr w:type="spellStart"/>
      <w:r>
        <w:t>IdWeedCom</w:t>
      </w:r>
      <w:proofErr w:type="spellEnd"/>
      <w:r>
        <w:t xml:space="preserve"> » et </w:t>
      </w:r>
      <w:proofErr w:type="spellStart"/>
      <w:r>
        <w:t>IdBioticAlea</w:t>
      </w:r>
      <w:proofErr w:type="spellEnd"/>
      <w:r>
        <w:t> » de la table « </w:t>
      </w:r>
      <w:proofErr w:type="spellStart"/>
      <w:r>
        <w:t>SimunitList</w:t>
      </w:r>
      <w:proofErr w:type="spellEnd"/>
      <w:r>
        <w:t xml:space="preserve"> » ne sont pas utilisés actuellement. Ils préfigurent des liens vers une future prise en compte de la compétition de la culture avec les adventices et les </w:t>
      </w:r>
      <w:proofErr w:type="spellStart"/>
      <w:r>
        <w:t>bioagresseurs</w:t>
      </w:r>
      <w:proofErr w:type="spellEnd"/>
      <w:r>
        <w:t>.</w:t>
      </w:r>
      <w:r w:rsidR="003F4AE7">
        <w:t xml:space="preserve"> Lest tables « </w:t>
      </w:r>
      <w:proofErr w:type="spellStart"/>
      <w:r w:rsidR="003F4AE7">
        <w:t>FertMinList</w:t>
      </w:r>
      <w:proofErr w:type="spellEnd"/>
      <w:r w:rsidR="003F4AE7">
        <w:t> » et « </w:t>
      </w:r>
      <w:proofErr w:type="spellStart"/>
      <w:r w:rsidR="003F4AE7">
        <w:t>FertiOrgaList</w:t>
      </w:r>
      <w:proofErr w:type="spellEnd"/>
      <w:r w:rsidR="003F4AE7">
        <w:t xml:space="preserve"> » sont relatives au modèle CELSIUS  mais leur présence est nécessaire lors d’une utilisation de PYE-CA et les paramètres de </w:t>
      </w:r>
      <w:proofErr w:type="spellStart"/>
      <w:r w:rsidR="003F4AE7">
        <w:t>TechPerCrop</w:t>
      </w:r>
      <w:proofErr w:type="spellEnd"/>
      <w:r w:rsidR="003F4AE7">
        <w:t xml:space="preserve"> doivent être tels </w:t>
      </w:r>
    </w:p>
    <w:p w:rsidR="003B4203" w:rsidRDefault="003B4203" w:rsidP="007C6C2D">
      <w:pPr>
        <w:spacing w:line="360" w:lineRule="auto"/>
        <w:jc w:val="both"/>
      </w:pPr>
    </w:p>
    <w:p w:rsidR="00587EE7" w:rsidRDefault="00587EE7" w:rsidP="007C6C2D">
      <w:pPr>
        <w:spacing w:line="360" w:lineRule="auto"/>
        <w:jc w:val="both"/>
      </w:pPr>
      <w:r>
        <w:t>La lecture des tables avec la description des champs permet de renseigner une simulation.</w:t>
      </w:r>
    </w:p>
    <w:p w:rsidR="00864C9E" w:rsidRDefault="00864C9E" w:rsidP="00CB4EFA">
      <w:pPr>
        <w:spacing w:line="360" w:lineRule="auto"/>
        <w:jc w:val="both"/>
      </w:pPr>
    </w:p>
    <w:p w:rsidR="00CB4EFA" w:rsidRDefault="00CB4EFA" w:rsidP="00CB4EFA">
      <w:pPr>
        <w:spacing w:line="360" w:lineRule="auto"/>
        <w:jc w:val="both"/>
      </w:pPr>
      <w:r>
        <w:t>Pour utiliser le modèle PYE-CA, doivent être réglés à « faux » dans la table « </w:t>
      </w:r>
      <w:proofErr w:type="spellStart"/>
      <w:r>
        <w:t>OptionsModel</w:t>
      </w:r>
      <w:proofErr w:type="spellEnd"/>
      <w:r>
        <w:t> » les champs « </w:t>
      </w:r>
      <w:proofErr w:type="spellStart"/>
      <w:r>
        <w:t>ActiveNstress</w:t>
      </w:r>
      <w:proofErr w:type="spellEnd"/>
      <w:r>
        <w:t> », « </w:t>
      </w:r>
      <w:proofErr w:type="spellStart"/>
      <w:r>
        <w:t>ActivePstress</w:t>
      </w:r>
      <w:proofErr w:type="spellEnd"/>
      <w:r>
        <w:t> », « </w:t>
      </w:r>
      <w:proofErr w:type="spellStart"/>
      <w:r>
        <w:t>ActiveKstress</w:t>
      </w:r>
      <w:proofErr w:type="spellEnd"/>
      <w:r>
        <w:t> » et « </w:t>
      </w:r>
      <w:proofErr w:type="spellStart"/>
      <w:r>
        <w:t>ActivSarclages</w:t>
      </w:r>
      <w:proofErr w:type="spellEnd"/>
      <w:r>
        <w:t> ».  Dans le cas contraire, c’est le modèle CELSIUS qui est utilisé.</w:t>
      </w:r>
    </w:p>
    <w:p w:rsidR="00D346AA" w:rsidRDefault="00CB4EFA" w:rsidP="00CB4EFA">
      <w:pPr>
        <w:spacing w:line="360" w:lineRule="auto"/>
        <w:jc w:val="both"/>
      </w:pPr>
      <w:r>
        <w:t xml:space="preserve">Il est parfois utile de </w:t>
      </w:r>
      <w:proofErr w:type="spellStart"/>
      <w:r>
        <w:t>regler</w:t>
      </w:r>
      <w:proofErr w:type="spellEnd"/>
      <w:r>
        <w:t xml:space="preserve"> sur « faux » le champ « </w:t>
      </w:r>
      <w:proofErr w:type="spellStart"/>
      <w:r>
        <w:t>EcritDResus</w:t>
      </w:r>
      <w:proofErr w:type="spellEnd"/>
      <w:r>
        <w:t> » de la table (« </w:t>
      </w:r>
      <w:proofErr w:type="spellStart"/>
      <w:r>
        <w:t>OptionsModel</w:t>
      </w:r>
      <w:proofErr w:type="spellEnd"/>
      <w:r>
        <w:t> »). La table « OutputD1 » n’est alors pas remplie à la fin des simulations, ce qui permet de réduire considérablement le temps de simulation (</w:t>
      </w:r>
      <w:r w:rsidR="00D346AA">
        <w:t xml:space="preserve">Par rapport au temps consacré directement aux calculs par le simulateur, </w:t>
      </w:r>
      <w:r>
        <w:t>l’essentiel du temps de simulation est consacré à la lecture des tables de paramètres et à l’écriture d</w:t>
      </w:r>
      <w:r w:rsidR="00D346AA">
        <w:t xml:space="preserve">ans les tables </w:t>
      </w:r>
      <w:proofErr w:type="spellStart"/>
      <w:r w:rsidR="00D346AA">
        <w:t>outputSynt</w:t>
      </w:r>
      <w:proofErr w:type="spellEnd"/>
      <w:r w:rsidR="00D346AA">
        <w:t xml:space="preserve"> et OutputD1, comme on pourra s’en rendre compte à la lecture du message affiché à la fin d’une simulation).</w:t>
      </w:r>
    </w:p>
    <w:p w:rsidR="003B4203" w:rsidRDefault="00D346AA" w:rsidP="007C6C2D">
      <w:pPr>
        <w:spacing w:line="360" w:lineRule="auto"/>
        <w:jc w:val="both"/>
      </w:pPr>
      <w:r>
        <w:t xml:space="preserve"> </w:t>
      </w:r>
    </w:p>
    <w:p w:rsidR="00587EE7" w:rsidRDefault="00587EE7" w:rsidP="007C6C2D">
      <w:pPr>
        <w:spacing w:line="360" w:lineRule="auto"/>
        <w:jc w:val="both"/>
      </w:pPr>
      <w:r>
        <w:t>Des requêtes peuvent être construites pour remplir les tables à partir de données expérimentales provenant d’une autre base de données par exemple.</w:t>
      </w:r>
      <w:r w:rsidR="003B4203">
        <w:t xml:space="preserve"> Mais les simulations peuvent aussi être paramétrées en remplissant tout simplement les tables champ par champ et enregistrement par enregistrement. </w:t>
      </w:r>
    </w:p>
    <w:p w:rsidR="00A96526" w:rsidRDefault="00A96526" w:rsidP="007C6C2D">
      <w:pPr>
        <w:spacing w:line="360" w:lineRule="auto"/>
        <w:jc w:val="both"/>
      </w:pPr>
    </w:p>
    <w:p w:rsidR="00A96526" w:rsidRDefault="00A96526" w:rsidP="007C6C2D">
      <w:pPr>
        <w:spacing w:line="360" w:lineRule="auto"/>
        <w:jc w:val="both"/>
      </w:pPr>
      <w:r>
        <w:t>Après simulation, les résultats sont stockés dans les tables « </w:t>
      </w:r>
      <w:proofErr w:type="spellStart"/>
      <w:r>
        <w:t>OutputSynt</w:t>
      </w:r>
      <w:proofErr w:type="spellEnd"/>
      <w:r>
        <w:t xml:space="preserve"> » (données synthétiques de l’unité de simulation, un enregistrement par unité de simulation) et « OutputD1 » (valeurs journalières des variables simulées, un </w:t>
      </w:r>
      <w:r w:rsidR="00CB4EFA">
        <w:t>en</w:t>
      </w:r>
      <w:r>
        <w:t xml:space="preserve">registrement par jour et par unité de simulation). Ces tables sont effacées à chaque nouveau lancement du simulateur, en </w:t>
      </w:r>
      <w:r>
        <w:lastRenderedPageBreak/>
        <w:t>conserver les données demande de faire une copie des tables avant de cliquer sur le bouton « </w:t>
      </w:r>
      <w:proofErr w:type="spellStart"/>
      <w:r>
        <w:t>executer</w:t>
      </w:r>
      <w:proofErr w:type="spellEnd"/>
      <w:r>
        <w:t xml:space="preserve"> » du </w:t>
      </w:r>
      <w:proofErr w:type="spellStart"/>
      <w:r>
        <w:t>MenuPrincipal</w:t>
      </w:r>
      <w:proofErr w:type="spellEnd"/>
      <w:r>
        <w:t>.</w:t>
      </w:r>
    </w:p>
    <w:p w:rsidR="00A96526" w:rsidRDefault="00A96526" w:rsidP="007C6C2D">
      <w:pPr>
        <w:spacing w:line="360" w:lineRule="auto"/>
        <w:jc w:val="both"/>
      </w:pPr>
    </w:p>
    <w:p w:rsidR="00A96526" w:rsidRDefault="00A96526" w:rsidP="007C6C2D">
      <w:pPr>
        <w:spacing w:line="360" w:lineRule="auto"/>
        <w:jc w:val="both"/>
      </w:pPr>
      <w:r>
        <w:t>Il peut être nécessaire d’interrompre une simulation qui prendrait plus de temps qu’escompté : utiliser la combinaison de touches Ctrl+Break (=Ctrl+Pause)</w:t>
      </w:r>
    </w:p>
    <w:p w:rsidR="00A96526" w:rsidRDefault="00A96526" w:rsidP="007C6C2D">
      <w:pPr>
        <w:spacing w:line="360" w:lineRule="auto"/>
        <w:jc w:val="both"/>
      </w:pPr>
    </w:p>
    <w:p w:rsidR="00A96526" w:rsidRDefault="00A96526" w:rsidP="007C6C2D">
      <w:pPr>
        <w:spacing w:line="360" w:lineRule="auto"/>
        <w:jc w:val="both"/>
      </w:pPr>
      <w:r>
        <w:t>Il peut être utile, pour comprendre un calcul ou un arrêt intempestif du programme, d’</w:t>
      </w:r>
      <w:proofErr w:type="spellStart"/>
      <w:r>
        <w:t>executer</w:t>
      </w:r>
      <w:proofErr w:type="spellEnd"/>
      <w:r>
        <w:t xml:space="preserve"> celui-ci (ou une partie de celui-ci) « pas-à pas ». Utiliser pour cela les fonctions d</w:t>
      </w:r>
      <w:r w:rsidR="00ED5AB9">
        <w:t xml:space="preserve">u menu  « débogage » (ou les boutons correspondant) </w:t>
      </w:r>
      <w:r>
        <w:t xml:space="preserve">dans l’environnement </w:t>
      </w:r>
      <w:proofErr w:type="spellStart"/>
      <w:r>
        <w:t>VisualBasicAccess</w:t>
      </w:r>
      <w:proofErr w:type="spellEnd"/>
      <w:r w:rsidR="00ED5AB9">
        <w:t>.</w:t>
      </w:r>
    </w:p>
    <w:p w:rsidR="00A96526" w:rsidRDefault="00A96526" w:rsidP="007C6C2D">
      <w:pPr>
        <w:spacing w:line="360" w:lineRule="auto"/>
        <w:jc w:val="both"/>
      </w:pPr>
      <w:r>
        <w:t xml:space="preserve"> </w:t>
      </w:r>
    </w:p>
    <w:sectPr w:rsidR="00A96526" w:rsidSect="00064F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A3754"/>
    <w:multiLevelType w:val="multilevel"/>
    <w:tmpl w:val="040C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2D513E35"/>
    <w:multiLevelType w:val="hybridMultilevel"/>
    <w:tmpl w:val="3370DA4C"/>
    <w:lvl w:ilvl="0" w:tplc="36B675D0">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3EFB56B0"/>
    <w:multiLevelType w:val="hybridMultilevel"/>
    <w:tmpl w:val="C142AEEC"/>
    <w:lvl w:ilvl="0" w:tplc="FD80A6B0">
      <w:numFmt w:val="bullet"/>
      <w:lvlText w:val="-"/>
      <w:lvlJc w:val="left"/>
      <w:pPr>
        <w:tabs>
          <w:tab w:val="num" w:pos="360"/>
        </w:tabs>
        <w:ind w:left="360" w:hanging="360"/>
      </w:pPr>
      <w:rPr>
        <w:rFonts w:ascii="Times New Roman" w:eastAsia="Times New Roman" w:hAnsi="Times New Roman" w:cs="Times New Roman"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7FA6D60">
      <w:numFmt w:val="bullet"/>
      <w:lvlText w:val=""/>
      <w:lvlJc w:val="left"/>
      <w:pPr>
        <w:tabs>
          <w:tab w:val="num" w:pos="1800"/>
        </w:tabs>
        <w:ind w:left="1800" w:hanging="360"/>
      </w:pPr>
      <w:rPr>
        <w:rFonts w:ascii="Symbol" w:eastAsia="Times New Roman" w:hAnsi="Symbol" w:cs="Times New Roman"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6C2D"/>
    <w:rsid w:val="000022FD"/>
    <w:rsid w:val="00004AE4"/>
    <w:rsid w:val="00005A3E"/>
    <w:rsid w:val="00005B87"/>
    <w:rsid w:val="00006F12"/>
    <w:rsid w:val="000071A4"/>
    <w:rsid w:val="00011D42"/>
    <w:rsid w:val="00014607"/>
    <w:rsid w:val="0001511A"/>
    <w:rsid w:val="00021E97"/>
    <w:rsid w:val="000249D0"/>
    <w:rsid w:val="00025877"/>
    <w:rsid w:val="00025A71"/>
    <w:rsid w:val="000270B8"/>
    <w:rsid w:val="00032BE7"/>
    <w:rsid w:val="00033602"/>
    <w:rsid w:val="00033949"/>
    <w:rsid w:val="00036985"/>
    <w:rsid w:val="00041C2C"/>
    <w:rsid w:val="00043531"/>
    <w:rsid w:val="000465A8"/>
    <w:rsid w:val="000467F2"/>
    <w:rsid w:val="00046B12"/>
    <w:rsid w:val="00047CD8"/>
    <w:rsid w:val="00050C96"/>
    <w:rsid w:val="000510D7"/>
    <w:rsid w:val="000535BA"/>
    <w:rsid w:val="000537D9"/>
    <w:rsid w:val="00056FBA"/>
    <w:rsid w:val="00060710"/>
    <w:rsid w:val="00064F0D"/>
    <w:rsid w:val="00066579"/>
    <w:rsid w:val="0007124F"/>
    <w:rsid w:val="000717D1"/>
    <w:rsid w:val="00073669"/>
    <w:rsid w:val="00074D8D"/>
    <w:rsid w:val="000752FD"/>
    <w:rsid w:val="00080547"/>
    <w:rsid w:val="00081050"/>
    <w:rsid w:val="00087842"/>
    <w:rsid w:val="00093158"/>
    <w:rsid w:val="00093C50"/>
    <w:rsid w:val="000A2C44"/>
    <w:rsid w:val="000A5BB2"/>
    <w:rsid w:val="000A5DBA"/>
    <w:rsid w:val="000A6308"/>
    <w:rsid w:val="000A7344"/>
    <w:rsid w:val="000B090E"/>
    <w:rsid w:val="000B2AA4"/>
    <w:rsid w:val="000B48D9"/>
    <w:rsid w:val="000B577B"/>
    <w:rsid w:val="000C08D4"/>
    <w:rsid w:val="000C117E"/>
    <w:rsid w:val="000C37D2"/>
    <w:rsid w:val="000C3A0B"/>
    <w:rsid w:val="000C5413"/>
    <w:rsid w:val="000D4D94"/>
    <w:rsid w:val="000E1DEC"/>
    <w:rsid w:val="000E1E57"/>
    <w:rsid w:val="000E5411"/>
    <w:rsid w:val="000E631F"/>
    <w:rsid w:val="000F01FF"/>
    <w:rsid w:val="000F4DBF"/>
    <w:rsid w:val="00100452"/>
    <w:rsid w:val="00102008"/>
    <w:rsid w:val="00102F3E"/>
    <w:rsid w:val="00110D65"/>
    <w:rsid w:val="0011262A"/>
    <w:rsid w:val="00114493"/>
    <w:rsid w:val="00116250"/>
    <w:rsid w:val="001200AC"/>
    <w:rsid w:val="0012099C"/>
    <w:rsid w:val="0012679E"/>
    <w:rsid w:val="00130670"/>
    <w:rsid w:val="001335AD"/>
    <w:rsid w:val="00133BA2"/>
    <w:rsid w:val="00136DBD"/>
    <w:rsid w:val="00141F5C"/>
    <w:rsid w:val="00143195"/>
    <w:rsid w:val="00144CB9"/>
    <w:rsid w:val="00153DAA"/>
    <w:rsid w:val="001540DD"/>
    <w:rsid w:val="00157EF4"/>
    <w:rsid w:val="001630AA"/>
    <w:rsid w:val="0017066F"/>
    <w:rsid w:val="0017105D"/>
    <w:rsid w:val="00171E16"/>
    <w:rsid w:val="00174102"/>
    <w:rsid w:val="0017498A"/>
    <w:rsid w:val="00175CB6"/>
    <w:rsid w:val="001768D5"/>
    <w:rsid w:val="00177A6F"/>
    <w:rsid w:val="00181C07"/>
    <w:rsid w:val="00181C5E"/>
    <w:rsid w:val="001826CC"/>
    <w:rsid w:val="00183C06"/>
    <w:rsid w:val="00186655"/>
    <w:rsid w:val="00186DB1"/>
    <w:rsid w:val="001919A9"/>
    <w:rsid w:val="00194AD5"/>
    <w:rsid w:val="00194D46"/>
    <w:rsid w:val="001964C4"/>
    <w:rsid w:val="00196E80"/>
    <w:rsid w:val="001B0EE1"/>
    <w:rsid w:val="001B1B02"/>
    <w:rsid w:val="001B4077"/>
    <w:rsid w:val="001B4E92"/>
    <w:rsid w:val="001B638E"/>
    <w:rsid w:val="001D0846"/>
    <w:rsid w:val="001D09AC"/>
    <w:rsid w:val="001E1F2F"/>
    <w:rsid w:val="001E3161"/>
    <w:rsid w:val="001E470D"/>
    <w:rsid w:val="001E7457"/>
    <w:rsid w:val="001F3F1C"/>
    <w:rsid w:val="001F4F61"/>
    <w:rsid w:val="001F6937"/>
    <w:rsid w:val="001F7C64"/>
    <w:rsid w:val="00200B1D"/>
    <w:rsid w:val="00201414"/>
    <w:rsid w:val="002020E9"/>
    <w:rsid w:val="0020766C"/>
    <w:rsid w:val="002077C4"/>
    <w:rsid w:val="00210332"/>
    <w:rsid w:val="00211818"/>
    <w:rsid w:val="00215BEB"/>
    <w:rsid w:val="002165B9"/>
    <w:rsid w:val="002242FF"/>
    <w:rsid w:val="002251C8"/>
    <w:rsid w:val="00225D9E"/>
    <w:rsid w:val="00236C11"/>
    <w:rsid w:val="0023714E"/>
    <w:rsid w:val="00242256"/>
    <w:rsid w:val="00243A87"/>
    <w:rsid w:val="00251A50"/>
    <w:rsid w:val="00252B69"/>
    <w:rsid w:val="00255F4D"/>
    <w:rsid w:val="00257A8E"/>
    <w:rsid w:val="00257C25"/>
    <w:rsid w:val="00257DE4"/>
    <w:rsid w:val="00261239"/>
    <w:rsid w:val="002645DA"/>
    <w:rsid w:val="0026509B"/>
    <w:rsid w:val="00266AC0"/>
    <w:rsid w:val="00266E98"/>
    <w:rsid w:val="0027458E"/>
    <w:rsid w:val="00277307"/>
    <w:rsid w:val="00290E68"/>
    <w:rsid w:val="002915EE"/>
    <w:rsid w:val="00293FC5"/>
    <w:rsid w:val="00294959"/>
    <w:rsid w:val="002A080F"/>
    <w:rsid w:val="002A2BC4"/>
    <w:rsid w:val="002A306B"/>
    <w:rsid w:val="002A7244"/>
    <w:rsid w:val="002B0D16"/>
    <w:rsid w:val="002B27BE"/>
    <w:rsid w:val="002C13E0"/>
    <w:rsid w:val="002C3B96"/>
    <w:rsid w:val="002C5BF3"/>
    <w:rsid w:val="002D167A"/>
    <w:rsid w:val="002D395F"/>
    <w:rsid w:val="002D4DD5"/>
    <w:rsid w:val="002D5063"/>
    <w:rsid w:val="002D602E"/>
    <w:rsid w:val="002D689F"/>
    <w:rsid w:val="002D6BCF"/>
    <w:rsid w:val="002D73C4"/>
    <w:rsid w:val="002D77D8"/>
    <w:rsid w:val="002E0121"/>
    <w:rsid w:val="002E1FE5"/>
    <w:rsid w:val="002E75D2"/>
    <w:rsid w:val="002E7CA6"/>
    <w:rsid w:val="002F0893"/>
    <w:rsid w:val="002F2BAF"/>
    <w:rsid w:val="002F5714"/>
    <w:rsid w:val="002F6E9D"/>
    <w:rsid w:val="00304A65"/>
    <w:rsid w:val="003066D0"/>
    <w:rsid w:val="00313531"/>
    <w:rsid w:val="00315A1D"/>
    <w:rsid w:val="00315B59"/>
    <w:rsid w:val="0031778B"/>
    <w:rsid w:val="003255CE"/>
    <w:rsid w:val="00330BAF"/>
    <w:rsid w:val="00340B14"/>
    <w:rsid w:val="00344181"/>
    <w:rsid w:val="003463C3"/>
    <w:rsid w:val="003466B7"/>
    <w:rsid w:val="00346893"/>
    <w:rsid w:val="00351B3F"/>
    <w:rsid w:val="00351F32"/>
    <w:rsid w:val="003554D2"/>
    <w:rsid w:val="003569C3"/>
    <w:rsid w:val="0035738F"/>
    <w:rsid w:val="00360D3F"/>
    <w:rsid w:val="0036135F"/>
    <w:rsid w:val="003624E8"/>
    <w:rsid w:val="00367066"/>
    <w:rsid w:val="003706DD"/>
    <w:rsid w:val="00371E6C"/>
    <w:rsid w:val="00373047"/>
    <w:rsid w:val="00373EF5"/>
    <w:rsid w:val="003836A4"/>
    <w:rsid w:val="00386861"/>
    <w:rsid w:val="00387B1F"/>
    <w:rsid w:val="00387DA0"/>
    <w:rsid w:val="00391D1F"/>
    <w:rsid w:val="00391D9F"/>
    <w:rsid w:val="003931EE"/>
    <w:rsid w:val="0039603A"/>
    <w:rsid w:val="003B10BF"/>
    <w:rsid w:val="003B4203"/>
    <w:rsid w:val="003B442C"/>
    <w:rsid w:val="003B463A"/>
    <w:rsid w:val="003B79AD"/>
    <w:rsid w:val="003B7FCE"/>
    <w:rsid w:val="003C1C8F"/>
    <w:rsid w:val="003C24CE"/>
    <w:rsid w:val="003C57BC"/>
    <w:rsid w:val="003D0130"/>
    <w:rsid w:val="003D0928"/>
    <w:rsid w:val="003D2876"/>
    <w:rsid w:val="003E1174"/>
    <w:rsid w:val="003E3CB3"/>
    <w:rsid w:val="003E6FC0"/>
    <w:rsid w:val="003F089D"/>
    <w:rsid w:val="003F20E4"/>
    <w:rsid w:val="003F4AE7"/>
    <w:rsid w:val="003F6187"/>
    <w:rsid w:val="003F774F"/>
    <w:rsid w:val="003F7864"/>
    <w:rsid w:val="00416A57"/>
    <w:rsid w:val="004313B1"/>
    <w:rsid w:val="00432701"/>
    <w:rsid w:val="00432D4E"/>
    <w:rsid w:val="00433EC7"/>
    <w:rsid w:val="004352AC"/>
    <w:rsid w:val="00436D6D"/>
    <w:rsid w:val="004409A4"/>
    <w:rsid w:val="00440F26"/>
    <w:rsid w:val="00441D6B"/>
    <w:rsid w:val="0044297E"/>
    <w:rsid w:val="004436FA"/>
    <w:rsid w:val="00450E06"/>
    <w:rsid w:val="00451071"/>
    <w:rsid w:val="00457474"/>
    <w:rsid w:val="00457CA6"/>
    <w:rsid w:val="00465C62"/>
    <w:rsid w:val="00470DFB"/>
    <w:rsid w:val="004711FC"/>
    <w:rsid w:val="00472A21"/>
    <w:rsid w:val="004758BD"/>
    <w:rsid w:val="00475A28"/>
    <w:rsid w:val="00477633"/>
    <w:rsid w:val="004859B0"/>
    <w:rsid w:val="00486194"/>
    <w:rsid w:val="00486D09"/>
    <w:rsid w:val="00487509"/>
    <w:rsid w:val="00490002"/>
    <w:rsid w:val="00490541"/>
    <w:rsid w:val="0049235E"/>
    <w:rsid w:val="00494C1A"/>
    <w:rsid w:val="00496CBF"/>
    <w:rsid w:val="004A3500"/>
    <w:rsid w:val="004A4002"/>
    <w:rsid w:val="004B0EDE"/>
    <w:rsid w:val="004B2BA5"/>
    <w:rsid w:val="004B30CE"/>
    <w:rsid w:val="004B31C0"/>
    <w:rsid w:val="004B5A1F"/>
    <w:rsid w:val="004B6092"/>
    <w:rsid w:val="004B6ECE"/>
    <w:rsid w:val="004C40E5"/>
    <w:rsid w:val="004C6F91"/>
    <w:rsid w:val="004C7AD0"/>
    <w:rsid w:val="004C7E2F"/>
    <w:rsid w:val="004D0BD0"/>
    <w:rsid w:val="004D265C"/>
    <w:rsid w:val="004D3C8D"/>
    <w:rsid w:val="004E1203"/>
    <w:rsid w:val="004F0F91"/>
    <w:rsid w:val="005009FF"/>
    <w:rsid w:val="0050398C"/>
    <w:rsid w:val="0051003E"/>
    <w:rsid w:val="005124CC"/>
    <w:rsid w:val="005127B2"/>
    <w:rsid w:val="0051348C"/>
    <w:rsid w:val="0051456C"/>
    <w:rsid w:val="005160BC"/>
    <w:rsid w:val="005174B7"/>
    <w:rsid w:val="00517962"/>
    <w:rsid w:val="005204AB"/>
    <w:rsid w:val="00520609"/>
    <w:rsid w:val="005240E7"/>
    <w:rsid w:val="0052656B"/>
    <w:rsid w:val="005278E5"/>
    <w:rsid w:val="00533E1E"/>
    <w:rsid w:val="00540694"/>
    <w:rsid w:val="00544633"/>
    <w:rsid w:val="0054476A"/>
    <w:rsid w:val="005452E0"/>
    <w:rsid w:val="0054707D"/>
    <w:rsid w:val="00547B21"/>
    <w:rsid w:val="00557B43"/>
    <w:rsid w:val="0056165E"/>
    <w:rsid w:val="00562A75"/>
    <w:rsid w:val="00562DF4"/>
    <w:rsid w:val="00565901"/>
    <w:rsid w:val="00570D4D"/>
    <w:rsid w:val="005719F3"/>
    <w:rsid w:val="00572FDC"/>
    <w:rsid w:val="00573CB1"/>
    <w:rsid w:val="005758B1"/>
    <w:rsid w:val="00575DE0"/>
    <w:rsid w:val="0057688B"/>
    <w:rsid w:val="00577964"/>
    <w:rsid w:val="00581778"/>
    <w:rsid w:val="005836EF"/>
    <w:rsid w:val="00587EE7"/>
    <w:rsid w:val="005907C1"/>
    <w:rsid w:val="00591FFC"/>
    <w:rsid w:val="00594670"/>
    <w:rsid w:val="00594FE7"/>
    <w:rsid w:val="005A443B"/>
    <w:rsid w:val="005B03BC"/>
    <w:rsid w:val="005B06F6"/>
    <w:rsid w:val="005B2DEA"/>
    <w:rsid w:val="005B2FBB"/>
    <w:rsid w:val="005B32B0"/>
    <w:rsid w:val="005B3BF1"/>
    <w:rsid w:val="005B47B0"/>
    <w:rsid w:val="005B4CC6"/>
    <w:rsid w:val="005C014F"/>
    <w:rsid w:val="005C0FDC"/>
    <w:rsid w:val="005C2B7E"/>
    <w:rsid w:val="005C3647"/>
    <w:rsid w:val="005C497D"/>
    <w:rsid w:val="005C73FB"/>
    <w:rsid w:val="005E0D36"/>
    <w:rsid w:val="005E1533"/>
    <w:rsid w:val="005E3E50"/>
    <w:rsid w:val="005E528C"/>
    <w:rsid w:val="005E6062"/>
    <w:rsid w:val="005E7E43"/>
    <w:rsid w:val="005F20A6"/>
    <w:rsid w:val="005F2C0F"/>
    <w:rsid w:val="005F5741"/>
    <w:rsid w:val="006015ED"/>
    <w:rsid w:val="00601ACF"/>
    <w:rsid w:val="00602B5B"/>
    <w:rsid w:val="006033C8"/>
    <w:rsid w:val="00603639"/>
    <w:rsid w:val="00604625"/>
    <w:rsid w:val="0061400B"/>
    <w:rsid w:val="00615F18"/>
    <w:rsid w:val="006317E9"/>
    <w:rsid w:val="0063313F"/>
    <w:rsid w:val="00635328"/>
    <w:rsid w:val="00636B95"/>
    <w:rsid w:val="00637672"/>
    <w:rsid w:val="00641017"/>
    <w:rsid w:val="0064221E"/>
    <w:rsid w:val="00644D4D"/>
    <w:rsid w:val="0064672D"/>
    <w:rsid w:val="00650A30"/>
    <w:rsid w:val="00650D1B"/>
    <w:rsid w:val="0065183C"/>
    <w:rsid w:val="0065443C"/>
    <w:rsid w:val="00655E15"/>
    <w:rsid w:val="006578A6"/>
    <w:rsid w:val="0066324D"/>
    <w:rsid w:val="00663C09"/>
    <w:rsid w:val="00665408"/>
    <w:rsid w:val="00666554"/>
    <w:rsid w:val="00670359"/>
    <w:rsid w:val="00672787"/>
    <w:rsid w:val="006756C0"/>
    <w:rsid w:val="00675EA0"/>
    <w:rsid w:val="0068015D"/>
    <w:rsid w:val="00685188"/>
    <w:rsid w:val="0068687B"/>
    <w:rsid w:val="00686906"/>
    <w:rsid w:val="00690F83"/>
    <w:rsid w:val="00693F2E"/>
    <w:rsid w:val="006964C3"/>
    <w:rsid w:val="006965B8"/>
    <w:rsid w:val="006A0B35"/>
    <w:rsid w:val="006A0E9B"/>
    <w:rsid w:val="006A1EBC"/>
    <w:rsid w:val="006A2051"/>
    <w:rsid w:val="006A29DC"/>
    <w:rsid w:val="006B09B8"/>
    <w:rsid w:val="006B273E"/>
    <w:rsid w:val="006B2ECE"/>
    <w:rsid w:val="006B3A04"/>
    <w:rsid w:val="006D0597"/>
    <w:rsid w:val="006D0E46"/>
    <w:rsid w:val="006D21B8"/>
    <w:rsid w:val="006D2FAD"/>
    <w:rsid w:val="006D47D8"/>
    <w:rsid w:val="006D7F8C"/>
    <w:rsid w:val="006E08BF"/>
    <w:rsid w:val="006E2A98"/>
    <w:rsid w:val="006E3E91"/>
    <w:rsid w:val="006E7505"/>
    <w:rsid w:val="006E76EC"/>
    <w:rsid w:val="006F1CB5"/>
    <w:rsid w:val="006F45EE"/>
    <w:rsid w:val="007037DD"/>
    <w:rsid w:val="0070756B"/>
    <w:rsid w:val="00711FC3"/>
    <w:rsid w:val="0071610A"/>
    <w:rsid w:val="0072329F"/>
    <w:rsid w:val="00726FA0"/>
    <w:rsid w:val="00730534"/>
    <w:rsid w:val="00734BAD"/>
    <w:rsid w:val="00734CBA"/>
    <w:rsid w:val="00736527"/>
    <w:rsid w:val="00740C90"/>
    <w:rsid w:val="00742DD8"/>
    <w:rsid w:val="0074694C"/>
    <w:rsid w:val="00753DEA"/>
    <w:rsid w:val="00763C74"/>
    <w:rsid w:val="007642E0"/>
    <w:rsid w:val="007660A6"/>
    <w:rsid w:val="007712BD"/>
    <w:rsid w:val="007751A8"/>
    <w:rsid w:val="007778F3"/>
    <w:rsid w:val="0078014F"/>
    <w:rsid w:val="00784D17"/>
    <w:rsid w:val="007859B9"/>
    <w:rsid w:val="00785DC0"/>
    <w:rsid w:val="00787B2E"/>
    <w:rsid w:val="00791CBA"/>
    <w:rsid w:val="00793A9D"/>
    <w:rsid w:val="007A6035"/>
    <w:rsid w:val="007A75EB"/>
    <w:rsid w:val="007A783C"/>
    <w:rsid w:val="007A7871"/>
    <w:rsid w:val="007B3C61"/>
    <w:rsid w:val="007B495E"/>
    <w:rsid w:val="007C1E08"/>
    <w:rsid w:val="007C27B2"/>
    <w:rsid w:val="007C3E7A"/>
    <w:rsid w:val="007C6C2D"/>
    <w:rsid w:val="007D1280"/>
    <w:rsid w:val="007D2053"/>
    <w:rsid w:val="007D3F85"/>
    <w:rsid w:val="007D7855"/>
    <w:rsid w:val="007E1A5B"/>
    <w:rsid w:val="007E387F"/>
    <w:rsid w:val="007E504E"/>
    <w:rsid w:val="007E5737"/>
    <w:rsid w:val="007F0805"/>
    <w:rsid w:val="007F3911"/>
    <w:rsid w:val="00801353"/>
    <w:rsid w:val="00803640"/>
    <w:rsid w:val="00806137"/>
    <w:rsid w:val="00806FEC"/>
    <w:rsid w:val="008126C6"/>
    <w:rsid w:val="0081515D"/>
    <w:rsid w:val="00816C84"/>
    <w:rsid w:val="00821782"/>
    <w:rsid w:val="00824134"/>
    <w:rsid w:val="00830478"/>
    <w:rsid w:val="00831323"/>
    <w:rsid w:val="00831BDC"/>
    <w:rsid w:val="00832CC6"/>
    <w:rsid w:val="00832D2A"/>
    <w:rsid w:val="00833BE2"/>
    <w:rsid w:val="00834A60"/>
    <w:rsid w:val="008356EA"/>
    <w:rsid w:val="00837CF4"/>
    <w:rsid w:val="00841210"/>
    <w:rsid w:val="0084487F"/>
    <w:rsid w:val="00846755"/>
    <w:rsid w:val="00850DDF"/>
    <w:rsid w:val="00851E38"/>
    <w:rsid w:val="00852FD3"/>
    <w:rsid w:val="008561C7"/>
    <w:rsid w:val="00857EB5"/>
    <w:rsid w:val="00860B11"/>
    <w:rsid w:val="0086280C"/>
    <w:rsid w:val="00863CA0"/>
    <w:rsid w:val="00864069"/>
    <w:rsid w:val="00864C9E"/>
    <w:rsid w:val="0086782F"/>
    <w:rsid w:val="0087230A"/>
    <w:rsid w:val="00877FB2"/>
    <w:rsid w:val="00880204"/>
    <w:rsid w:val="00881635"/>
    <w:rsid w:val="00881E89"/>
    <w:rsid w:val="00882BBC"/>
    <w:rsid w:val="00886F7F"/>
    <w:rsid w:val="00887007"/>
    <w:rsid w:val="008908EE"/>
    <w:rsid w:val="00895B89"/>
    <w:rsid w:val="00896E14"/>
    <w:rsid w:val="008975B0"/>
    <w:rsid w:val="00897B5E"/>
    <w:rsid w:val="008A4BA7"/>
    <w:rsid w:val="008B0039"/>
    <w:rsid w:val="008B0805"/>
    <w:rsid w:val="008B1C1B"/>
    <w:rsid w:val="008B442B"/>
    <w:rsid w:val="008D4261"/>
    <w:rsid w:val="008D474D"/>
    <w:rsid w:val="008D4F0B"/>
    <w:rsid w:val="008D5994"/>
    <w:rsid w:val="008E138D"/>
    <w:rsid w:val="008F4376"/>
    <w:rsid w:val="008F6306"/>
    <w:rsid w:val="009028C5"/>
    <w:rsid w:val="00905176"/>
    <w:rsid w:val="00907DF2"/>
    <w:rsid w:val="0091256D"/>
    <w:rsid w:val="00920CCF"/>
    <w:rsid w:val="009228EE"/>
    <w:rsid w:val="00926DA4"/>
    <w:rsid w:val="00927E13"/>
    <w:rsid w:val="00930DFF"/>
    <w:rsid w:val="00933FFD"/>
    <w:rsid w:val="009368D4"/>
    <w:rsid w:val="009374E9"/>
    <w:rsid w:val="00937BE4"/>
    <w:rsid w:val="00940A81"/>
    <w:rsid w:val="00941F99"/>
    <w:rsid w:val="00943E85"/>
    <w:rsid w:val="00947D82"/>
    <w:rsid w:val="0095617C"/>
    <w:rsid w:val="009613F0"/>
    <w:rsid w:val="00961566"/>
    <w:rsid w:val="00961F5F"/>
    <w:rsid w:val="009643EA"/>
    <w:rsid w:val="00964D7E"/>
    <w:rsid w:val="0097614F"/>
    <w:rsid w:val="00976250"/>
    <w:rsid w:val="00981409"/>
    <w:rsid w:val="0098223D"/>
    <w:rsid w:val="00982DCD"/>
    <w:rsid w:val="009942A8"/>
    <w:rsid w:val="0099608D"/>
    <w:rsid w:val="009A2CF4"/>
    <w:rsid w:val="009A4FFB"/>
    <w:rsid w:val="009A6BCA"/>
    <w:rsid w:val="009A6FD1"/>
    <w:rsid w:val="009B1E75"/>
    <w:rsid w:val="009C1E3B"/>
    <w:rsid w:val="009C5722"/>
    <w:rsid w:val="009C5FFE"/>
    <w:rsid w:val="009D338B"/>
    <w:rsid w:val="009E087F"/>
    <w:rsid w:val="009E21D2"/>
    <w:rsid w:val="009E3601"/>
    <w:rsid w:val="009E3890"/>
    <w:rsid w:val="009E396E"/>
    <w:rsid w:val="009E42C1"/>
    <w:rsid w:val="009E5D39"/>
    <w:rsid w:val="009E63E1"/>
    <w:rsid w:val="009F6273"/>
    <w:rsid w:val="00A015E6"/>
    <w:rsid w:val="00A06F7F"/>
    <w:rsid w:val="00A1541E"/>
    <w:rsid w:val="00A20297"/>
    <w:rsid w:val="00A25AC9"/>
    <w:rsid w:val="00A26187"/>
    <w:rsid w:val="00A30BD8"/>
    <w:rsid w:val="00A3514C"/>
    <w:rsid w:val="00A35CE5"/>
    <w:rsid w:val="00A41811"/>
    <w:rsid w:val="00A420DE"/>
    <w:rsid w:val="00A444B3"/>
    <w:rsid w:val="00A45DA7"/>
    <w:rsid w:val="00A45F3A"/>
    <w:rsid w:val="00A468F5"/>
    <w:rsid w:val="00A5134F"/>
    <w:rsid w:val="00A54160"/>
    <w:rsid w:val="00A613A9"/>
    <w:rsid w:val="00A614BF"/>
    <w:rsid w:val="00A625E3"/>
    <w:rsid w:val="00A645A3"/>
    <w:rsid w:val="00A660A3"/>
    <w:rsid w:val="00A705B7"/>
    <w:rsid w:val="00A717AB"/>
    <w:rsid w:val="00A74857"/>
    <w:rsid w:val="00A74C8B"/>
    <w:rsid w:val="00A77894"/>
    <w:rsid w:val="00A824CC"/>
    <w:rsid w:val="00A82D3C"/>
    <w:rsid w:val="00A85E0D"/>
    <w:rsid w:val="00A94515"/>
    <w:rsid w:val="00A9466F"/>
    <w:rsid w:val="00A96526"/>
    <w:rsid w:val="00AA2AA2"/>
    <w:rsid w:val="00AA3A3A"/>
    <w:rsid w:val="00AA3C6C"/>
    <w:rsid w:val="00AB33FC"/>
    <w:rsid w:val="00AB3E83"/>
    <w:rsid w:val="00AB4457"/>
    <w:rsid w:val="00AB525D"/>
    <w:rsid w:val="00AC2705"/>
    <w:rsid w:val="00AC5AA8"/>
    <w:rsid w:val="00AC69E0"/>
    <w:rsid w:val="00AD0667"/>
    <w:rsid w:val="00AD1790"/>
    <w:rsid w:val="00AD24FD"/>
    <w:rsid w:val="00AD2B78"/>
    <w:rsid w:val="00AE3326"/>
    <w:rsid w:val="00AE69FD"/>
    <w:rsid w:val="00AE7B5E"/>
    <w:rsid w:val="00AF3149"/>
    <w:rsid w:val="00AF362A"/>
    <w:rsid w:val="00AF5348"/>
    <w:rsid w:val="00AF5456"/>
    <w:rsid w:val="00AF5551"/>
    <w:rsid w:val="00AF5867"/>
    <w:rsid w:val="00AF664F"/>
    <w:rsid w:val="00AF7C12"/>
    <w:rsid w:val="00B03641"/>
    <w:rsid w:val="00B12511"/>
    <w:rsid w:val="00B14627"/>
    <w:rsid w:val="00B14B09"/>
    <w:rsid w:val="00B14B11"/>
    <w:rsid w:val="00B23035"/>
    <w:rsid w:val="00B233A7"/>
    <w:rsid w:val="00B24FFA"/>
    <w:rsid w:val="00B27FA6"/>
    <w:rsid w:val="00B32594"/>
    <w:rsid w:val="00B32A32"/>
    <w:rsid w:val="00B3564E"/>
    <w:rsid w:val="00B37997"/>
    <w:rsid w:val="00B43129"/>
    <w:rsid w:val="00B447F0"/>
    <w:rsid w:val="00B50E4F"/>
    <w:rsid w:val="00B57BEC"/>
    <w:rsid w:val="00B700FA"/>
    <w:rsid w:val="00B745BA"/>
    <w:rsid w:val="00B77272"/>
    <w:rsid w:val="00B813E8"/>
    <w:rsid w:val="00B820A6"/>
    <w:rsid w:val="00B82A29"/>
    <w:rsid w:val="00B90E84"/>
    <w:rsid w:val="00B941A7"/>
    <w:rsid w:val="00B9668C"/>
    <w:rsid w:val="00B97C51"/>
    <w:rsid w:val="00BA3116"/>
    <w:rsid w:val="00BA54EA"/>
    <w:rsid w:val="00BB366A"/>
    <w:rsid w:val="00BB564E"/>
    <w:rsid w:val="00BB690A"/>
    <w:rsid w:val="00BC00F9"/>
    <w:rsid w:val="00BC265C"/>
    <w:rsid w:val="00BC7B37"/>
    <w:rsid w:val="00BC7F27"/>
    <w:rsid w:val="00BD089B"/>
    <w:rsid w:val="00BD1141"/>
    <w:rsid w:val="00BD20E6"/>
    <w:rsid w:val="00BD34CD"/>
    <w:rsid w:val="00BE1D72"/>
    <w:rsid w:val="00BE1FF3"/>
    <w:rsid w:val="00BE63B0"/>
    <w:rsid w:val="00BE72C1"/>
    <w:rsid w:val="00BF05F9"/>
    <w:rsid w:val="00BF1827"/>
    <w:rsid w:val="00BF321A"/>
    <w:rsid w:val="00BF5AAC"/>
    <w:rsid w:val="00BF61F3"/>
    <w:rsid w:val="00C047EE"/>
    <w:rsid w:val="00C10606"/>
    <w:rsid w:val="00C134A4"/>
    <w:rsid w:val="00C16F3B"/>
    <w:rsid w:val="00C1711F"/>
    <w:rsid w:val="00C20E16"/>
    <w:rsid w:val="00C21001"/>
    <w:rsid w:val="00C24293"/>
    <w:rsid w:val="00C247B8"/>
    <w:rsid w:val="00C273AA"/>
    <w:rsid w:val="00C356FB"/>
    <w:rsid w:val="00C358EC"/>
    <w:rsid w:val="00C3649E"/>
    <w:rsid w:val="00C37BD4"/>
    <w:rsid w:val="00C40C61"/>
    <w:rsid w:val="00C42890"/>
    <w:rsid w:val="00C514DA"/>
    <w:rsid w:val="00C5476F"/>
    <w:rsid w:val="00C60E34"/>
    <w:rsid w:val="00C72B00"/>
    <w:rsid w:val="00C72FB7"/>
    <w:rsid w:val="00C741FB"/>
    <w:rsid w:val="00C747E0"/>
    <w:rsid w:val="00C75CE2"/>
    <w:rsid w:val="00C801C7"/>
    <w:rsid w:val="00C81E1A"/>
    <w:rsid w:val="00C82BEA"/>
    <w:rsid w:val="00C83460"/>
    <w:rsid w:val="00C83F6D"/>
    <w:rsid w:val="00C90915"/>
    <w:rsid w:val="00C954DF"/>
    <w:rsid w:val="00C970E7"/>
    <w:rsid w:val="00CA6F03"/>
    <w:rsid w:val="00CA7E25"/>
    <w:rsid w:val="00CB0D66"/>
    <w:rsid w:val="00CB3D98"/>
    <w:rsid w:val="00CB4EFA"/>
    <w:rsid w:val="00CB6258"/>
    <w:rsid w:val="00CB73AD"/>
    <w:rsid w:val="00CB7654"/>
    <w:rsid w:val="00CC09CE"/>
    <w:rsid w:val="00CC7584"/>
    <w:rsid w:val="00CD1170"/>
    <w:rsid w:val="00CD3401"/>
    <w:rsid w:val="00CD4C7D"/>
    <w:rsid w:val="00CD708B"/>
    <w:rsid w:val="00CD7335"/>
    <w:rsid w:val="00CE1C3B"/>
    <w:rsid w:val="00CE1C6F"/>
    <w:rsid w:val="00CE29E1"/>
    <w:rsid w:val="00CE4C3C"/>
    <w:rsid w:val="00CE5517"/>
    <w:rsid w:val="00CE5A2C"/>
    <w:rsid w:val="00CE6E93"/>
    <w:rsid w:val="00CF1245"/>
    <w:rsid w:val="00CF168A"/>
    <w:rsid w:val="00CF699C"/>
    <w:rsid w:val="00CF6A9C"/>
    <w:rsid w:val="00CF7AAE"/>
    <w:rsid w:val="00D00C85"/>
    <w:rsid w:val="00D063F4"/>
    <w:rsid w:val="00D10897"/>
    <w:rsid w:val="00D165E0"/>
    <w:rsid w:val="00D211EF"/>
    <w:rsid w:val="00D21DDA"/>
    <w:rsid w:val="00D22841"/>
    <w:rsid w:val="00D23A58"/>
    <w:rsid w:val="00D254E3"/>
    <w:rsid w:val="00D3027E"/>
    <w:rsid w:val="00D304F1"/>
    <w:rsid w:val="00D346AA"/>
    <w:rsid w:val="00D35C44"/>
    <w:rsid w:val="00D40E16"/>
    <w:rsid w:val="00D42C6B"/>
    <w:rsid w:val="00D434D4"/>
    <w:rsid w:val="00D45A22"/>
    <w:rsid w:val="00D52D2D"/>
    <w:rsid w:val="00D54E3D"/>
    <w:rsid w:val="00D57C6D"/>
    <w:rsid w:val="00D6205D"/>
    <w:rsid w:val="00D64853"/>
    <w:rsid w:val="00D64C98"/>
    <w:rsid w:val="00D65B29"/>
    <w:rsid w:val="00D733DD"/>
    <w:rsid w:val="00D733EA"/>
    <w:rsid w:val="00D737BE"/>
    <w:rsid w:val="00D748B2"/>
    <w:rsid w:val="00D803A8"/>
    <w:rsid w:val="00D849EE"/>
    <w:rsid w:val="00D851E8"/>
    <w:rsid w:val="00D86274"/>
    <w:rsid w:val="00D86D44"/>
    <w:rsid w:val="00D86D8D"/>
    <w:rsid w:val="00D93A8C"/>
    <w:rsid w:val="00D97229"/>
    <w:rsid w:val="00D97842"/>
    <w:rsid w:val="00DA044C"/>
    <w:rsid w:val="00DA2264"/>
    <w:rsid w:val="00DA50CF"/>
    <w:rsid w:val="00DB14D7"/>
    <w:rsid w:val="00DB2CEA"/>
    <w:rsid w:val="00DB33BF"/>
    <w:rsid w:val="00DB6BCF"/>
    <w:rsid w:val="00DC3269"/>
    <w:rsid w:val="00DC69F0"/>
    <w:rsid w:val="00DC7902"/>
    <w:rsid w:val="00DC7A17"/>
    <w:rsid w:val="00DC7BAC"/>
    <w:rsid w:val="00DD10D4"/>
    <w:rsid w:val="00DD3893"/>
    <w:rsid w:val="00DE02CB"/>
    <w:rsid w:val="00DE17B6"/>
    <w:rsid w:val="00DE2205"/>
    <w:rsid w:val="00DE25DC"/>
    <w:rsid w:val="00DE4B23"/>
    <w:rsid w:val="00DE6A41"/>
    <w:rsid w:val="00DE7B21"/>
    <w:rsid w:val="00DF0605"/>
    <w:rsid w:val="00DF1803"/>
    <w:rsid w:val="00E044EA"/>
    <w:rsid w:val="00E11FFC"/>
    <w:rsid w:val="00E12732"/>
    <w:rsid w:val="00E1284F"/>
    <w:rsid w:val="00E13331"/>
    <w:rsid w:val="00E214BD"/>
    <w:rsid w:val="00E23734"/>
    <w:rsid w:val="00E247BA"/>
    <w:rsid w:val="00E27067"/>
    <w:rsid w:val="00E31856"/>
    <w:rsid w:val="00E32A2D"/>
    <w:rsid w:val="00E34F70"/>
    <w:rsid w:val="00E35879"/>
    <w:rsid w:val="00E36E1A"/>
    <w:rsid w:val="00E40D79"/>
    <w:rsid w:val="00E41DCE"/>
    <w:rsid w:val="00E46CA4"/>
    <w:rsid w:val="00E555E0"/>
    <w:rsid w:val="00E55F67"/>
    <w:rsid w:val="00E5679B"/>
    <w:rsid w:val="00E62078"/>
    <w:rsid w:val="00E62BE4"/>
    <w:rsid w:val="00E73095"/>
    <w:rsid w:val="00E73C46"/>
    <w:rsid w:val="00E73F45"/>
    <w:rsid w:val="00E75533"/>
    <w:rsid w:val="00E76ED5"/>
    <w:rsid w:val="00E807AE"/>
    <w:rsid w:val="00E81527"/>
    <w:rsid w:val="00E836BF"/>
    <w:rsid w:val="00E92E7F"/>
    <w:rsid w:val="00E934C4"/>
    <w:rsid w:val="00E9747D"/>
    <w:rsid w:val="00E97ED7"/>
    <w:rsid w:val="00EA0787"/>
    <w:rsid w:val="00EA52C8"/>
    <w:rsid w:val="00EA768D"/>
    <w:rsid w:val="00EB282C"/>
    <w:rsid w:val="00EB2F3E"/>
    <w:rsid w:val="00EB63A4"/>
    <w:rsid w:val="00EC0367"/>
    <w:rsid w:val="00EC04DC"/>
    <w:rsid w:val="00EC5880"/>
    <w:rsid w:val="00EC58BA"/>
    <w:rsid w:val="00EC5B44"/>
    <w:rsid w:val="00EC5D7F"/>
    <w:rsid w:val="00EC77AD"/>
    <w:rsid w:val="00ED00A1"/>
    <w:rsid w:val="00ED227C"/>
    <w:rsid w:val="00ED2925"/>
    <w:rsid w:val="00ED3034"/>
    <w:rsid w:val="00ED54AD"/>
    <w:rsid w:val="00ED5AB9"/>
    <w:rsid w:val="00ED6785"/>
    <w:rsid w:val="00ED72B0"/>
    <w:rsid w:val="00EE1F52"/>
    <w:rsid w:val="00EE5793"/>
    <w:rsid w:val="00F003E2"/>
    <w:rsid w:val="00F01939"/>
    <w:rsid w:val="00F071E9"/>
    <w:rsid w:val="00F16127"/>
    <w:rsid w:val="00F1675C"/>
    <w:rsid w:val="00F177EB"/>
    <w:rsid w:val="00F244DE"/>
    <w:rsid w:val="00F26659"/>
    <w:rsid w:val="00F31467"/>
    <w:rsid w:val="00F33F49"/>
    <w:rsid w:val="00F37090"/>
    <w:rsid w:val="00F4097B"/>
    <w:rsid w:val="00F40C89"/>
    <w:rsid w:val="00F416BC"/>
    <w:rsid w:val="00F479DC"/>
    <w:rsid w:val="00F533F8"/>
    <w:rsid w:val="00F53B92"/>
    <w:rsid w:val="00F55C85"/>
    <w:rsid w:val="00F56E08"/>
    <w:rsid w:val="00F60433"/>
    <w:rsid w:val="00F62F7D"/>
    <w:rsid w:val="00F64E5B"/>
    <w:rsid w:val="00F771DB"/>
    <w:rsid w:val="00F830A9"/>
    <w:rsid w:val="00F92D8D"/>
    <w:rsid w:val="00FA017D"/>
    <w:rsid w:val="00FA7AB8"/>
    <w:rsid w:val="00FA7F3A"/>
    <w:rsid w:val="00FB1E74"/>
    <w:rsid w:val="00FB6447"/>
    <w:rsid w:val="00FB7903"/>
    <w:rsid w:val="00FB7C18"/>
    <w:rsid w:val="00FC0B54"/>
    <w:rsid w:val="00FC1442"/>
    <w:rsid w:val="00FC2480"/>
    <w:rsid w:val="00FC5013"/>
    <w:rsid w:val="00FC52CB"/>
    <w:rsid w:val="00FD3374"/>
    <w:rsid w:val="00FD4565"/>
    <w:rsid w:val="00FD696F"/>
    <w:rsid w:val="00FD6FB0"/>
    <w:rsid w:val="00FD72DB"/>
    <w:rsid w:val="00FE0CD5"/>
    <w:rsid w:val="00FE2811"/>
    <w:rsid w:val="00FE4C3D"/>
    <w:rsid w:val="00FE62CD"/>
    <w:rsid w:val="00FF2068"/>
    <w:rsid w:val="00FF65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C2D"/>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7C6C2D"/>
    <w:rPr>
      <w:color w:val="0000FF"/>
      <w:u w:val="single"/>
    </w:rPr>
  </w:style>
  <w:style w:type="paragraph" w:styleId="Textedebulles">
    <w:name w:val="Balloon Text"/>
    <w:basedOn w:val="Normal"/>
    <w:link w:val="TextedebullesCar"/>
    <w:uiPriority w:val="99"/>
    <w:semiHidden/>
    <w:unhideWhenUsed/>
    <w:rsid w:val="007C6C2D"/>
    <w:rPr>
      <w:rFonts w:ascii="Tahoma" w:hAnsi="Tahoma" w:cs="Tahoma"/>
      <w:sz w:val="16"/>
      <w:szCs w:val="16"/>
    </w:rPr>
  </w:style>
  <w:style w:type="character" w:customStyle="1" w:styleId="TextedebullesCar">
    <w:name w:val="Texte de bulles Car"/>
    <w:basedOn w:val="Policepardfaut"/>
    <w:link w:val="Textedebulles"/>
    <w:uiPriority w:val="99"/>
    <w:semiHidden/>
    <w:rsid w:val="007C6C2D"/>
    <w:rPr>
      <w:rFonts w:ascii="Tahoma" w:eastAsia="Times New Roman" w:hAnsi="Tahoma" w:cs="Tahoma"/>
      <w:sz w:val="16"/>
      <w:szCs w:val="16"/>
      <w:lang w:eastAsia="fr-FR"/>
    </w:rPr>
  </w:style>
  <w:style w:type="paragraph" w:styleId="PrformatHTML">
    <w:name w:val="HTML Preformatted"/>
    <w:basedOn w:val="Normal"/>
    <w:link w:val="PrformatHTMLCar"/>
    <w:uiPriority w:val="99"/>
    <w:semiHidden/>
    <w:unhideWhenUsed/>
    <w:rsid w:val="0005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056FBA"/>
    <w:rPr>
      <w:rFonts w:ascii="Courier New" w:eastAsia="Times New Roman" w:hAnsi="Courier New" w:cs="Courier New"/>
      <w:sz w:val="20"/>
      <w:szCs w:val="20"/>
      <w:lang w:eastAsia="fr-FR"/>
    </w:rPr>
  </w:style>
  <w:style w:type="paragraph" w:styleId="Paragraphedeliste">
    <w:name w:val="List Paragraph"/>
    <w:basedOn w:val="Normal"/>
    <w:uiPriority w:val="34"/>
    <w:qFormat/>
    <w:rsid w:val="00AF664F"/>
    <w:pPr>
      <w:ind w:left="720"/>
      <w:contextualSpacing/>
    </w:pPr>
  </w:style>
</w:styles>
</file>

<file path=word/webSettings.xml><?xml version="1.0" encoding="utf-8"?>
<w:webSettings xmlns:r="http://schemas.openxmlformats.org/officeDocument/2006/relationships" xmlns:w="http://schemas.openxmlformats.org/wordprocessingml/2006/main">
  <w:divs>
    <w:div w:id="2848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1658</Words>
  <Characters>9121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10758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Affholder</dc:creator>
  <cp:lastModifiedBy>Francois Affholder</cp:lastModifiedBy>
  <cp:revision>13</cp:revision>
  <dcterms:created xsi:type="dcterms:W3CDTF">2014-03-26T09:50:00Z</dcterms:created>
  <dcterms:modified xsi:type="dcterms:W3CDTF">2017-02-12T21:56:00Z</dcterms:modified>
</cp:coreProperties>
</file>