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NetEase Cloud Music</w:t>
      </w:r>
    </w:p>
    <w:p>
      <w:pPr>
        <w:pStyle w:val="Subtitle"/>
      </w:pPr>
      <w:r>
        <w:t>User research → scoped product requirements | Aug–Sep 2026</w:t>
      </w:r>
    </w:p>
    <w:p>
      <w:r>
        <w:t>A mobile-product study connecting survey evidence, public feedback, QQ Music and Spotify comparisons to three proposals for music discovery, uninterrupted listening, and report-status transparency.</w:t>
      </w:r>
    </w:p>
    <w:p>
      <w:r>
        <w:t>159 responses collected  |  110 retained responses  |  30 public feedback items  |  12 requirement groups</w:t>
      </w:r>
    </w:p>
    <w:p>
      <w:pPr>
        <w:pStyle w:val="Heading2"/>
      </w:pPr>
      <w:r>
        <w:t>My work</w:t>
      </w:r>
    </w:p>
    <w:p>
      <w:r>
        <w:t>Survey design and synthesis, issue classification and association analysis, requirement scoring, competitive comparison, and a three-feature PRD. This case reorganizes the local project artifacts for public review.</w:t>
      </w:r>
    </w:p>
    <w:p>
      <w:pPr>
        <w:pStyle w:val="Heading2"/>
      </w:pPr>
      <w:r>
        <w:t>Delivery status</w:t>
      </w:r>
    </w:p>
    <w:p>
      <w:r>
        <w:t>Research and requirements are complete. Screens are conceptual wireframes. Current-version checks, technical review, usability validation and rollout remain future work; metrics describe a validation plan.</w:t>
      </w:r>
    </w:p>
    <w:p>
      <w:pPr>
        <w:pStyle w:val="Heading2"/>
      </w:pPr>
      <w:r>
        <w:t>Sample boundaries</w:t>
      </w:r>
    </w:p>
    <w:p>
      <w:r>
        <w:t>19 survey questions. Ages 18–30: 101 (91.8%); students: 83 (75.5%); men: 79. Recruitment used personal networks and forwarding. Findings describe this sample.</w:t>
      </w:r>
    </w:p>
    <w:p>
      <w:pPr>
        <w:pStyle w:val="Heading2"/>
      </w:pPr>
      <w:r>
        <w:t>How evidence is used</w:t>
      </w:r>
    </w:p>
    <w:p>
      <w:r>
        <w:t>Survey results estimate reach and segment differences. Thirty public feedback items provide task-level context. Associations inform hypotheses with explicit limits on causal interpretation.</w:t>
      </w:r>
    </w:p>
    <w:p>
      <w:r>
        <w:br w:type="page"/>
      </w:r>
    </w:p>
    <w:p>
      <w:pPr>
        <w:pStyle w:val="Title"/>
      </w:pPr>
      <w:r>
        <w:t>Separate friction from behavioral consequences</w:t>
      </w:r>
    </w:p>
    <w:p>
      <w:pPr>
        <w:pStyle w:val="Subtitle"/>
      </w:pPr>
      <w:r>
        <w:t>Findings from the 110 retained responses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Sample finding</w:t>
            </w:r>
          </w:p>
        </w:tc>
        <w:tc>
          <w:tcPr>
            <w:tcW w:type="dxa" w:w="2880"/>
          </w:tcPr>
          <w:p>
            <w:r>
              <w:t>Product implication</w:t>
            </w:r>
          </w:p>
        </w:tc>
      </w:tr>
      <w:tr>
        <w:tc>
          <w:tcPr>
            <w:tcW w:type="dxa" w:w="2880"/>
          </w:tcPr>
          <w:p>
            <w:r>
              <w:t>Search usage</w:t>
            </w:r>
          </w:p>
        </w:tc>
        <w:tc>
          <w:tcPr>
            <w:tcW w:type="dxa" w:w="2880"/>
          </w:tcPr>
          <w:p>
            <w:r>
              <w:t>109 of 110 respondents</w:t>
            </w:r>
          </w:p>
        </w:tc>
        <w:tc>
          <w:tcPr>
            <w:tcW w:type="dxa" w:w="2880"/>
          </w:tcPr>
          <w:p>
            <w:r>
              <w:t>Protect the path from discovery to playback</w:t>
            </w:r>
          </w:p>
        </w:tc>
      </w:tr>
      <w:tr>
        <w:tc>
          <w:tcPr>
            <w:tcW w:type="dxa" w:w="2880"/>
          </w:tcPr>
          <w:p>
            <w:r>
              <w:t>Promotion friction</w:t>
            </w:r>
          </w:p>
        </w:tc>
        <w:tc>
          <w:tcPr>
            <w:tcW w:type="dxa" w:w="2880"/>
          </w:tcPr>
          <w:p>
            <w:r>
              <w:t>51 (46.4%); 2.50 / 5 rating</w:t>
            </w:r>
          </w:p>
        </w:tc>
        <w:tc>
          <w:tcPr>
            <w:tcW w:type="dxa" w:w="2880"/>
          </w:tcPr>
          <w:p>
            <w:r>
              <w:t>Unify timing, frequency, dismissal and task recovery</w:t>
            </w:r>
          </w:p>
        </w:tc>
      </w:tr>
      <w:tr>
        <w:tc>
          <w:tcPr>
            <w:tcW w:type="dxa" w:w="2880"/>
          </w:tcPr>
          <w:p>
            <w:r>
              <w:t>Navigation friction</w:t>
            </w:r>
          </w:p>
        </w:tc>
        <w:tc>
          <w:tcPr>
            <w:tcW w:type="dxa" w:w="2880"/>
          </w:tcPr>
          <w:p>
            <w:r>
              <w:t>37 (33.6%); usability 2.95 / 5</w:t>
            </w:r>
          </w:p>
        </w:tc>
        <w:tc>
          <w:tcPr>
            <w:tcW w:type="dxa" w:w="2880"/>
          </w:tcPr>
          <w:p>
            <w:r>
              <w:t>Prioritize stable core entry points and configurable modules</w:t>
            </w:r>
          </w:p>
        </w:tc>
      </w:tr>
      <w:tr>
        <w:tc>
          <w:tcPr>
            <w:tcW w:type="dxa" w:w="2880"/>
          </w:tcPr>
          <w:p>
            <w:r>
              <w:t>Catalog problems</w:t>
            </w:r>
          </w:p>
        </w:tc>
        <w:tc>
          <w:tcPr>
            <w:tcW w:type="dxa" w:w="2880"/>
          </w:tcPr>
          <w:p>
            <w:r>
              <w:t>25; 23 reported behavior/payment changes</w:t>
            </w:r>
          </w:p>
        </w:tc>
        <w:tc>
          <w:tcPr>
            <w:tcW w:type="dxa" w:w="2880"/>
          </w:tcPr>
          <w:p>
            <w:r>
              <w:t>Distinguish licensing dependencies from interface scope</w:t>
            </w:r>
          </w:p>
        </w:tc>
      </w:tr>
      <w:tr>
        <w:tc>
          <w:tcPr>
            <w:tcW w:type="dxa" w:w="2880"/>
          </w:tcPr>
          <w:p>
            <w:r>
              <w:t>Lapsed membership</w:t>
            </w:r>
          </w:p>
        </w:tc>
        <w:tc>
          <w:tcPr>
            <w:tcW w:type="dxa" w:w="2880"/>
          </w:tcPr>
          <w:p>
            <w:r>
              <w:t>30 of 32 used competing apps</w:t>
            </w:r>
          </w:p>
        </w:tc>
        <w:tc>
          <w:tcPr>
            <w:tcW w:type="dxa" w:w="2880"/>
          </w:tcPr>
          <w:p>
            <w:r>
              <w:t>Evaluate renewal value as a separate segment</w:t>
            </w:r>
          </w:p>
        </w:tc>
      </w:tr>
      <w:tr>
        <w:tc>
          <w:tcPr>
            <w:tcW w:type="dxa" w:w="2880"/>
          </w:tcPr>
          <w:p>
            <w:r>
              <w:t>Repeated recommendations</w:t>
            </w:r>
          </w:p>
        </w:tc>
        <w:tc>
          <w:tcPr>
            <w:tcW w:type="dxa" w:w="2880"/>
          </w:tcPr>
          <w:p>
            <w:r>
              <w:t>24 of 64 recommendation users</w:t>
            </w:r>
          </w:p>
        </w:tc>
        <w:tc>
          <w:tcPr>
            <w:tcW w:type="dxa" w:w="2880"/>
          </w:tcPr>
          <w:p>
            <w:r>
              <w:t>Preserve matching strengths; improve exploration and control</w:t>
            </w:r>
          </w:p>
        </w:tc>
      </w:tr>
    </w:tbl>
    <w:p>
      <w:pPr>
        <w:pStyle w:val="Heading2"/>
      </w:pPr>
      <w:r>
        <w:t>Analysis method</w:t>
      </w:r>
    </w:p>
    <w:p>
      <w:r>
        <w:t>3,000 permutation tests for associations; Cramer’s V for categorical relationships and epsilon-squared for score/intention differences. Benjamini–Hochberg FDR correction covered 34 tests. Public artifacts contain aggregates only.</w:t>
      </w:r>
    </w:p>
    <w:p>
      <w:pPr>
        <w:pStyle w:val="Heading2"/>
      </w:pPr>
      <w:r>
        <w:t>Interpretation limits</w:t>
      </w:r>
    </w:p>
    <w:p>
      <w:r>
        <w:t>Advertising was frequent and poorly rated, but its association with reported behavioral change did not remain significant after FDR adjustment. Repetition complaints came from active recommendation users; exposure affects the pattern.</w:t>
      </w:r>
    </w:p>
    <w:p>
      <w:pPr>
        <w:pStyle w:val="Heading2"/>
      </w:pPr>
      <w:r>
        <w:t>Preserve existing strengths</w:t>
      </w:r>
    </w:p>
    <w:p>
      <w:r>
        <w:t>Positive feedback highlighted preference matching, synchronized lyrics, stable playback, and comment stories. Proposed improvements target specific gaps within user tasks.</w:t>
      </w:r>
    </w:p>
    <w:p>
      <w:r>
        <w:br w:type="page"/>
      </w:r>
    </w:p>
    <w:p>
      <w:pPr>
        <w:pStyle w:val="Title"/>
      </w:pPr>
      <w:r>
        <w:t>From 12 requirement groups to three proposals</w:t>
      </w:r>
    </w:p>
    <w:p>
      <w:pPr>
        <w:pStyle w:val="Subtitle"/>
      </w:pPr>
      <w:r>
        <w:t>Keep the original scoring record and final PRD scope distinct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Final proposal</w:t>
            </w:r>
          </w:p>
        </w:tc>
        <w:tc>
          <w:tcPr>
            <w:tcW w:type="dxa" w:w="2880"/>
          </w:tcPr>
          <w:p>
            <w:r>
              <w:t>Requirement lineage</w:t>
            </w:r>
          </w:p>
        </w:tc>
        <w:tc>
          <w:tcPr>
            <w:tcW w:type="dxa" w:w="2880"/>
          </w:tcPr>
          <w:p>
            <w:r>
              <w:t>Scope decision</w:t>
            </w:r>
          </w:p>
        </w:tc>
      </w:tr>
      <w:tr>
        <w:tc>
          <w:tcPr>
            <w:tcW w:type="dxa" w:w="2880"/>
          </w:tcPr>
          <w:p>
            <w:r>
              <w:t>Complete artist catalog browsing</w:t>
            </w:r>
          </w:p>
        </w:tc>
        <w:tc>
          <w:tcPr>
            <w:tcW w:type="dxa" w:w="2880"/>
          </w:tcPr>
          <w:p>
            <w:r>
              <w:t>R07</w:t>
            </w:r>
          </w:p>
        </w:tc>
        <w:tc>
          <w:tcPr>
            <w:tcW w:type="dxa" w:w="2880"/>
          </w:tcPr>
          <w:p>
            <w:r>
              <w:t>P1; accessible entries, filters, sort order and explicit batch scope</w:t>
            </w:r>
          </w:p>
        </w:tc>
      </w:tr>
      <w:tr>
        <w:tc>
          <w:tcPr>
            <w:tcW w:type="dxa" w:w="2880"/>
          </w:tcPr>
          <w:p>
            <w:r>
              <w:t>Promotion control and module management</w:t>
            </w:r>
          </w:p>
        </w:tc>
        <w:tc>
          <w:tcPr>
            <w:tcW w:type="dxa" w:w="2880"/>
          </w:tcPr>
          <w:p>
            <w:r>
              <w:t>R02 / R03</w:t>
            </w:r>
          </w:p>
        </w:tc>
        <w:tc>
          <w:tcPr>
            <w:tcW w:type="dxa" w:w="2880"/>
          </w:tcPr>
          <w:p>
            <w:r>
              <w:t>P1; current-version and membership checks precede development</w:t>
            </w:r>
          </w:p>
        </w:tc>
      </w:tr>
      <w:tr>
        <w:tc>
          <w:tcPr>
            <w:tcW w:type="dxa" w:w="2880"/>
          </w:tcPr>
          <w:p>
            <w:r>
              <w:t>Report progress and interaction safety</w:t>
            </w:r>
          </w:p>
        </w:tc>
        <w:tc>
          <w:tcPr>
            <w:tcW w:type="dxa" w:w="2880"/>
          </w:tcPr>
          <w:p>
            <w:r>
              <w:t>R09 / R10</w:t>
            </w:r>
          </w:p>
        </w:tc>
        <w:tc>
          <w:tcPr>
            <w:tcW w:type="dxa" w:w="2880"/>
          </w:tcPr>
          <w:p>
            <w:r>
              <w:t>P0; prioritize a traceable safety and trust workflow</w:t>
            </w:r>
          </w:p>
        </w:tc>
      </w:tr>
    </w:tbl>
    <w:p>
      <w:pPr>
        <w:pStyle w:val="Heading2"/>
      </w:pPr>
      <w:r>
        <w:t>Prioritization framework</w:t>
      </w:r>
    </w:p>
    <w:p>
      <w:r>
        <w:t>Reach, task impact, behavioral impact and evidence strength each receive 1–3 points. Core-task blockers and safety issues qualify for P0. R01 has A/B subrequirements: 12 groups and 13 scored entries.</w:t>
      </w:r>
    </w:p>
    <w:p>
      <w:pPr>
        <w:pStyle w:val="Heading2"/>
      </w:pPr>
      <w:r>
        <w:t>Scope revision</w:t>
      </w:r>
    </w:p>
    <w:p>
      <w:r>
        <w:t>Early drafts explored licensing explanations, cloud-library batch tools and cross-device synchronization. Rechecking existing capabilities and concrete feedback removed complex mechanisms with weak evidence or heavy dependencies from the final scope. Original scores remain decision history.</w:t>
      </w:r>
    </w:p>
    <w:p>
      <w:pPr>
        <w:pStyle w:val="Heading2"/>
      </w:pPr>
      <w:r>
        <w:t>Competitive lenses</w:t>
      </w:r>
    </w:p>
    <w:p>
      <w:r>
        <w:t>QQ Music is the domestic direct competitor for retrieval, content and memberships. Spotify is the product-model reference for library organization, recommendation control and cross-device tasks. Observations retain the August 20, 2026 research cutoff.</w:t>
      </w:r>
    </w:p>
    <w:p>
      <w:pPr>
        <w:pStyle w:val="Heading2"/>
      </w:pPr>
      <w:r>
        <w:t>Turn comparisons into decisions</w:t>
      </w:r>
    </w:p>
    <w:p>
      <w:r>
        <w:t>Evaluate whether users can identify operation scope, resume listening, and track report handling. List licensing supply, synchronization and commercial revenue as dependencies with validation gates.</w:t>
      </w:r>
    </w:p>
    <w:p>
      <w:r>
        <w:br w:type="page"/>
      </w:r>
    </w:p>
    <w:p>
      <w:pPr>
        <w:pStyle w:val="Title"/>
      </w:pPr>
      <w:r>
        <w:t>Find the catalog. Confirm the operation scope.</w:t>
      </w:r>
    </w:p>
    <w:p>
      <w:pPr>
        <w:pStyle w:val="Subtitle"/>
      </w:pPr>
      <w:r>
        <w:t>P1 | Complete artist catalog browsing and organization</w:t>
      </w:r>
    </w:p>
    <w:p>
      <w:pPr>
        <w:pStyle w:val="Heading2"/>
      </w:pPr>
      <w:r>
        <w:t>Main path</w:t>
      </w:r>
    </w:p>
    <w:p>
      <w:r>
        <w:t>Artist page → all songs/albums → filter by type and release date → play current results or add them to a playlist → review outcome details.</w:t>
      </w:r>
    </w:p>
    <w:p>
      <w:pPr>
        <w:pStyle w:val="Heading2"/>
      </w:pPr>
      <w:r>
        <w:t>Business rules</w:t>
      </w:r>
    </w:p>
    <w:p>
      <w:r>
        <w:t>Label the popular section “Top 50” and expose the complete catalog. Unknown metadata goes to “Other.” Deduplicate batch additions and report added, existing, unavailable and failed items separately.</w:t>
      </w:r>
    </w:p>
    <w:p>
      <w:pPr>
        <w:pStyle w:val="Heading2"/>
      </w:pPr>
      <w:r>
        <w:t>Recovery behavior</w:t>
      </w:r>
    </w:p>
    <w:p>
      <w:r>
        <w:t>Pagination and background tasks keep large catalogs usable. Preserve filters and scroll position when returning. Retry failed items only, using idempotency to avoid duplicate successful writes.</w:t>
      </w:r>
    </w:p>
    <w:p>
      <w:pPr>
        <w:pStyle w:val="Heading2"/>
      </w:pPr>
      <w:r>
        <w:t>Acceptance and measures</w:t>
      </w:r>
    </w:p>
    <w:p>
      <w:r>
        <w:t>Check entry visibility, filtering, playback scope and batch outcomes. Track full-catalog entry reach, task completion, batch success and failed-item recovery.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Title"/>
      </w:pPr>
      <w:r>
        <w:t>Dismiss the promotion. Resume the task.</w:t>
      </w:r>
    </w:p>
    <w:p>
      <w:pPr>
        <w:pStyle w:val="Subtitle"/>
      </w:pPr>
      <w:r>
        <w:t>P1 | Current-release checks are a prerequisite</w:t>
      </w:r>
    </w:p>
    <w:p>
      <w:pPr>
        <w:pStyle w:val="Heading2"/>
      </w:pPr>
      <w:r>
        <w:t>Display decision</w:t>
      </w:r>
    </w:p>
    <w:p>
      <w:r>
        <w:t>Check task context, playback, session/day limits, recent dismissal, membership entitlement and creative validity. Defer ordinary promotions or use a non-blocking area when interruption is inappropriate.</w:t>
      </w:r>
    </w:p>
    <w:p>
      <w:pPr>
        <w:pStyle w:val="Heading2"/>
      </w:pPr>
      <w:r>
        <w:t>Dismissal and frequency</w:t>
      </w:r>
    </w:p>
    <w:p>
      <w:r>
        <w:t>After dismissal, the same promotion stays suppressed for the session. A session ends after more than 30 minutes in the background. Separate dismissal from navigation; the PRD specifies a fixed hit area of at least 44 × 44 pt.</w:t>
      </w:r>
    </w:p>
    <w:p>
      <w:pPr>
        <w:pStyle w:val="Heading2"/>
      </w:pPr>
      <w:r>
        <w:t>Modules and entitlements</w:t>
      </w:r>
    </w:p>
    <w:p>
      <w:r>
        <w:t>Keep search, playback, safety and account entries accessible. Optional modules can be hidden, reordered and reset. Entitlement failures use a low-interruption fallback; safety notices use separate rules.</w:t>
      </w:r>
    </w:p>
    <w:p>
      <w:pPr>
        <w:pStyle w:val="Heading2"/>
      </w:pPr>
      <w:r>
        <w:t>Validation and measures</w:t>
      </w:r>
    </w:p>
    <w:p>
      <w:r>
        <w:t>Retest signed-out, free, VIP and SVIP accounts across launch/return/track-change scenarios and network conditions. Compare repeat exposure, task recovery, accidental navigation and commercial conversion together.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Title"/>
      </w:pPr>
      <w:r>
        <w:t>Make report handling visible and traceable.</w:t>
      </w:r>
    </w:p>
    <w:p>
      <w:pPr>
        <w:pStyle w:val="Subtitle"/>
      </w:pPr>
      <w:r>
        <w:t>P0 | Comment and stranger-interaction safety</w:t>
      </w:r>
    </w:p>
    <w:p>
      <w:pPr>
        <w:pStyle w:val="Heading2"/>
      </w:pPr>
      <w:r>
        <w:t>Routing and state</w:t>
      </w:r>
    </w:p>
    <w:p>
      <w:r>
        <w:t>Violations go to reporting; unrelated content goes to quality feedback; personal dislikes go to preference controls. Show “Accepted” only after the server returns a case ID, followed by review, additional-information requests and an outcome.</w:t>
      </w:r>
    </w:p>
    <w:p>
      <w:pPr>
        <w:pStyle w:val="Heading2"/>
      </w:pPr>
      <w:r>
        <w:t>Immediate protection</w:t>
      </w:r>
    </w:p>
    <w:p>
      <w:r>
        <w:t>Exit and local blocking take effect first. During network failure, isolate locally and sync later. Blocking is personal contact control. Moderation uses evidence and rules; report volume supports triage.</w:t>
      </w:r>
    </w:p>
    <w:p>
      <w:pPr>
        <w:pStyle w:val="Heading2"/>
      </w:pPr>
      <w:r>
        <w:t>Privacy and failures</w:t>
      </w:r>
    </w:p>
    <w:p>
      <w:r>
        <w:t>Keep unsuccessful submissions as drafts. Repeated submissions open the existing case with an option to add evidence. Disclose necessary outcome categories; the record center remains available when notifications fail.</w:t>
      </w:r>
    </w:p>
    <w:p>
      <w:pPr>
        <w:pStyle w:val="Heading2"/>
      </w:pPr>
      <w:r>
        <w:t>Acceptance and measures</w:t>
      </w:r>
    </w:p>
    <w:p>
      <w:r>
        <w:t>Check IDs, consistent states, evidence supplementation, queryable outcomes and offline isolation. Measure acceptance success/latency, handling time, outcome visibility and post-block contact failures.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34747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74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Title"/>
      </w:pPr>
      <w:r>
        <w:t>Validation plan and delivery evidence</w:t>
      </w:r>
    </w:p>
    <w:p>
      <w:pPr>
        <w:pStyle w:val="Subtitle"/>
      </w:pPr>
      <w:r>
        <w:t>Define reviewable next steps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Checks</w:t>
            </w:r>
          </w:p>
        </w:tc>
        <w:tc>
          <w:tcPr>
            <w:tcW w:type="dxa" w:w="2880"/>
          </w:tcPr>
          <w:p>
            <w:r>
              <w:t>Decision gate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Current-release verification and 14-day measures</w:t>
            </w:r>
          </w:p>
        </w:tc>
        <w:tc>
          <w:tcPr>
            <w:tcW w:type="dxa" w:w="2880"/>
          </w:tcPr>
          <w:p>
            <w:r>
              <w:t>Remove resolved or unreproducible issues</w:t>
            </w:r>
          </w:p>
        </w:tc>
      </w:tr>
      <w:tr>
        <w:tc>
          <w:tcPr>
            <w:tcW w:type="dxa" w:w="2880"/>
          </w:tcPr>
          <w:p>
            <w:r>
              <w:t>Limited rollout</w:t>
            </w:r>
          </w:p>
        </w:tc>
        <w:tc>
          <w:tcPr>
            <w:tcW w:type="dxa" w:w="2880"/>
          </w:tcPr>
          <w:p>
            <w:r>
              <w:t>Release in stages with rollback switches</w:t>
            </w:r>
          </w:p>
        </w:tc>
        <w:tc>
          <w:tcPr>
            <w:tcW w:type="dxa" w:w="2880"/>
          </w:tcPr>
          <w:p>
            <w:r>
              <w:t>Evaluate task experience, performance, revenue and safety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Success rates, failures, handling times and guardrails</w:t>
            </w:r>
          </w:p>
        </w:tc>
        <w:tc>
          <w:tcPr>
            <w:tcW w:type="dxa" w:w="2880"/>
          </w:tcPr>
          <w:p>
            <w:r>
              <w:t>Set targets from baseline; pause expansion on serious failures</w:t>
            </w:r>
          </w:p>
        </w:tc>
      </w:tr>
    </w:tbl>
    <w:p>
      <w:pPr>
        <w:pStyle w:val="Heading2"/>
      </w:pPr>
      <w:r>
        <w:t>Artifacts</w:t>
      </w:r>
    </w:p>
    <w:p>
      <w:r>
        <w:t>Research synthesis; needs analysis and priority matrix; QQ Music/Spotify comparison; full Chinese PRD; this bilingual case and six visual concept wireframes reorganized from the final PRD.</w:t>
      </w:r>
    </w:p>
    <w:p>
      <w:pPr>
        <w:pStyle w:val="Heading2"/>
      </w:pPr>
      <w:r>
        <w:t>Traceability</w:t>
      </w:r>
    </w:p>
    <w:p>
      <w:r>
        <w:t>Scenario → flow → prototype → event → acceptance criterion. Section 16 of the full PRD contains the mapping; this case explains the three task chains separately.</w:t>
      </w:r>
    </w:p>
    <w:p>
      <w:pPr>
        <w:pStyle w:val="Heading2"/>
      </w:pPr>
      <w:r>
        <w:t>Implementation dependencies</w:t>
      </w:r>
    </w:p>
    <w:p>
      <w:r>
        <w:t>Content metadata and playlist services, client/ad SDK behavior, membership entitlements, moderation-state APIs, customer operations and analytics. Each dependency has a failure-handling rule.</w:t>
      </w:r>
    </w:p>
    <w:p>
      <w:pPr>
        <w:pStyle w:val="Heading2"/>
      </w:pPr>
      <w:r>
        <w:t>Public scope</w:t>
      </w:r>
    </w:p>
    <w:p>
      <w:r>
        <w:t>The repository contains aggregate results and product documents. Individual survey rows, contacts, private verification documents and working caches stay local. This is a personal product-analysis exercise studying NetEase Cloud Music.</w:t>
      </w:r>
    </w:p>
    <w:p>
      <w:pPr>
        <w:pStyle w:val="Heading2"/>
      </w:pPr>
      <w:r>
        <w:t>Project repository</w:t>
      </w:r>
    </w:p>
    <w:p>
      <w:r>
        <w:t>https://github.com/Ginga2003/netease-cloud-music-product-case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