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8D7" w:rsidRPr="00ED2767" w:rsidRDefault="00FC329C" w:rsidP="006B081A">
      <w:pPr>
        <w:spacing w:after="0" w:line="240" w:lineRule="auto"/>
        <w:jc w:val="both"/>
        <w:rPr>
          <w:rFonts w:ascii="Verdana" w:hAnsi="Verdana" w:cs="Consolas"/>
        </w:rPr>
      </w:pPr>
      <w:r w:rsidRPr="00ED2767">
        <w:rPr>
          <w:rFonts w:ascii="Verdana" w:hAnsi="Verdana" w:cs="Consolas"/>
        </w:rPr>
        <w:t xml:space="preserve">Universidad de San Carlos de Guatemala </w:t>
      </w:r>
    </w:p>
    <w:p w:rsidR="00BF48D7" w:rsidRPr="00ED2767" w:rsidRDefault="00FC329C" w:rsidP="006B081A">
      <w:pPr>
        <w:spacing w:after="0" w:line="240" w:lineRule="auto"/>
        <w:jc w:val="both"/>
        <w:rPr>
          <w:rFonts w:ascii="Verdana" w:hAnsi="Verdana" w:cs="Consolas"/>
        </w:rPr>
      </w:pPr>
      <w:r w:rsidRPr="00ED2767">
        <w:rPr>
          <w:rFonts w:ascii="Verdana" w:hAnsi="Verdana" w:cs="Consolas"/>
        </w:rPr>
        <w:t>Facultad de Ingeniería</w:t>
      </w:r>
    </w:p>
    <w:p w:rsidR="00BF48D7" w:rsidRPr="00ED2767" w:rsidRDefault="00FC329C" w:rsidP="006B081A">
      <w:pPr>
        <w:spacing w:after="0" w:line="240" w:lineRule="auto"/>
        <w:jc w:val="both"/>
        <w:rPr>
          <w:rFonts w:ascii="Verdana" w:hAnsi="Verdana" w:cs="Consolas"/>
        </w:rPr>
      </w:pPr>
      <w:r w:rsidRPr="00ED2767">
        <w:rPr>
          <w:rFonts w:ascii="Verdana" w:hAnsi="Verdana" w:cs="Consolas"/>
        </w:rPr>
        <w:t>Escuela de Ciencias</w:t>
      </w:r>
    </w:p>
    <w:p w:rsidR="00BF48D7" w:rsidRPr="00ED2767" w:rsidRDefault="00FC329C" w:rsidP="006B081A">
      <w:pPr>
        <w:spacing w:after="0" w:line="240" w:lineRule="auto"/>
        <w:jc w:val="both"/>
        <w:rPr>
          <w:rFonts w:ascii="Verdana" w:hAnsi="Verdana" w:cs="Consolas"/>
        </w:rPr>
      </w:pPr>
      <w:r w:rsidRPr="00ED2767">
        <w:rPr>
          <w:rFonts w:ascii="Verdana" w:hAnsi="Verdana" w:cs="Consolas"/>
        </w:rPr>
        <w:t>Análisis y Diseño 2</w:t>
      </w:r>
    </w:p>
    <w:p w:rsidR="00BF48D7" w:rsidRPr="00ED2767" w:rsidRDefault="00FC329C" w:rsidP="006B081A">
      <w:pPr>
        <w:spacing w:after="0" w:line="240" w:lineRule="auto"/>
        <w:jc w:val="both"/>
        <w:rPr>
          <w:rFonts w:ascii="Verdana" w:hAnsi="Verdana" w:cs="Consolas"/>
        </w:rPr>
      </w:pPr>
      <w:r w:rsidRPr="00ED2767">
        <w:rPr>
          <w:rFonts w:ascii="Verdana" w:hAnsi="Verdana" w:cs="Consolas"/>
        </w:rPr>
        <w:t>Ing. Ricardo Morales</w:t>
      </w:r>
    </w:p>
    <w:p w:rsidR="00BF48D7" w:rsidRPr="00ED2767" w:rsidRDefault="00FC329C" w:rsidP="006B081A">
      <w:pPr>
        <w:spacing w:after="0" w:line="240" w:lineRule="auto"/>
        <w:jc w:val="both"/>
        <w:rPr>
          <w:rFonts w:ascii="Verdana" w:hAnsi="Verdana" w:cs="Consolas"/>
        </w:rPr>
      </w:pPr>
      <w:r w:rsidRPr="00ED2767">
        <w:rPr>
          <w:rFonts w:ascii="Verdana" w:hAnsi="Verdana" w:cs="Consolas"/>
        </w:rPr>
        <w:t>Aux. Kenny Eguizábal</w:t>
      </w:r>
    </w:p>
    <w:p w:rsidR="00BF48D7" w:rsidRPr="00ED2767" w:rsidRDefault="00BF48D7" w:rsidP="006B081A">
      <w:pPr>
        <w:spacing w:after="0"/>
        <w:jc w:val="both"/>
        <w:rPr>
          <w:rFonts w:ascii="Verdana" w:hAnsi="Verdana" w:cs="Consolas"/>
        </w:rPr>
      </w:pPr>
    </w:p>
    <w:p w:rsidR="00BF48D7" w:rsidRPr="00ED2767" w:rsidRDefault="00FC329C" w:rsidP="006B081A">
      <w:pPr>
        <w:spacing w:after="0"/>
        <w:jc w:val="both"/>
        <w:rPr>
          <w:rFonts w:ascii="Verdana" w:hAnsi="Verdana" w:cs="Consolas"/>
        </w:rPr>
      </w:pPr>
      <w:r w:rsidRPr="00ED2767">
        <w:rPr>
          <w:rFonts w:ascii="Verdana" w:hAnsi="Verdana" w:cs="Consolas"/>
          <w:noProof/>
          <w:lang w:eastAsia="es-GT"/>
        </w:rPr>
        <w:drawing>
          <wp:anchor distT="0" distB="0" distL="114300" distR="114300" simplePos="0" relativeHeight="251659264" behindDoc="0" locked="0" layoutInCell="1" allowOverlap="1">
            <wp:simplePos x="0" y="0"/>
            <wp:positionH relativeFrom="margin">
              <wp:align>center</wp:align>
            </wp:positionH>
            <wp:positionV relativeFrom="paragraph">
              <wp:posOffset>4445</wp:posOffset>
            </wp:positionV>
            <wp:extent cx="3815080" cy="3815080"/>
            <wp:effectExtent l="0" t="0" r="0" b="0"/>
            <wp:wrapSquare wrapText="bothSides"/>
            <wp:docPr id="1" name="Imagen 1" descr="D:\Todo\andy_linux\Pictures\us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Todo\andy_linux\Pictures\usac.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815080" cy="3815080"/>
                    </a:xfrm>
                    <a:prstGeom prst="rect">
                      <a:avLst/>
                    </a:prstGeom>
                    <a:noFill/>
                    <a:ln>
                      <a:noFill/>
                    </a:ln>
                  </pic:spPr>
                </pic:pic>
              </a:graphicData>
            </a:graphic>
          </wp:anchor>
        </w:drawing>
      </w: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bookmarkStart w:id="0" w:name="_GoBack"/>
      <w:bookmarkEnd w:id="0"/>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b/>
          <w:sz w:val="40"/>
          <w:szCs w:val="40"/>
        </w:rPr>
      </w:pPr>
    </w:p>
    <w:p w:rsidR="00BF48D7" w:rsidRPr="00ED2767" w:rsidRDefault="00BF48D7" w:rsidP="006B081A">
      <w:pPr>
        <w:spacing w:after="0"/>
        <w:jc w:val="both"/>
        <w:rPr>
          <w:rFonts w:ascii="Verdana" w:hAnsi="Verdana" w:cs="Consolas"/>
          <w:b/>
          <w:sz w:val="40"/>
          <w:szCs w:val="40"/>
        </w:rPr>
      </w:pPr>
    </w:p>
    <w:p w:rsidR="00BF48D7" w:rsidRPr="00ED2767" w:rsidRDefault="00BF48D7" w:rsidP="006B081A">
      <w:pPr>
        <w:spacing w:after="0"/>
        <w:jc w:val="both"/>
        <w:rPr>
          <w:rFonts w:ascii="Verdana" w:hAnsi="Verdana" w:cs="Consolas"/>
          <w:b/>
          <w:sz w:val="40"/>
          <w:szCs w:val="40"/>
        </w:rPr>
      </w:pPr>
    </w:p>
    <w:p w:rsidR="00BF48D7" w:rsidRPr="00ED2767" w:rsidRDefault="00BF48D7" w:rsidP="006B081A">
      <w:pPr>
        <w:spacing w:after="0"/>
        <w:jc w:val="both"/>
        <w:rPr>
          <w:rFonts w:ascii="Verdana" w:hAnsi="Verdana" w:cs="Consolas"/>
          <w:b/>
          <w:sz w:val="40"/>
          <w:szCs w:val="40"/>
        </w:rPr>
      </w:pPr>
    </w:p>
    <w:p w:rsidR="00BF48D7" w:rsidRPr="00ED2767" w:rsidRDefault="00DB7F7E" w:rsidP="00CF0E28">
      <w:pPr>
        <w:spacing w:after="0"/>
        <w:jc w:val="center"/>
        <w:rPr>
          <w:rFonts w:ascii="Verdana" w:hAnsi="Verdana" w:cs="Consolas"/>
          <w:b/>
          <w:sz w:val="40"/>
          <w:szCs w:val="40"/>
        </w:rPr>
      </w:pPr>
      <w:r w:rsidRPr="00ED2767">
        <w:rPr>
          <w:rFonts w:ascii="Verdana" w:hAnsi="Verdana" w:cs="Consolas"/>
          <w:b/>
          <w:sz w:val="40"/>
          <w:szCs w:val="40"/>
        </w:rPr>
        <w:t>Proyecto</w:t>
      </w:r>
      <w:r w:rsidR="00FC329C" w:rsidRPr="00ED2767">
        <w:rPr>
          <w:rFonts w:ascii="Verdana" w:hAnsi="Verdana" w:cs="Consolas"/>
          <w:b/>
          <w:sz w:val="40"/>
          <w:szCs w:val="40"/>
        </w:rPr>
        <w:t xml:space="preserve">: </w:t>
      </w:r>
      <w:r w:rsidRPr="00ED2767">
        <w:rPr>
          <w:rFonts w:ascii="Verdana" w:hAnsi="Verdana" w:cs="Consolas"/>
          <w:b/>
          <w:sz w:val="40"/>
          <w:szCs w:val="40"/>
        </w:rPr>
        <w:t>Investigación ITIL-COBIT</w:t>
      </w:r>
    </w:p>
    <w:p w:rsidR="00BF48D7" w:rsidRPr="00ED2767" w:rsidRDefault="00BF48D7" w:rsidP="006B081A">
      <w:pPr>
        <w:spacing w:after="0"/>
        <w:jc w:val="both"/>
        <w:rPr>
          <w:rFonts w:ascii="Verdana" w:hAnsi="Verdana" w:cs="Consolas"/>
          <w:sz w:val="40"/>
          <w:szCs w:val="40"/>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BF48D7" w:rsidP="006B081A">
      <w:pPr>
        <w:spacing w:after="0"/>
        <w:jc w:val="both"/>
        <w:rPr>
          <w:rFonts w:ascii="Verdana" w:hAnsi="Verdana" w:cs="Consolas"/>
        </w:rPr>
      </w:pPr>
    </w:p>
    <w:p w:rsidR="00BF48D7" w:rsidRPr="00ED2767" w:rsidRDefault="00FC329C" w:rsidP="007572C1">
      <w:pPr>
        <w:spacing w:after="0"/>
        <w:jc w:val="right"/>
        <w:rPr>
          <w:rFonts w:ascii="Verdana" w:hAnsi="Verdana" w:cs="Consolas"/>
        </w:rPr>
      </w:pPr>
      <w:r w:rsidRPr="00ED2767">
        <w:rPr>
          <w:rFonts w:ascii="Verdana" w:hAnsi="Verdana" w:cs="Consolas"/>
        </w:rPr>
        <w:t xml:space="preserve">Virginia Chavarría Guzmán </w:t>
      </w:r>
    </w:p>
    <w:p w:rsidR="00BF48D7" w:rsidRPr="00ED2767" w:rsidRDefault="00FC329C" w:rsidP="007572C1">
      <w:pPr>
        <w:spacing w:after="0"/>
        <w:jc w:val="right"/>
        <w:rPr>
          <w:rFonts w:ascii="Verdana" w:hAnsi="Verdana" w:cs="Consolas"/>
        </w:rPr>
      </w:pPr>
      <w:r w:rsidRPr="00ED2767">
        <w:rPr>
          <w:rFonts w:ascii="Verdana" w:hAnsi="Verdana" w:cs="Consolas"/>
        </w:rPr>
        <w:t>200920081</w:t>
      </w:r>
    </w:p>
    <w:p w:rsidR="00BF48D7" w:rsidRPr="00ED2767" w:rsidRDefault="00F72E8E" w:rsidP="007572C1">
      <w:pPr>
        <w:spacing w:after="0"/>
        <w:jc w:val="right"/>
        <w:rPr>
          <w:rFonts w:ascii="Verdana" w:hAnsi="Verdana" w:cs="Consolas"/>
        </w:rPr>
      </w:pPr>
      <w:r w:rsidRPr="00ED2767">
        <w:rPr>
          <w:rFonts w:ascii="Verdana" w:hAnsi="Verdana" w:cs="Consolas"/>
        </w:rPr>
        <w:t>Guatemala,03</w:t>
      </w:r>
      <w:r w:rsidR="00FC329C" w:rsidRPr="00ED2767">
        <w:rPr>
          <w:rFonts w:ascii="Verdana" w:hAnsi="Verdana" w:cs="Consolas"/>
        </w:rPr>
        <w:t xml:space="preserve"> </w:t>
      </w:r>
      <w:proofErr w:type="gramStart"/>
      <w:r w:rsidRPr="00ED2767">
        <w:rPr>
          <w:rFonts w:ascii="Verdana" w:hAnsi="Verdana" w:cs="Consolas"/>
        </w:rPr>
        <w:t>Mayo</w:t>
      </w:r>
      <w:proofErr w:type="gramEnd"/>
      <w:r w:rsidR="00FC329C" w:rsidRPr="00ED2767">
        <w:rPr>
          <w:rFonts w:ascii="Verdana" w:hAnsi="Verdana" w:cs="Consolas"/>
        </w:rPr>
        <w:t xml:space="preserve"> de 2016</w:t>
      </w:r>
    </w:p>
    <w:p w:rsidR="00BF48D7" w:rsidRPr="00ED2767" w:rsidRDefault="00DB7F7E" w:rsidP="007572C1">
      <w:pPr>
        <w:pStyle w:val="Ttulo"/>
        <w:jc w:val="center"/>
        <w:rPr>
          <w:rFonts w:ascii="Verdana" w:hAnsi="Verdana" w:cs="Consolas"/>
          <w:color w:val="E48312" w:themeColor="accent1"/>
          <w:sz w:val="56"/>
          <w:szCs w:val="56"/>
          <w:lang w:val="es-ES"/>
        </w:rPr>
      </w:pPr>
      <w:r w:rsidRPr="00ED2767">
        <w:rPr>
          <w:rFonts w:ascii="Verdana" w:hAnsi="Verdana" w:cs="Consolas"/>
          <w:color w:val="E48312" w:themeColor="accent1"/>
          <w:sz w:val="56"/>
          <w:szCs w:val="56"/>
          <w:lang w:val="es-ES"/>
        </w:rPr>
        <w:t>ITIL</w:t>
      </w:r>
    </w:p>
    <w:p w:rsidR="00BF48D7" w:rsidRPr="00ED2767" w:rsidRDefault="00FC329C" w:rsidP="006B081A">
      <w:pPr>
        <w:pStyle w:val="Ttulo1"/>
        <w:jc w:val="both"/>
        <w:rPr>
          <w:rFonts w:ascii="Verdana" w:hAnsi="Verdana" w:cs="Consolas"/>
          <w:b/>
          <w:color w:val="FFFFFF" w:themeColor="background1"/>
          <w:sz w:val="20"/>
          <w:szCs w:val="20"/>
          <w:lang w:val="es-ES"/>
        </w:rPr>
      </w:pPr>
      <w:r w:rsidRPr="00ED2767">
        <w:rPr>
          <w:rFonts w:ascii="Verdana" w:hAnsi="Verdana" w:cs="Consolas"/>
          <w:b/>
          <w:sz w:val="20"/>
          <w:szCs w:val="20"/>
          <w:lang w:val="es-ES"/>
        </w:rPr>
        <w:t>HISTORIA</w:t>
      </w:r>
    </w:p>
    <w:p w:rsidR="00DB7F7E" w:rsidRPr="00ED2767" w:rsidRDefault="00DB7F7E" w:rsidP="006B081A">
      <w:pPr>
        <w:tabs>
          <w:tab w:val="left" w:pos="2036"/>
        </w:tabs>
        <w:jc w:val="both"/>
        <w:rPr>
          <w:rFonts w:ascii="Verdana" w:hAnsi="Verdana"/>
          <w:sz w:val="18"/>
          <w:szCs w:val="18"/>
        </w:rPr>
      </w:pPr>
      <w:r w:rsidRPr="00ED2767">
        <w:rPr>
          <w:rFonts w:ascii="Verdana" w:hAnsi="Verdana"/>
          <w:sz w:val="18"/>
          <w:szCs w:val="18"/>
        </w:rPr>
        <w:t>ITIL por sus siglas en inglés IT infraestructura library, biblioteca de infraestructura de TI, es un marco de referencia que describe un conjunto de mejores prácticas y recomendaciones para la administración de servicios de TI, con un enfoque de administración de procesos. En 1987 la OGC</w:t>
      </w:r>
      <w:r w:rsidR="00E02F50" w:rsidRPr="00ED2767">
        <w:rPr>
          <w:rFonts w:ascii="Verdana" w:hAnsi="Verdana"/>
          <w:sz w:val="18"/>
          <w:szCs w:val="18"/>
        </w:rPr>
        <w:t xml:space="preserve"> inicio un proyecto llamado GITIMM (</w:t>
      </w:r>
      <w:proofErr w:type="spellStart"/>
      <w:r w:rsidR="00E02F50" w:rsidRPr="00ED2767">
        <w:rPr>
          <w:rFonts w:ascii="Verdana" w:hAnsi="Verdana"/>
          <w:sz w:val="18"/>
          <w:szCs w:val="18"/>
        </w:rPr>
        <w:t>Government</w:t>
      </w:r>
      <w:proofErr w:type="spellEnd"/>
      <w:r w:rsidR="00E02F50" w:rsidRPr="00ED2767">
        <w:rPr>
          <w:rFonts w:ascii="Verdana" w:hAnsi="Verdana"/>
          <w:sz w:val="18"/>
          <w:szCs w:val="18"/>
        </w:rPr>
        <w:t xml:space="preserve"> IT </w:t>
      </w:r>
      <w:proofErr w:type="spellStart"/>
      <w:r w:rsidR="00E02F50" w:rsidRPr="00ED2767">
        <w:rPr>
          <w:rFonts w:ascii="Verdana" w:hAnsi="Verdana"/>
          <w:sz w:val="18"/>
          <w:szCs w:val="18"/>
        </w:rPr>
        <w:t>Infraestructure</w:t>
      </w:r>
      <w:proofErr w:type="spellEnd"/>
      <w:r w:rsidR="00E02F50" w:rsidRPr="00ED2767">
        <w:rPr>
          <w:rFonts w:ascii="Verdana" w:hAnsi="Verdana"/>
          <w:sz w:val="18"/>
          <w:szCs w:val="18"/>
        </w:rPr>
        <w:t xml:space="preserve"> </w:t>
      </w:r>
      <w:proofErr w:type="spellStart"/>
      <w:r w:rsidR="00E02F50" w:rsidRPr="00ED2767">
        <w:rPr>
          <w:rFonts w:ascii="Verdana" w:hAnsi="Verdana"/>
          <w:sz w:val="18"/>
          <w:szCs w:val="18"/>
        </w:rPr>
        <w:t>Managment</w:t>
      </w:r>
      <w:proofErr w:type="spellEnd"/>
      <w:r w:rsidR="00E02F50" w:rsidRPr="00ED2767">
        <w:rPr>
          <w:rFonts w:ascii="Verdana" w:hAnsi="Verdana"/>
          <w:sz w:val="18"/>
          <w:szCs w:val="18"/>
        </w:rPr>
        <w:t xml:space="preserve"> </w:t>
      </w:r>
      <w:proofErr w:type="spellStart"/>
      <w:r w:rsidR="00E02F50" w:rsidRPr="00ED2767">
        <w:rPr>
          <w:rFonts w:ascii="Verdana" w:hAnsi="Verdana"/>
          <w:sz w:val="18"/>
          <w:szCs w:val="18"/>
        </w:rPr>
        <w:t>Method</w:t>
      </w:r>
      <w:proofErr w:type="spellEnd"/>
      <w:r w:rsidR="00E02F50" w:rsidRPr="00ED2767">
        <w:rPr>
          <w:rFonts w:ascii="Verdana" w:hAnsi="Verdana"/>
          <w:sz w:val="18"/>
          <w:szCs w:val="18"/>
        </w:rPr>
        <w:t>), en el cual involucraron a varias firmas de consultoría para investigar y documentar las mejores prácticas para planear y operar la infraestructura de TI. Poco después conforme a esto evolucionaba de administración de infraestructura a administración de servicios de TI se le cambió el nombre a ITIL.</w:t>
      </w:r>
    </w:p>
    <w:p w:rsidR="00E02F50" w:rsidRPr="00ED2767" w:rsidRDefault="00E02F50" w:rsidP="006B081A">
      <w:pPr>
        <w:tabs>
          <w:tab w:val="left" w:pos="2036"/>
        </w:tabs>
        <w:jc w:val="both"/>
        <w:rPr>
          <w:rFonts w:ascii="Verdana" w:hAnsi="Verdana"/>
          <w:sz w:val="18"/>
          <w:szCs w:val="18"/>
        </w:rPr>
      </w:pPr>
      <w:r w:rsidRPr="00ED2767">
        <w:rPr>
          <w:rFonts w:ascii="Verdana" w:hAnsi="Verdana"/>
          <w:sz w:val="18"/>
          <w:szCs w:val="18"/>
        </w:rPr>
        <w:t>ITIL se creó como un modelo para la administración de servicios de TI e incluye información sobre las metas, actividades generales, las entradas y salidas de los procesos que pueden incorporar a las áreas de IT, esto fue hecho como un marco de referencia.</w:t>
      </w:r>
    </w:p>
    <w:p w:rsidR="00D22C0B" w:rsidRPr="00ED2767" w:rsidRDefault="00D22C0B" w:rsidP="006B081A">
      <w:pPr>
        <w:tabs>
          <w:tab w:val="left" w:pos="2036"/>
        </w:tabs>
        <w:jc w:val="both"/>
        <w:rPr>
          <w:rFonts w:ascii="Verdana" w:hAnsi="Verdana"/>
          <w:sz w:val="18"/>
          <w:szCs w:val="18"/>
        </w:rPr>
      </w:pPr>
      <w:r w:rsidRPr="00ED2767">
        <w:rPr>
          <w:rFonts w:ascii="Verdana" w:hAnsi="Verdana"/>
          <w:sz w:val="18"/>
          <w:szCs w:val="18"/>
        </w:rPr>
        <w:t>ITIL desde su creación estuvo en disposición para el público en forma de un conjunto de libros</w:t>
      </w:r>
      <w:r w:rsidR="00235762" w:rsidRPr="00ED2767">
        <w:rPr>
          <w:rFonts w:ascii="Verdana" w:hAnsi="Verdana"/>
          <w:sz w:val="18"/>
          <w:szCs w:val="18"/>
        </w:rPr>
        <w:t>, por eso su nombre de librería, la primera versión de este consistía de 10 libros que cubrían temas como “soporte al servicio” y/o “Entrega de servicio” este era una serie de libros complementarios los cuales abarcaban temas de administración de continuidad o cuestiones q se relacionan con cableado. En el 2001 se reestructuró y se reunió 19 libros en sólo 2, mientras que los otros temas siguieron separ</w:t>
      </w:r>
      <w:r w:rsidR="00B32BC4" w:rsidRPr="00ED2767">
        <w:rPr>
          <w:rFonts w:ascii="Verdana" w:hAnsi="Verdana"/>
          <w:sz w:val="18"/>
          <w:szCs w:val="18"/>
        </w:rPr>
        <w:t>ados para llegar a un total de 8</w:t>
      </w:r>
      <w:r w:rsidR="00235762" w:rsidRPr="00ED2767">
        <w:rPr>
          <w:rFonts w:ascii="Verdana" w:hAnsi="Verdana"/>
          <w:sz w:val="18"/>
          <w:szCs w:val="18"/>
        </w:rPr>
        <w:t xml:space="preserve"> libros para la segunda versión que son los siguientes:</w:t>
      </w:r>
    </w:p>
    <w:p w:rsidR="00B32BC4" w:rsidRPr="00ED2767" w:rsidRDefault="00B32BC4"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Provisión de Servicio</w:t>
      </w:r>
      <w:r w:rsidR="00E52453" w:rsidRPr="00ED2767">
        <w:rPr>
          <w:rFonts w:ascii="Verdana" w:hAnsi="Verdana"/>
          <w:sz w:val="18"/>
          <w:szCs w:val="18"/>
        </w:rPr>
        <w:t xml:space="preserve"> </w:t>
      </w:r>
      <w:r w:rsidRPr="00ED2767">
        <w:rPr>
          <w:rFonts w:ascii="Verdana" w:hAnsi="Verdana"/>
          <w:sz w:val="18"/>
          <w:szCs w:val="18"/>
        </w:rPr>
        <w:t>(0)</w:t>
      </w:r>
      <w:r w:rsidR="00E52453" w:rsidRPr="00ED2767">
        <w:rPr>
          <w:rFonts w:ascii="Verdana" w:hAnsi="Verdana"/>
          <w:sz w:val="18"/>
          <w:szCs w:val="18"/>
        </w:rPr>
        <w:t>.</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Soporte al servicio (1).</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Entrega del servicio (2).</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Administración de la seguridad (3).</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Adminis</w:t>
      </w:r>
      <w:r w:rsidR="00B32BC4" w:rsidRPr="00ED2767">
        <w:rPr>
          <w:rFonts w:ascii="Verdana" w:hAnsi="Verdana"/>
          <w:sz w:val="18"/>
          <w:szCs w:val="18"/>
        </w:rPr>
        <w:t>tración de la infraestructura I</w:t>
      </w:r>
      <w:r w:rsidRPr="00ED2767">
        <w:rPr>
          <w:rFonts w:ascii="Verdana" w:hAnsi="Verdana"/>
          <w:sz w:val="18"/>
          <w:szCs w:val="18"/>
        </w:rPr>
        <w:t>T (4).</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Administración de las aplicaciones (5).</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La perspectiva del negocio (6).</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Planeación para implantar la administración de servicios (7).</w:t>
      </w:r>
    </w:p>
    <w:p w:rsidR="0095369F" w:rsidRPr="00ED2767" w:rsidRDefault="0095369F" w:rsidP="006B081A">
      <w:pPr>
        <w:tabs>
          <w:tab w:val="left" w:pos="2036"/>
        </w:tabs>
        <w:jc w:val="both"/>
        <w:rPr>
          <w:rFonts w:ascii="Verdana" w:hAnsi="Verdana"/>
          <w:sz w:val="18"/>
          <w:szCs w:val="18"/>
        </w:rPr>
      </w:pPr>
      <w:r w:rsidRPr="00ED2767">
        <w:rPr>
          <w:rFonts w:ascii="Verdana" w:hAnsi="Verdana"/>
          <w:sz w:val="18"/>
          <w:szCs w:val="18"/>
        </w:rPr>
        <w:t>En el 2007 se llevó a la liberación de la versión 3 el cual consta de 5 libros que son:</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Estrategia de servicios.</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Diseño de servicios.</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Transición de servicios.</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Operación de servicios.</w:t>
      </w:r>
    </w:p>
    <w:p w:rsidR="0095369F" w:rsidRPr="00ED2767" w:rsidRDefault="0095369F"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Mejora continua de servicios.</w:t>
      </w:r>
    </w:p>
    <w:p w:rsidR="00B32BC4" w:rsidRPr="00ED2767" w:rsidRDefault="00B32BC4" w:rsidP="006B081A">
      <w:pPr>
        <w:pStyle w:val="Ttulo1"/>
        <w:jc w:val="both"/>
        <w:rPr>
          <w:rFonts w:ascii="Verdana" w:hAnsi="Verdana"/>
          <w:b/>
          <w:sz w:val="20"/>
          <w:szCs w:val="20"/>
        </w:rPr>
      </w:pPr>
      <w:r w:rsidRPr="00ED2767">
        <w:rPr>
          <w:rFonts w:ascii="Verdana" w:hAnsi="Verdana"/>
          <w:b/>
          <w:sz w:val="20"/>
          <w:szCs w:val="20"/>
        </w:rPr>
        <w:t>CERTIFICACIÓN</w:t>
      </w:r>
    </w:p>
    <w:p w:rsidR="00B32BC4" w:rsidRPr="00ED2767" w:rsidRDefault="00B32BC4" w:rsidP="006B081A">
      <w:pPr>
        <w:tabs>
          <w:tab w:val="left" w:pos="2036"/>
        </w:tabs>
        <w:jc w:val="both"/>
        <w:rPr>
          <w:rFonts w:ascii="Verdana" w:hAnsi="Verdana"/>
          <w:sz w:val="18"/>
          <w:szCs w:val="18"/>
        </w:rPr>
      </w:pPr>
      <w:r w:rsidRPr="00ED2767">
        <w:rPr>
          <w:rFonts w:ascii="Verdana" w:hAnsi="Verdana"/>
          <w:sz w:val="18"/>
          <w:szCs w:val="18"/>
        </w:rPr>
        <w:t xml:space="preserve">Los particulares pueden conseguir varias certificaciones oficiales ITIL. Los estándares de calificación ITIL son gestionados por la ITIL </w:t>
      </w:r>
      <w:proofErr w:type="spellStart"/>
      <w:r w:rsidRPr="00ED2767">
        <w:rPr>
          <w:rFonts w:ascii="Verdana" w:hAnsi="Verdana"/>
          <w:sz w:val="18"/>
          <w:szCs w:val="18"/>
        </w:rPr>
        <w:t>Certification</w:t>
      </w:r>
      <w:proofErr w:type="spellEnd"/>
      <w:r w:rsidRPr="00ED2767">
        <w:rPr>
          <w:rFonts w:ascii="Verdana" w:hAnsi="Verdana"/>
          <w:sz w:val="18"/>
          <w:szCs w:val="18"/>
        </w:rPr>
        <w:t xml:space="preserve"> Management </w:t>
      </w:r>
      <w:proofErr w:type="spellStart"/>
      <w:r w:rsidRPr="00ED2767">
        <w:rPr>
          <w:rFonts w:ascii="Verdana" w:hAnsi="Verdana"/>
          <w:sz w:val="18"/>
          <w:szCs w:val="18"/>
        </w:rPr>
        <w:t>Board</w:t>
      </w:r>
      <w:proofErr w:type="spellEnd"/>
      <w:r w:rsidRPr="00ED2767">
        <w:rPr>
          <w:rFonts w:ascii="Verdana" w:hAnsi="Verdana"/>
          <w:sz w:val="18"/>
          <w:szCs w:val="18"/>
        </w:rPr>
        <w:t xml:space="preserve"> (ICMB) que agrupa a la OGC, a </w:t>
      </w:r>
      <w:proofErr w:type="spellStart"/>
      <w:r w:rsidRPr="00ED2767">
        <w:rPr>
          <w:rFonts w:ascii="Verdana" w:hAnsi="Verdana"/>
          <w:sz w:val="18"/>
          <w:szCs w:val="18"/>
        </w:rPr>
        <w:t>itSMF</w:t>
      </w:r>
      <w:proofErr w:type="spellEnd"/>
      <w:r w:rsidRPr="00ED2767">
        <w:rPr>
          <w:rFonts w:ascii="Verdana" w:hAnsi="Verdana"/>
          <w:sz w:val="18"/>
          <w:szCs w:val="18"/>
        </w:rPr>
        <w:t xml:space="preserve"> International y a los dos Institutos Examinadores existentes: EXIN (con sede en los Países Bajos) e ISEB (con sede en el Reino Unido).</w:t>
      </w:r>
    </w:p>
    <w:p w:rsidR="00B32BC4" w:rsidRPr="00ED2767" w:rsidRDefault="00B32BC4" w:rsidP="006B081A">
      <w:pPr>
        <w:tabs>
          <w:tab w:val="left" w:pos="2036"/>
        </w:tabs>
        <w:jc w:val="both"/>
        <w:rPr>
          <w:rFonts w:ascii="Verdana" w:hAnsi="Verdana"/>
          <w:sz w:val="18"/>
          <w:szCs w:val="18"/>
        </w:rPr>
      </w:pPr>
      <w:r w:rsidRPr="00ED2767">
        <w:rPr>
          <w:rFonts w:ascii="Verdana" w:hAnsi="Verdana"/>
          <w:sz w:val="18"/>
          <w:szCs w:val="18"/>
        </w:rPr>
        <w:t>Existen tres niveles de certificación ITIL para profesionales:</w:t>
      </w:r>
    </w:p>
    <w:p w:rsidR="00B32BC4" w:rsidRPr="00ED2767" w:rsidRDefault="00B32BC4" w:rsidP="006B081A">
      <w:pPr>
        <w:pStyle w:val="Prrafodelista"/>
        <w:numPr>
          <w:ilvl w:val="0"/>
          <w:numId w:val="3"/>
        </w:numPr>
        <w:tabs>
          <w:tab w:val="left" w:pos="2036"/>
        </w:tabs>
        <w:jc w:val="both"/>
        <w:rPr>
          <w:rFonts w:ascii="Verdana" w:hAnsi="Verdana"/>
          <w:sz w:val="18"/>
          <w:szCs w:val="18"/>
        </w:rPr>
      </w:pPr>
      <w:proofErr w:type="spellStart"/>
      <w:r w:rsidRPr="00ED2767">
        <w:rPr>
          <w:rFonts w:ascii="Verdana" w:hAnsi="Verdana"/>
          <w:sz w:val="18"/>
          <w:szCs w:val="18"/>
        </w:rPr>
        <w:t>Foundation</w:t>
      </w:r>
      <w:proofErr w:type="spellEnd"/>
      <w:r w:rsidRPr="00ED2767">
        <w:rPr>
          <w:rFonts w:ascii="Verdana" w:hAnsi="Verdana"/>
          <w:sz w:val="18"/>
          <w:szCs w:val="18"/>
        </w:rPr>
        <w:t xml:space="preserve"> </w:t>
      </w:r>
      <w:proofErr w:type="spellStart"/>
      <w:r w:rsidRPr="00ED2767">
        <w:rPr>
          <w:rFonts w:ascii="Verdana" w:hAnsi="Verdana"/>
          <w:sz w:val="18"/>
          <w:szCs w:val="18"/>
        </w:rPr>
        <w:t>Certificate</w:t>
      </w:r>
      <w:proofErr w:type="spellEnd"/>
      <w:r w:rsidRPr="00ED2767">
        <w:rPr>
          <w:rFonts w:ascii="Verdana" w:hAnsi="Verdana"/>
          <w:sz w:val="18"/>
          <w:szCs w:val="18"/>
        </w:rPr>
        <w:t xml:space="preserve"> (Certificado Básico): acredita un conocimiento básico de ITIL en gestión de servicios de tecnologías de la información y la comprensión de la terminología propia de ITIL. Está destinado a aquellas personas que deseen conocer las buenas prácticas especificadas en ITIL.</w:t>
      </w:r>
    </w:p>
    <w:p w:rsidR="00B32BC4" w:rsidRPr="00ED2767" w:rsidRDefault="00B32BC4" w:rsidP="006B081A">
      <w:pPr>
        <w:pStyle w:val="Prrafodelista"/>
        <w:numPr>
          <w:ilvl w:val="0"/>
          <w:numId w:val="3"/>
        </w:numPr>
        <w:tabs>
          <w:tab w:val="left" w:pos="2036"/>
        </w:tabs>
        <w:jc w:val="both"/>
        <w:rPr>
          <w:rFonts w:ascii="Verdana" w:hAnsi="Verdana"/>
          <w:sz w:val="18"/>
          <w:szCs w:val="18"/>
        </w:rPr>
      </w:pPr>
      <w:proofErr w:type="spellStart"/>
      <w:r w:rsidRPr="00ED2767">
        <w:rPr>
          <w:rFonts w:ascii="Verdana" w:hAnsi="Verdana"/>
          <w:sz w:val="18"/>
          <w:szCs w:val="18"/>
        </w:rPr>
        <w:t>Practitioner's</w:t>
      </w:r>
      <w:proofErr w:type="spellEnd"/>
      <w:r w:rsidRPr="00ED2767">
        <w:rPr>
          <w:rFonts w:ascii="Verdana" w:hAnsi="Verdana"/>
          <w:sz w:val="18"/>
          <w:szCs w:val="18"/>
        </w:rPr>
        <w:t xml:space="preserve"> </w:t>
      </w:r>
      <w:proofErr w:type="spellStart"/>
      <w:r w:rsidRPr="00ED2767">
        <w:rPr>
          <w:rFonts w:ascii="Verdana" w:hAnsi="Verdana"/>
          <w:sz w:val="18"/>
          <w:szCs w:val="18"/>
        </w:rPr>
        <w:t>Certificate</w:t>
      </w:r>
      <w:proofErr w:type="spellEnd"/>
      <w:r w:rsidRPr="00ED2767">
        <w:rPr>
          <w:rFonts w:ascii="Verdana" w:hAnsi="Verdana"/>
          <w:sz w:val="18"/>
          <w:szCs w:val="18"/>
        </w:rPr>
        <w:t xml:space="preserve"> (Certificado de Responsable): destinado a quienes tienen responsabilidad en el diseño de procesos de administración de departamentos de tecnologías de la información y en la planificación de las actividades asociadas a los procesos.</w:t>
      </w:r>
    </w:p>
    <w:p w:rsidR="00B32BC4" w:rsidRPr="00ED2767" w:rsidRDefault="00B32BC4" w:rsidP="006B081A">
      <w:pPr>
        <w:pStyle w:val="Prrafodelista"/>
        <w:numPr>
          <w:ilvl w:val="0"/>
          <w:numId w:val="3"/>
        </w:numPr>
        <w:tabs>
          <w:tab w:val="left" w:pos="2036"/>
        </w:tabs>
        <w:jc w:val="both"/>
        <w:rPr>
          <w:rFonts w:ascii="Verdana" w:hAnsi="Verdana"/>
          <w:sz w:val="18"/>
          <w:szCs w:val="18"/>
        </w:rPr>
      </w:pPr>
      <w:proofErr w:type="spellStart"/>
      <w:r w:rsidRPr="00ED2767">
        <w:rPr>
          <w:rFonts w:ascii="Verdana" w:hAnsi="Verdana"/>
          <w:sz w:val="18"/>
          <w:szCs w:val="18"/>
        </w:rPr>
        <w:t>Manager's</w:t>
      </w:r>
      <w:proofErr w:type="spellEnd"/>
      <w:r w:rsidRPr="00ED2767">
        <w:rPr>
          <w:rFonts w:ascii="Verdana" w:hAnsi="Verdana"/>
          <w:sz w:val="18"/>
          <w:szCs w:val="18"/>
        </w:rPr>
        <w:t xml:space="preserve"> </w:t>
      </w:r>
      <w:proofErr w:type="spellStart"/>
      <w:r w:rsidRPr="00ED2767">
        <w:rPr>
          <w:rFonts w:ascii="Verdana" w:hAnsi="Verdana"/>
          <w:sz w:val="18"/>
          <w:szCs w:val="18"/>
        </w:rPr>
        <w:t>Certificate</w:t>
      </w:r>
      <w:proofErr w:type="spellEnd"/>
      <w:r w:rsidRPr="00ED2767">
        <w:rPr>
          <w:rFonts w:ascii="Verdana" w:hAnsi="Verdana"/>
          <w:sz w:val="18"/>
          <w:szCs w:val="18"/>
        </w:rPr>
        <w:t xml:space="preserve"> (Certificado de Director): garantiza que quien lo posee dispone de profundos conocimientos en todas las materias relacionadas con la administración de departamentos de tecnologías de la información, y lo habilita para dirigir la implantación de soluciones basadas en ITIL.</w:t>
      </w:r>
    </w:p>
    <w:p w:rsidR="00B32BC4" w:rsidRPr="00ED2767" w:rsidRDefault="00B32BC4" w:rsidP="006B081A">
      <w:pPr>
        <w:tabs>
          <w:tab w:val="left" w:pos="2036"/>
        </w:tabs>
        <w:jc w:val="both"/>
        <w:rPr>
          <w:rFonts w:ascii="Verdana" w:hAnsi="Verdana"/>
          <w:sz w:val="18"/>
          <w:szCs w:val="18"/>
        </w:rPr>
      </w:pPr>
    </w:p>
    <w:p w:rsidR="00B32BC4" w:rsidRPr="00ED2767" w:rsidRDefault="00B32BC4" w:rsidP="006B081A">
      <w:pPr>
        <w:tabs>
          <w:tab w:val="left" w:pos="2036"/>
        </w:tabs>
        <w:jc w:val="both"/>
        <w:rPr>
          <w:rFonts w:ascii="Verdana" w:hAnsi="Verdana"/>
          <w:sz w:val="18"/>
          <w:szCs w:val="18"/>
        </w:rPr>
      </w:pPr>
      <w:r w:rsidRPr="00ED2767">
        <w:rPr>
          <w:rFonts w:ascii="Verdana" w:hAnsi="Verdana"/>
          <w:sz w:val="18"/>
          <w:szCs w:val="18"/>
        </w:rPr>
        <w:t>No es posible certificar una organización o sistema de gestión como «conforme a ITIL», pero una organización que haya implementado las guías de ITIL sobre Gestión de los Servicios de TI puede lograr certificarse bajo la ISO/IEC 20000.</w:t>
      </w:r>
    </w:p>
    <w:p w:rsidR="00B32BC4" w:rsidRPr="00ED2767" w:rsidRDefault="00B32BC4" w:rsidP="006B081A">
      <w:pPr>
        <w:tabs>
          <w:tab w:val="left" w:pos="2036"/>
        </w:tabs>
        <w:jc w:val="both"/>
        <w:rPr>
          <w:rFonts w:ascii="Verdana" w:hAnsi="Verdana"/>
          <w:sz w:val="18"/>
          <w:szCs w:val="18"/>
        </w:rPr>
      </w:pPr>
      <w:r w:rsidRPr="00ED2767">
        <w:rPr>
          <w:rFonts w:ascii="Verdana" w:hAnsi="Verdana"/>
          <w:sz w:val="18"/>
          <w:szCs w:val="18"/>
        </w:rPr>
        <w:t>La versión 3 de ITIL, que apareció en junio de 2007, cambió ligeramente el esquema de Certificaciones, existiendo certificaciones puentes, se definen 3 niveles:</w:t>
      </w:r>
    </w:p>
    <w:p w:rsidR="00B32BC4" w:rsidRPr="00ED2767" w:rsidRDefault="00B32BC4"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 xml:space="preserve">Basic </w:t>
      </w:r>
      <w:proofErr w:type="spellStart"/>
      <w:r w:rsidRPr="00ED2767">
        <w:rPr>
          <w:rFonts w:ascii="Verdana" w:hAnsi="Verdana"/>
          <w:sz w:val="18"/>
          <w:szCs w:val="18"/>
        </w:rPr>
        <w:t>Level</w:t>
      </w:r>
      <w:proofErr w:type="spellEnd"/>
      <w:r w:rsidRPr="00ED2767">
        <w:rPr>
          <w:rFonts w:ascii="Verdana" w:hAnsi="Verdana"/>
          <w:sz w:val="18"/>
          <w:szCs w:val="18"/>
        </w:rPr>
        <w:t xml:space="preserve"> (Equivalente a ITIL </w:t>
      </w:r>
      <w:proofErr w:type="spellStart"/>
      <w:r w:rsidRPr="00ED2767">
        <w:rPr>
          <w:rFonts w:ascii="Verdana" w:hAnsi="Verdana"/>
          <w:sz w:val="18"/>
          <w:szCs w:val="18"/>
        </w:rPr>
        <w:t>Foundation</w:t>
      </w:r>
      <w:proofErr w:type="spellEnd"/>
      <w:r w:rsidRPr="00ED2767">
        <w:rPr>
          <w:rFonts w:ascii="Verdana" w:hAnsi="Verdana"/>
          <w:sz w:val="18"/>
          <w:szCs w:val="18"/>
        </w:rPr>
        <w:t xml:space="preserve"> en v3)</w:t>
      </w:r>
    </w:p>
    <w:p w:rsidR="00B32BC4" w:rsidRPr="00ED2767" w:rsidRDefault="00B32BC4" w:rsidP="006B081A">
      <w:pPr>
        <w:pStyle w:val="Prrafodelista"/>
        <w:numPr>
          <w:ilvl w:val="0"/>
          <w:numId w:val="3"/>
        </w:numPr>
        <w:tabs>
          <w:tab w:val="left" w:pos="2036"/>
        </w:tabs>
        <w:jc w:val="both"/>
        <w:rPr>
          <w:rFonts w:ascii="Verdana" w:hAnsi="Verdana"/>
          <w:sz w:val="18"/>
          <w:szCs w:val="18"/>
        </w:rPr>
      </w:pPr>
      <w:r w:rsidRPr="00ED2767">
        <w:rPr>
          <w:rFonts w:ascii="Verdana" w:hAnsi="Verdana"/>
          <w:sz w:val="18"/>
          <w:szCs w:val="18"/>
        </w:rPr>
        <w:t xml:space="preserve">Management and </w:t>
      </w:r>
      <w:proofErr w:type="spellStart"/>
      <w:r w:rsidRPr="00ED2767">
        <w:rPr>
          <w:rFonts w:ascii="Verdana" w:hAnsi="Verdana"/>
          <w:sz w:val="18"/>
          <w:szCs w:val="18"/>
        </w:rPr>
        <w:t>Capability</w:t>
      </w:r>
      <w:proofErr w:type="spellEnd"/>
      <w:r w:rsidRPr="00ED2767">
        <w:rPr>
          <w:rFonts w:ascii="Verdana" w:hAnsi="Verdana"/>
          <w:sz w:val="18"/>
          <w:szCs w:val="18"/>
        </w:rPr>
        <w:t xml:space="preserve"> </w:t>
      </w:r>
      <w:proofErr w:type="spellStart"/>
      <w:r w:rsidRPr="00ED2767">
        <w:rPr>
          <w:rFonts w:ascii="Verdana" w:hAnsi="Verdana"/>
          <w:sz w:val="18"/>
          <w:szCs w:val="18"/>
        </w:rPr>
        <w:t>Level</w:t>
      </w:r>
      <w:proofErr w:type="spellEnd"/>
      <w:r w:rsidRPr="00ED2767">
        <w:rPr>
          <w:rFonts w:ascii="Verdana" w:hAnsi="Verdana"/>
          <w:sz w:val="18"/>
          <w:szCs w:val="18"/>
        </w:rPr>
        <w:t xml:space="preserve"> (Equivalente a los niveles </w:t>
      </w:r>
      <w:proofErr w:type="spellStart"/>
      <w:r w:rsidRPr="00ED2767">
        <w:rPr>
          <w:rFonts w:ascii="Verdana" w:hAnsi="Verdana"/>
          <w:sz w:val="18"/>
          <w:szCs w:val="18"/>
        </w:rPr>
        <w:t>Practitioner</w:t>
      </w:r>
      <w:proofErr w:type="spellEnd"/>
      <w:r w:rsidRPr="00ED2767">
        <w:rPr>
          <w:rFonts w:ascii="Verdana" w:hAnsi="Verdana"/>
          <w:sz w:val="18"/>
          <w:szCs w:val="18"/>
        </w:rPr>
        <w:t xml:space="preserve"> y Manager en ITIL v2)</w:t>
      </w:r>
    </w:p>
    <w:p w:rsidR="00B32BC4" w:rsidRPr="00ED2767" w:rsidRDefault="00B32BC4" w:rsidP="006B081A">
      <w:pPr>
        <w:pStyle w:val="Prrafodelista"/>
        <w:numPr>
          <w:ilvl w:val="0"/>
          <w:numId w:val="3"/>
        </w:numPr>
        <w:tabs>
          <w:tab w:val="left" w:pos="2036"/>
        </w:tabs>
        <w:jc w:val="both"/>
        <w:rPr>
          <w:rFonts w:ascii="Verdana" w:hAnsi="Verdana"/>
          <w:sz w:val="18"/>
          <w:szCs w:val="18"/>
        </w:rPr>
      </w:pPr>
      <w:proofErr w:type="spellStart"/>
      <w:r w:rsidRPr="00ED2767">
        <w:rPr>
          <w:rFonts w:ascii="Verdana" w:hAnsi="Verdana"/>
          <w:sz w:val="18"/>
          <w:szCs w:val="18"/>
        </w:rPr>
        <w:t>Advanced</w:t>
      </w:r>
      <w:proofErr w:type="spellEnd"/>
      <w:r w:rsidRPr="00ED2767">
        <w:rPr>
          <w:rFonts w:ascii="Verdana" w:hAnsi="Verdana"/>
          <w:sz w:val="18"/>
          <w:szCs w:val="18"/>
        </w:rPr>
        <w:t xml:space="preserve"> </w:t>
      </w:r>
      <w:proofErr w:type="spellStart"/>
      <w:r w:rsidRPr="00ED2767">
        <w:rPr>
          <w:rFonts w:ascii="Verdana" w:hAnsi="Verdana"/>
          <w:sz w:val="18"/>
          <w:szCs w:val="18"/>
        </w:rPr>
        <w:t>Level</w:t>
      </w:r>
      <w:proofErr w:type="spellEnd"/>
      <w:r w:rsidRPr="00ED2767">
        <w:rPr>
          <w:rFonts w:ascii="Verdana" w:hAnsi="Verdana"/>
          <w:sz w:val="18"/>
          <w:szCs w:val="18"/>
        </w:rPr>
        <w:t xml:space="preserve"> (nuevo en v3)</w:t>
      </w:r>
    </w:p>
    <w:p w:rsidR="00E52453" w:rsidRPr="00ED2767" w:rsidRDefault="00E52453" w:rsidP="006B081A">
      <w:pPr>
        <w:tabs>
          <w:tab w:val="left" w:pos="2036"/>
        </w:tabs>
        <w:jc w:val="both"/>
        <w:rPr>
          <w:rFonts w:ascii="Verdana" w:hAnsi="Verdana"/>
          <w:b/>
        </w:rPr>
      </w:pPr>
    </w:p>
    <w:p w:rsidR="00E52453" w:rsidRPr="00ED2767" w:rsidRDefault="006C1EF2" w:rsidP="006B081A">
      <w:pPr>
        <w:pStyle w:val="Ttulo1"/>
        <w:jc w:val="both"/>
        <w:rPr>
          <w:rFonts w:ascii="Verdana" w:hAnsi="Verdana"/>
          <w:b/>
          <w:sz w:val="20"/>
          <w:szCs w:val="20"/>
        </w:rPr>
      </w:pPr>
      <w:r w:rsidRPr="00ED2767">
        <w:rPr>
          <w:rFonts w:ascii="Verdana" w:hAnsi="Verdana"/>
          <w:b/>
          <w:sz w:val="20"/>
          <w:szCs w:val="20"/>
        </w:rPr>
        <w:t>CICLO DE VIDA DEL SERVICIO</w:t>
      </w:r>
    </w:p>
    <w:p w:rsidR="002034A4" w:rsidRPr="00ED2767" w:rsidRDefault="002034A4" w:rsidP="006B081A">
      <w:pPr>
        <w:tabs>
          <w:tab w:val="left" w:pos="2036"/>
        </w:tabs>
        <w:jc w:val="both"/>
        <w:rPr>
          <w:rFonts w:ascii="Verdana" w:hAnsi="Verdana"/>
          <w:sz w:val="18"/>
          <w:szCs w:val="18"/>
        </w:rPr>
      </w:pPr>
      <w:r w:rsidRPr="00ED2767">
        <w:rPr>
          <w:rFonts w:ascii="Verdana" w:hAnsi="Verdana"/>
          <w:sz w:val="18"/>
          <w:szCs w:val="18"/>
        </w:rPr>
        <w:t xml:space="preserve">ITIL® </w:t>
      </w:r>
      <w:proofErr w:type="spellStart"/>
      <w:r w:rsidRPr="00ED2767">
        <w:rPr>
          <w:rFonts w:ascii="Verdana" w:hAnsi="Verdana"/>
          <w:sz w:val="18"/>
          <w:szCs w:val="18"/>
        </w:rPr>
        <w:t>Foundation</w:t>
      </w:r>
      <w:proofErr w:type="spellEnd"/>
      <w:r w:rsidRPr="00ED2767">
        <w:rPr>
          <w:rFonts w:ascii="Verdana" w:hAnsi="Verdana"/>
          <w:sz w:val="18"/>
          <w:szCs w:val="18"/>
        </w:rPr>
        <w:t xml:space="preserve"> estructura la gestión de los servicios TI sobre el concepto de Ciclo de Vida de los Servicios. Este enfoque tiene como objetivo ofrecer una visión global de la vida de un servicio desde su diseño hasta su eventual abandono sin por ello ignorar los detalles de todos los procesos y funciones involucrados en la eficiente prestación del mismo.</w:t>
      </w:r>
    </w:p>
    <w:p w:rsidR="002034A4" w:rsidRPr="00ED2767" w:rsidRDefault="002034A4" w:rsidP="006B081A">
      <w:pPr>
        <w:tabs>
          <w:tab w:val="left" w:pos="2036"/>
        </w:tabs>
        <w:jc w:val="both"/>
        <w:rPr>
          <w:rFonts w:ascii="Verdana" w:hAnsi="Verdana"/>
          <w:sz w:val="18"/>
          <w:szCs w:val="18"/>
        </w:rPr>
      </w:pPr>
      <w:r w:rsidRPr="00ED2767">
        <w:rPr>
          <w:rFonts w:ascii="Verdana" w:hAnsi="Verdana"/>
          <w:sz w:val="18"/>
          <w:szCs w:val="18"/>
        </w:rPr>
        <w:t>En ITIL v3 reestructura el manejo de los temas para consolidar el modelo de "ciclo de vida del servicio" separando y ampliando algunos subprocesos hasta convertirlos en procesos especializados. Esta modificación responde a un enfoque empresarial para grandes corporaciones que utilizan ampliamente ITIL en sus operaciones y aspira a consolidar el modelo para conseguir aún mejores resultados. Es por ello que los especialistas recomiendan que empresas emergentes o medianas no utilicen ITIL v3 si no cuentan con un modelo ITIL consolidado y aspiran a una expansión a muy largo plazo. El Ciclo de Vida del Servicio consta de cinco fases también llamadas disciplinas, correspondientes a los nuevos libros de ITIL:</w:t>
      </w:r>
    </w:p>
    <w:p w:rsidR="002034A4" w:rsidRPr="00ED2767" w:rsidRDefault="002034A4" w:rsidP="006B081A">
      <w:pPr>
        <w:tabs>
          <w:tab w:val="left" w:pos="2036"/>
        </w:tabs>
        <w:jc w:val="both"/>
        <w:rPr>
          <w:rFonts w:ascii="Verdana" w:hAnsi="Verdana"/>
          <w:sz w:val="18"/>
          <w:szCs w:val="18"/>
        </w:rPr>
      </w:pPr>
      <w:r w:rsidRPr="00ED2767">
        <w:rPr>
          <w:rFonts w:ascii="Verdana" w:hAnsi="Verdana"/>
          <w:noProof/>
          <w:lang w:eastAsia="es-GT"/>
        </w:rPr>
        <w:drawing>
          <wp:anchor distT="0" distB="0" distL="114300" distR="114300" simplePos="0" relativeHeight="251660288" behindDoc="0" locked="0" layoutInCell="1" allowOverlap="1" wp14:anchorId="5506A6A7" wp14:editId="7B344236">
            <wp:simplePos x="0" y="0"/>
            <wp:positionH relativeFrom="column">
              <wp:posOffset>3006090</wp:posOffset>
            </wp:positionH>
            <wp:positionV relativeFrom="paragraph">
              <wp:posOffset>7620</wp:posOffset>
            </wp:positionV>
            <wp:extent cx="2250830" cy="1626235"/>
            <wp:effectExtent l="0" t="0" r="0" b="0"/>
            <wp:wrapSquare wrapText="bothSides"/>
            <wp:docPr id="2" name="Imagen 2" descr="figura-3-procesos-y-funciones-considerados-en-itil-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a-3-procesos-y-funciones-considerados-en-itil-v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3486" b="5400"/>
                    <a:stretch/>
                  </pic:blipFill>
                  <pic:spPr bwMode="auto">
                    <a:xfrm>
                      <a:off x="0" y="0"/>
                      <a:ext cx="2250830" cy="16262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34A4" w:rsidRPr="00ED2767" w:rsidRDefault="002034A4" w:rsidP="006B081A">
      <w:pPr>
        <w:pStyle w:val="Prrafodelista"/>
        <w:numPr>
          <w:ilvl w:val="0"/>
          <w:numId w:val="5"/>
        </w:numPr>
        <w:tabs>
          <w:tab w:val="left" w:pos="2036"/>
        </w:tabs>
        <w:ind w:left="567" w:firstLine="0"/>
        <w:jc w:val="both"/>
        <w:rPr>
          <w:rFonts w:ascii="Verdana" w:hAnsi="Verdana"/>
          <w:sz w:val="18"/>
          <w:szCs w:val="18"/>
        </w:rPr>
      </w:pPr>
      <w:r w:rsidRPr="00ED2767">
        <w:rPr>
          <w:rFonts w:ascii="Verdana" w:hAnsi="Verdana"/>
          <w:sz w:val="18"/>
          <w:szCs w:val="18"/>
        </w:rPr>
        <w:t xml:space="preserve">   Estrategia del Servicio</w:t>
      </w:r>
    </w:p>
    <w:p w:rsidR="002034A4" w:rsidRPr="00ED2767" w:rsidRDefault="002034A4" w:rsidP="006B081A">
      <w:pPr>
        <w:pStyle w:val="Prrafodelista"/>
        <w:numPr>
          <w:ilvl w:val="0"/>
          <w:numId w:val="5"/>
        </w:numPr>
        <w:tabs>
          <w:tab w:val="left" w:pos="2036"/>
        </w:tabs>
        <w:ind w:left="567" w:firstLine="0"/>
        <w:jc w:val="both"/>
        <w:rPr>
          <w:rFonts w:ascii="Verdana" w:hAnsi="Verdana"/>
          <w:sz w:val="18"/>
          <w:szCs w:val="18"/>
        </w:rPr>
      </w:pPr>
      <w:r w:rsidRPr="00ED2767">
        <w:rPr>
          <w:rFonts w:ascii="Verdana" w:hAnsi="Verdana"/>
          <w:sz w:val="18"/>
          <w:szCs w:val="18"/>
        </w:rPr>
        <w:t xml:space="preserve">   Diseño del Servicio</w:t>
      </w:r>
    </w:p>
    <w:p w:rsidR="002034A4" w:rsidRPr="00ED2767" w:rsidRDefault="002034A4" w:rsidP="006B081A">
      <w:pPr>
        <w:pStyle w:val="Prrafodelista"/>
        <w:numPr>
          <w:ilvl w:val="0"/>
          <w:numId w:val="5"/>
        </w:numPr>
        <w:tabs>
          <w:tab w:val="left" w:pos="2036"/>
        </w:tabs>
        <w:ind w:left="567" w:firstLine="0"/>
        <w:jc w:val="both"/>
        <w:rPr>
          <w:rFonts w:ascii="Verdana" w:hAnsi="Verdana"/>
          <w:sz w:val="18"/>
          <w:szCs w:val="18"/>
        </w:rPr>
      </w:pPr>
      <w:r w:rsidRPr="00ED2767">
        <w:rPr>
          <w:rFonts w:ascii="Verdana" w:hAnsi="Verdana"/>
          <w:sz w:val="18"/>
          <w:szCs w:val="18"/>
        </w:rPr>
        <w:t xml:space="preserve">   Transición del Servicio</w:t>
      </w:r>
    </w:p>
    <w:p w:rsidR="002034A4" w:rsidRPr="00ED2767" w:rsidRDefault="002034A4" w:rsidP="006B081A">
      <w:pPr>
        <w:pStyle w:val="Prrafodelista"/>
        <w:numPr>
          <w:ilvl w:val="0"/>
          <w:numId w:val="5"/>
        </w:numPr>
        <w:tabs>
          <w:tab w:val="left" w:pos="2036"/>
        </w:tabs>
        <w:ind w:left="567" w:firstLine="0"/>
        <w:jc w:val="both"/>
        <w:rPr>
          <w:rFonts w:ascii="Verdana" w:hAnsi="Verdana"/>
          <w:sz w:val="18"/>
          <w:szCs w:val="18"/>
        </w:rPr>
      </w:pPr>
      <w:r w:rsidRPr="00ED2767">
        <w:rPr>
          <w:rFonts w:ascii="Verdana" w:hAnsi="Verdana"/>
          <w:sz w:val="18"/>
          <w:szCs w:val="18"/>
        </w:rPr>
        <w:t xml:space="preserve">   Operación del Servicio</w:t>
      </w:r>
    </w:p>
    <w:p w:rsidR="002034A4" w:rsidRPr="00ED2767" w:rsidRDefault="002034A4" w:rsidP="006B081A">
      <w:pPr>
        <w:pStyle w:val="Prrafodelista"/>
        <w:numPr>
          <w:ilvl w:val="0"/>
          <w:numId w:val="5"/>
        </w:numPr>
        <w:tabs>
          <w:tab w:val="left" w:pos="2036"/>
        </w:tabs>
        <w:ind w:left="567" w:firstLine="0"/>
        <w:jc w:val="both"/>
        <w:rPr>
          <w:rFonts w:ascii="Verdana" w:hAnsi="Verdana"/>
          <w:sz w:val="18"/>
          <w:szCs w:val="18"/>
        </w:rPr>
      </w:pPr>
      <w:r w:rsidRPr="00ED2767">
        <w:rPr>
          <w:rFonts w:ascii="Verdana" w:hAnsi="Verdana"/>
          <w:sz w:val="18"/>
          <w:szCs w:val="18"/>
        </w:rPr>
        <w:t xml:space="preserve">   Mejora Continua del Servicio</w:t>
      </w:r>
    </w:p>
    <w:p w:rsidR="002034A4" w:rsidRPr="00ED2767" w:rsidRDefault="002034A4" w:rsidP="006B081A">
      <w:pPr>
        <w:tabs>
          <w:tab w:val="left" w:pos="2036"/>
        </w:tabs>
        <w:ind w:left="567"/>
        <w:jc w:val="both"/>
        <w:rPr>
          <w:rFonts w:ascii="Verdana" w:hAnsi="Verdana"/>
          <w:noProof/>
          <w:lang w:eastAsia="es-GT"/>
        </w:rPr>
      </w:pPr>
    </w:p>
    <w:p w:rsidR="002034A4" w:rsidRPr="00ED2767" w:rsidRDefault="002034A4" w:rsidP="006B081A">
      <w:pPr>
        <w:tabs>
          <w:tab w:val="left" w:pos="2036"/>
        </w:tabs>
        <w:ind w:left="567"/>
        <w:jc w:val="both"/>
        <w:rPr>
          <w:rFonts w:ascii="Verdana" w:hAnsi="Verdana"/>
          <w:sz w:val="18"/>
          <w:szCs w:val="18"/>
        </w:rPr>
      </w:pPr>
    </w:p>
    <w:p w:rsidR="00B32BC4" w:rsidRPr="00ED2767" w:rsidRDefault="00B32BC4" w:rsidP="006B081A">
      <w:pPr>
        <w:tabs>
          <w:tab w:val="left" w:pos="2036"/>
        </w:tabs>
        <w:jc w:val="both"/>
        <w:rPr>
          <w:rFonts w:ascii="Verdana" w:hAnsi="Verdana"/>
        </w:rPr>
      </w:pPr>
    </w:p>
    <w:p w:rsidR="00B32BC4" w:rsidRPr="00ED2767" w:rsidRDefault="00B32BC4" w:rsidP="006B081A">
      <w:pPr>
        <w:spacing w:after="160" w:line="259" w:lineRule="auto"/>
        <w:jc w:val="both"/>
        <w:rPr>
          <w:rFonts w:ascii="Verdana" w:hAnsi="Verdana"/>
          <w:b/>
        </w:rPr>
      </w:pPr>
      <w:r w:rsidRPr="00ED2767">
        <w:rPr>
          <w:rFonts w:ascii="Verdana" w:hAnsi="Verdana"/>
          <w:b/>
        </w:rPr>
        <w:br w:type="page"/>
      </w:r>
    </w:p>
    <w:p w:rsidR="002034A4" w:rsidRPr="00ED2767" w:rsidRDefault="002034A4" w:rsidP="006B081A">
      <w:pPr>
        <w:spacing w:after="160" w:line="259" w:lineRule="auto"/>
        <w:jc w:val="both"/>
        <w:rPr>
          <w:rFonts w:ascii="Verdana" w:hAnsi="Verdana"/>
          <w:b/>
          <w:sz w:val="18"/>
          <w:szCs w:val="18"/>
        </w:rPr>
      </w:pPr>
      <w:r w:rsidRPr="00ED2767">
        <w:rPr>
          <w:rFonts w:ascii="Verdana" w:hAnsi="Verdana"/>
          <w:b/>
          <w:sz w:val="18"/>
          <w:szCs w:val="18"/>
        </w:rPr>
        <w:t>Estrategia del Servicio</w:t>
      </w:r>
    </w:p>
    <w:p w:rsidR="002034A4" w:rsidRPr="00ED2767" w:rsidRDefault="002034A4" w:rsidP="006B081A">
      <w:pPr>
        <w:spacing w:after="160" w:line="259" w:lineRule="auto"/>
        <w:jc w:val="both"/>
        <w:rPr>
          <w:rFonts w:ascii="Verdana" w:hAnsi="Verdana"/>
          <w:sz w:val="18"/>
          <w:szCs w:val="18"/>
        </w:rPr>
      </w:pPr>
      <w:r w:rsidRPr="00ED2767">
        <w:rPr>
          <w:rFonts w:ascii="Verdana" w:hAnsi="Verdana"/>
          <w:sz w:val="18"/>
          <w:szCs w:val="18"/>
        </w:rPr>
        <w:t>Se enfoca en el estudio de mercado y posibilidades mediante la búsqueda de servicios innovadores que satisfagan al cliente tomando en cuenta la real factibilidad de su puesta en marcha. Así mismo se analizan posibles mejoras para servicios ya existentes. Se verifican los contratos con base en las nuevas ofertas de proveedores antiguos y posibles nuevos proveedores, lo que incluye la renovación o revocación de los contratos vigentes.</w:t>
      </w:r>
    </w:p>
    <w:p w:rsidR="002034A4" w:rsidRPr="00ED2767" w:rsidRDefault="002034A4" w:rsidP="006B081A">
      <w:pPr>
        <w:spacing w:after="160" w:line="259" w:lineRule="auto"/>
        <w:jc w:val="both"/>
        <w:rPr>
          <w:rFonts w:ascii="Verdana" w:hAnsi="Verdana"/>
          <w:b/>
          <w:sz w:val="18"/>
          <w:szCs w:val="18"/>
        </w:rPr>
      </w:pPr>
      <w:r w:rsidRPr="00ED2767">
        <w:rPr>
          <w:rFonts w:ascii="Verdana" w:hAnsi="Verdana"/>
          <w:b/>
          <w:sz w:val="18"/>
          <w:szCs w:val="18"/>
        </w:rPr>
        <w:t>Procesos</w:t>
      </w:r>
    </w:p>
    <w:p w:rsidR="002034A4" w:rsidRPr="00ED2767" w:rsidRDefault="002034A4" w:rsidP="006B081A">
      <w:pPr>
        <w:pStyle w:val="Prrafodelista"/>
        <w:numPr>
          <w:ilvl w:val="0"/>
          <w:numId w:val="3"/>
        </w:numPr>
        <w:spacing w:after="160" w:line="259" w:lineRule="auto"/>
        <w:jc w:val="both"/>
        <w:rPr>
          <w:rFonts w:ascii="Verdana" w:hAnsi="Verdana"/>
          <w:b/>
          <w:sz w:val="18"/>
          <w:szCs w:val="18"/>
        </w:rPr>
      </w:pPr>
      <w:r w:rsidRPr="00ED2767">
        <w:rPr>
          <w:rFonts w:ascii="Verdana" w:hAnsi="Verdana"/>
          <w:sz w:val="18"/>
          <w:szCs w:val="18"/>
        </w:rPr>
        <w:t>Gestión Financiero</w:t>
      </w:r>
    </w:p>
    <w:p w:rsidR="002034A4" w:rsidRPr="00ED2767" w:rsidRDefault="002034A4" w:rsidP="006B081A">
      <w:pPr>
        <w:pStyle w:val="Prrafodelista"/>
        <w:numPr>
          <w:ilvl w:val="0"/>
          <w:numId w:val="3"/>
        </w:numPr>
        <w:spacing w:after="160" w:line="259" w:lineRule="auto"/>
        <w:jc w:val="both"/>
        <w:rPr>
          <w:rFonts w:ascii="Verdana" w:hAnsi="Verdana"/>
          <w:b/>
          <w:sz w:val="18"/>
          <w:szCs w:val="18"/>
        </w:rPr>
      </w:pPr>
      <w:r w:rsidRPr="00ED2767">
        <w:rPr>
          <w:rFonts w:ascii="Verdana" w:hAnsi="Verdana"/>
          <w:sz w:val="18"/>
          <w:szCs w:val="18"/>
        </w:rPr>
        <w:t>Gestión del Portafolio</w:t>
      </w:r>
    </w:p>
    <w:p w:rsidR="002034A4" w:rsidRPr="00ED2767" w:rsidRDefault="002034A4" w:rsidP="006B081A">
      <w:pPr>
        <w:pStyle w:val="Prrafodelista"/>
        <w:numPr>
          <w:ilvl w:val="0"/>
          <w:numId w:val="3"/>
        </w:numPr>
        <w:spacing w:after="160" w:line="259" w:lineRule="auto"/>
        <w:jc w:val="both"/>
        <w:rPr>
          <w:rFonts w:ascii="Verdana" w:hAnsi="Verdana"/>
          <w:b/>
          <w:sz w:val="18"/>
          <w:szCs w:val="18"/>
        </w:rPr>
      </w:pPr>
      <w:r w:rsidRPr="00ED2767">
        <w:rPr>
          <w:rFonts w:ascii="Verdana" w:hAnsi="Verdana"/>
          <w:sz w:val="18"/>
          <w:szCs w:val="18"/>
        </w:rPr>
        <w:t>Gestión de la Demanda</w:t>
      </w:r>
    </w:p>
    <w:p w:rsidR="002034A4" w:rsidRPr="00ED2767" w:rsidRDefault="002034A4" w:rsidP="006B081A">
      <w:pPr>
        <w:pStyle w:val="Ttulo3"/>
        <w:jc w:val="both"/>
        <w:rPr>
          <w:rStyle w:val="mw-headline"/>
          <w:rFonts w:ascii="Verdana" w:hAnsi="Verdana"/>
          <w:b/>
          <w:color w:val="auto"/>
          <w:sz w:val="18"/>
          <w:szCs w:val="18"/>
        </w:rPr>
      </w:pPr>
      <w:r w:rsidRPr="00ED2767">
        <w:rPr>
          <w:rStyle w:val="mw-headline"/>
          <w:rFonts w:ascii="Verdana" w:hAnsi="Verdana"/>
          <w:b/>
          <w:color w:val="auto"/>
          <w:sz w:val="18"/>
          <w:szCs w:val="18"/>
        </w:rPr>
        <w:t>Diseño del Servicio</w:t>
      </w:r>
    </w:p>
    <w:p w:rsidR="002034A4" w:rsidRPr="00ED2767" w:rsidRDefault="002034A4" w:rsidP="006B081A">
      <w:pPr>
        <w:pStyle w:val="Ttulo3"/>
        <w:jc w:val="both"/>
        <w:rPr>
          <w:rFonts w:ascii="Verdana" w:hAnsi="Verdana"/>
          <w:b/>
          <w:color w:val="auto"/>
          <w:sz w:val="18"/>
          <w:szCs w:val="18"/>
          <w:lang w:eastAsia="es-GT"/>
        </w:rPr>
      </w:pPr>
      <w:r w:rsidRPr="00ED2767">
        <w:rPr>
          <w:rFonts w:ascii="Verdana" w:hAnsi="Verdana"/>
          <w:color w:val="auto"/>
          <w:sz w:val="18"/>
          <w:szCs w:val="18"/>
        </w:rPr>
        <w:t xml:space="preserve">Una vez identificado un posible servicio el siguiente paso consiste en analizar su viabilidad. Para ello se toman factores tales como infraestructura disponible, capacitación del personal y se planifican aspectos como seguridad y prevención ante desastres. Para la puesta en marcha se toman en consideración la reasignación de cargos (contratación, despidos, ascensos, jubilaciones, </w:t>
      </w:r>
      <w:proofErr w:type="spellStart"/>
      <w:r w:rsidRPr="00ED2767">
        <w:rPr>
          <w:rFonts w:ascii="Verdana" w:hAnsi="Verdana"/>
          <w:color w:val="auto"/>
          <w:sz w:val="18"/>
          <w:szCs w:val="18"/>
        </w:rPr>
        <w:t>etc</w:t>
      </w:r>
      <w:proofErr w:type="spellEnd"/>
      <w:r w:rsidRPr="00ED2767">
        <w:rPr>
          <w:rFonts w:ascii="Verdana" w:hAnsi="Verdana"/>
          <w:color w:val="auto"/>
          <w:sz w:val="18"/>
          <w:szCs w:val="18"/>
        </w:rPr>
        <w:t>), la infraestructura y software a implementar.</w:t>
      </w:r>
    </w:p>
    <w:p w:rsidR="002034A4" w:rsidRPr="00ED2767" w:rsidRDefault="002034A4" w:rsidP="006B081A">
      <w:pPr>
        <w:pStyle w:val="Ttulo4"/>
        <w:jc w:val="both"/>
        <w:rPr>
          <w:rFonts w:ascii="Verdana" w:hAnsi="Verdana"/>
          <w:b/>
          <w:sz w:val="18"/>
          <w:szCs w:val="18"/>
        </w:rPr>
      </w:pPr>
      <w:r w:rsidRPr="00ED2767">
        <w:rPr>
          <w:rStyle w:val="mw-headline"/>
          <w:rFonts w:ascii="Verdana" w:hAnsi="Verdana"/>
          <w:b/>
          <w:sz w:val="18"/>
          <w:szCs w:val="18"/>
        </w:rPr>
        <w:t>Procesos</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del Catálogo de Servicios</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Niveles de Servicios</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la Disponibilidad</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la Capacidad</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la Continuidad de los Servicios de TI</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Proveedores</w:t>
      </w:r>
    </w:p>
    <w:p w:rsidR="001772E2"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la Seguridad de Información</w:t>
      </w:r>
    </w:p>
    <w:p w:rsidR="002034A4" w:rsidRPr="00ED2767" w:rsidRDefault="002034A4"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Coordinación del Diseño (nuevo en la versión 2011)</w:t>
      </w:r>
    </w:p>
    <w:p w:rsidR="001772E2" w:rsidRPr="00ED2767" w:rsidRDefault="001772E2" w:rsidP="006B081A">
      <w:pPr>
        <w:spacing w:before="100" w:beforeAutospacing="1" w:after="100" w:afterAutospacing="1" w:line="240" w:lineRule="auto"/>
        <w:jc w:val="both"/>
        <w:rPr>
          <w:rFonts w:ascii="Verdana" w:hAnsi="Verdana"/>
          <w:b/>
          <w:sz w:val="18"/>
          <w:szCs w:val="18"/>
        </w:rPr>
      </w:pPr>
      <w:r w:rsidRPr="00ED2767">
        <w:rPr>
          <w:rFonts w:ascii="Verdana" w:hAnsi="Verdana"/>
          <w:b/>
          <w:sz w:val="18"/>
          <w:szCs w:val="18"/>
        </w:rPr>
        <w:t>Transición del Servicio</w:t>
      </w:r>
    </w:p>
    <w:p w:rsidR="001772E2" w:rsidRPr="00ED2767" w:rsidRDefault="001772E2" w:rsidP="006B081A">
      <w:pPr>
        <w:spacing w:before="100" w:beforeAutospacing="1" w:after="100" w:afterAutospacing="1" w:line="240" w:lineRule="auto"/>
        <w:jc w:val="both"/>
        <w:rPr>
          <w:rFonts w:ascii="Verdana" w:hAnsi="Verdana"/>
          <w:b/>
          <w:sz w:val="18"/>
          <w:szCs w:val="18"/>
        </w:rPr>
      </w:pPr>
      <w:r w:rsidRPr="00ED2767">
        <w:rPr>
          <w:rFonts w:ascii="Verdana" w:hAnsi="Verdana"/>
          <w:sz w:val="18"/>
          <w:szCs w:val="18"/>
        </w:rPr>
        <w:t xml:space="preserve">Antes de poner en marcha el servicio se deben realizar pruebas. Para ello se analiza la información disponible acerca del nivel real de capacitación de los usuarios, estado de la infraestructura, recursos IT disponibles, entre otros. Luego se prepara un escenario para realizar pruebas; se replican las bases de datos, se preparan planes de </w:t>
      </w:r>
      <w:proofErr w:type="spellStart"/>
      <w:r w:rsidRPr="00ED2767">
        <w:rPr>
          <w:rFonts w:ascii="Verdana" w:hAnsi="Verdana"/>
          <w:sz w:val="18"/>
          <w:szCs w:val="18"/>
        </w:rPr>
        <w:t>rollback</w:t>
      </w:r>
      <w:proofErr w:type="spellEnd"/>
      <w:r w:rsidRPr="00ED2767">
        <w:rPr>
          <w:rFonts w:ascii="Verdana" w:hAnsi="Verdana"/>
          <w:sz w:val="18"/>
          <w:szCs w:val="18"/>
        </w:rPr>
        <w:t xml:space="preserve"> (reversión) y se realizan las pruebas. Luego de ello se limpia el escenario hasta el punto de partida y se analizan los resultados, de los cuales dependerá la implementación del servicio. En la evaluación se comparan las expectativas con los resultados reales.</w:t>
      </w:r>
    </w:p>
    <w:p w:rsidR="001772E2" w:rsidRPr="00ED2767" w:rsidRDefault="001772E2" w:rsidP="006B081A">
      <w:pPr>
        <w:spacing w:before="100" w:beforeAutospacing="1" w:after="100" w:afterAutospacing="1" w:line="240" w:lineRule="auto"/>
        <w:jc w:val="both"/>
        <w:rPr>
          <w:rFonts w:ascii="Verdana" w:hAnsi="Verdana"/>
          <w:b/>
          <w:sz w:val="18"/>
          <w:szCs w:val="18"/>
        </w:rPr>
      </w:pPr>
      <w:r w:rsidRPr="00ED2767">
        <w:rPr>
          <w:rFonts w:ascii="Verdana" w:hAnsi="Verdana"/>
          <w:b/>
          <w:sz w:val="18"/>
          <w:szCs w:val="18"/>
        </w:rPr>
        <w:t>Procesos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la Configuración y Activos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del Cambio</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del Conocimiento</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Planificación y Apoyo a la Transición</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 xml:space="preserve">Gestión de </w:t>
      </w:r>
      <w:proofErr w:type="spellStart"/>
      <w:r w:rsidRPr="00ED2767">
        <w:rPr>
          <w:rFonts w:ascii="Verdana" w:hAnsi="Verdana"/>
          <w:sz w:val="18"/>
          <w:szCs w:val="18"/>
        </w:rPr>
        <w:t>Release</w:t>
      </w:r>
      <w:proofErr w:type="spellEnd"/>
      <w:r w:rsidRPr="00ED2767">
        <w:rPr>
          <w:rFonts w:ascii="Verdana" w:hAnsi="Verdana"/>
          <w:sz w:val="18"/>
          <w:szCs w:val="18"/>
        </w:rPr>
        <w:t xml:space="preserve"> y Despliegue</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Validación y Pruebas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Evaluación (Evaluación del cambio)</w:t>
      </w:r>
    </w:p>
    <w:p w:rsidR="001772E2" w:rsidRPr="00ED2767" w:rsidRDefault="001772E2" w:rsidP="006B081A">
      <w:pPr>
        <w:spacing w:before="100" w:beforeAutospacing="1" w:after="100" w:afterAutospacing="1" w:line="240" w:lineRule="auto"/>
        <w:jc w:val="both"/>
        <w:rPr>
          <w:rFonts w:ascii="Verdana" w:hAnsi="Verdana"/>
          <w:b/>
          <w:sz w:val="18"/>
          <w:szCs w:val="18"/>
        </w:rPr>
      </w:pPr>
      <w:r w:rsidRPr="00ED2767">
        <w:rPr>
          <w:rFonts w:ascii="Verdana" w:hAnsi="Verdana"/>
          <w:b/>
          <w:sz w:val="18"/>
          <w:szCs w:val="18"/>
        </w:rPr>
        <w:t>Operación del Servicio</w:t>
      </w:r>
    </w:p>
    <w:p w:rsidR="001772E2" w:rsidRPr="00ED2767" w:rsidRDefault="001772E2" w:rsidP="006B081A">
      <w:pPr>
        <w:spacing w:before="100" w:beforeAutospacing="1" w:after="100" w:afterAutospacing="1" w:line="240" w:lineRule="auto"/>
        <w:jc w:val="both"/>
        <w:rPr>
          <w:rFonts w:ascii="Verdana" w:hAnsi="Verdana"/>
          <w:sz w:val="18"/>
          <w:szCs w:val="18"/>
        </w:rPr>
      </w:pPr>
      <w:r w:rsidRPr="00ED2767">
        <w:rPr>
          <w:rFonts w:ascii="Verdana" w:hAnsi="Verdana"/>
          <w:sz w:val="18"/>
          <w:szCs w:val="18"/>
        </w:rPr>
        <w:t>En este punto se monitoriza activa y pasivamente el funcionamiento del servicio, se registran eventos, incidencias, problemas, peticiones y accesos al servicio. La percepción que el cliente y los usuarios tenga de los servicios adquiridos está condicionada por la última instancia fase en la cual se ven involucrados todas las partes de la organización. En todas las otras fases del ciclo de vida, como último objeto es medir y verificar que los servicios han aportado valor a la organización, con los niveles de ANS acordados. Es primordial la entrega a satisfacción del cliente del servicio con calidad de acuerdo a lo acordado.</w:t>
      </w:r>
    </w:p>
    <w:p w:rsidR="001772E2" w:rsidRPr="00ED2767" w:rsidRDefault="001772E2" w:rsidP="006B081A">
      <w:pPr>
        <w:spacing w:before="100" w:beforeAutospacing="1" w:after="100" w:afterAutospacing="1" w:line="240" w:lineRule="auto"/>
        <w:jc w:val="both"/>
        <w:rPr>
          <w:rFonts w:ascii="Verdana" w:hAnsi="Verdana"/>
          <w:b/>
          <w:sz w:val="18"/>
          <w:szCs w:val="18"/>
        </w:rPr>
      </w:pPr>
      <w:r w:rsidRPr="00ED2767">
        <w:rPr>
          <w:rFonts w:ascii="Verdana" w:hAnsi="Verdana"/>
          <w:b/>
          <w:sz w:val="18"/>
          <w:szCs w:val="18"/>
        </w:rPr>
        <w:t>Procesos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Incidentes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Problemas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Cumplimiento de Solicitudes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Eventos</w:t>
      </w:r>
    </w:p>
    <w:p w:rsidR="001772E2" w:rsidRPr="00ED2767" w:rsidRDefault="001772E2" w:rsidP="006B081A">
      <w:pPr>
        <w:pStyle w:val="Prrafodelista"/>
        <w:numPr>
          <w:ilvl w:val="0"/>
          <w:numId w:val="3"/>
        </w:numPr>
        <w:spacing w:before="100" w:beforeAutospacing="1" w:after="100" w:afterAutospacing="1" w:line="240" w:lineRule="auto"/>
        <w:jc w:val="both"/>
        <w:rPr>
          <w:rFonts w:ascii="Verdana" w:hAnsi="Verdana"/>
          <w:sz w:val="18"/>
          <w:szCs w:val="18"/>
        </w:rPr>
      </w:pPr>
      <w:r w:rsidRPr="00ED2767">
        <w:rPr>
          <w:rFonts w:ascii="Verdana" w:hAnsi="Verdana"/>
          <w:sz w:val="18"/>
          <w:szCs w:val="18"/>
        </w:rPr>
        <w:t>Gestión de Accesos</w:t>
      </w:r>
    </w:p>
    <w:p w:rsidR="001772E2" w:rsidRPr="00ED2767" w:rsidRDefault="001772E2" w:rsidP="006B081A">
      <w:pPr>
        <w:spacing w:before="100" w:beforeAutospacing="1" w:after="100" w:afterAutospacing="1" w:line="240" w:lineRule="auto"/>
        <w:jc w:val="both"/>
        <w:rPr>
          <w:rFonts w:ascii="Verdana" w:hAnsi="Verdana"/>
          <w:b/>
          <w:sz w:val="18"/>
          <w:szCs w:val="18"/>
        </w:rPr>
      </w:pPr>
      <w:r w:rsidRPr="00ED2767">
        <w:rPr>
          <w:rFonts w:ascii="Verdana" w:hAnsi="Verdana"/>
          <w:b/>
          <w:sz w:val="18"/>
          <w:szCs w:val="18"/>
        </w:rPr>
        <w:t>Mejora Continua del Servicio</w:t>
      </w:r>
    </w:p>
    <w:p w:rsidR="001772E2" w:rsidRPr="00ED2767" w:rsidRDefault="001772E2" w:rsidP="006B081A">
      <w:pPr>
        <w:spacing w:before="100" w:beforeAutospacing="1" w:after="100" w:afterAutospacing="1" w:line="240" w:lineRule="auto"/>
        <w:jc w:val="both"/>
        <w:rPr>
          <w:rFonts w:ascii="Verdana" w:hAnsi="Verdana"/>
          <w:sz w:val="18"/>
          <w:szCs w:val="18"/>
        </w:rPr>
      </w:pPr>
      <w:r w:rsidRPr="00ED2767">
        <w:rPr>
          <w:rFonts w:ascii="Verdana" w:hAnsi="Verdana"/>
          <w:sz w:val="18"/>
          <w:szCs w:val="18"/>
        </w:rPr>
        <w:t xml:space="preserve">Se utilizan herramientas de medición y </w:t>
      </w:r>
      <w:proofErr w:type="spellStart"/>
      <w:r w:rsidRPr="00ED2767">
        <w:rPr>
          <w:rFonts w:ascii="Verdana" w:hAnsi="Verdana"/>
          <w:sz w:val="18"/>
          <w:szCs w:val="18"/>
        </w:rPr>
        <w:t>feedback</w:t>
      </w:r>
      <w:proofErr w:type="spellEnd"/>
      <w:r w:rsidRPr="00ED2767">
        <w:rPr>
          <w:rFonts w:ascii="Verdana" w:hAnsi="Verdana"/>
          <w:sz w:val="18"/>
          <w:szCs w:val="18"/>
        </w:rPr>
        <w:t xml:space="preserve"> para documentar la información referente al funcionamiento del servicio, los resultados obtenidos, problemas ocasionados, soluciones implementadas, etc. Para ello se debe verificar el nivel de conocimiento de los usuarios respecto al nuevo servicio, fomentar el registro e investigación referentes al servicio y disponer de la información al resto de los usuarios.</w:t>
      </w:r>
    </w:p>
    <w:p w:rsidR="002034A4" w:rsidRPr="00ED2767" w:rsidRDefault="002034A4" w:rsidP="006B081A">
      <w:pPr>
        <w:spacing w:after="160" w:line="259" w:lineRule="auto"/>
        <w:jc w:val="both"/>
        <w:rPr>
          <w:rFonts w:ascii="Verdana" w:hAnsi="Verdana"/>
          <w:b/>
          <w:sz w:val="18"/>
          <w:szCs w:val="18"/>
        </w:rPr>
      </w:pPr>
    </w:p>
    <w:p w:rsidR="00F72E8E" w:rsidRPr="00ED2767" w:rsidRDefault="00F72E8E" w:rsidP="006B081A">
      <w:pPr>
        <w:spacing w:after="160" w:line="259" w:lineRule="auto"/>
        <w:jc w:val="both"/>
        <w:rPr>
          <w:rFonts w:ascii="Verdana" w:hAnsi="Verdana"/>
          <w:b/>
        </w:rPr>
      </w:pPr>
      <w:r w:rsidRPr="00ED2767">
        <w:rPr>
          <w:rFonts w:ascii="Verdana" w:hAnsi="Verdana"/>
          <w:b/>
        </w:rPr>
        <w:br w:type="page"/>
      </w:r>
    </w:p>
    <w:p w:rsidR="00F72E8E" w:rsidRPr="00ED2767" w:rsidRDefault="00F72E8E" w:rsidP="006B081A">
      <w:pPr>
        <w:pStyle w:val="Ttulo"/>
        <w:jc w:val="center"/>
        <w:rPr>
          <w:rFonts w:ascii="Verdana" w:hAnsi="Verdana" w:cs="Consolas"/>
          <w:color w:val="E48312" w:themeColor="accent1"/>
          <w:sz w:val="56"/>
          <w:szCs w:val="56"/>
          <w:lang w:val="es-ES"/>
        </w:rPr>
      </w:pPr>
      <w:r w:rsidRPr="00ED2767">
        <w:rPr>
          <w:rFonts w:ascii="Verdana" w:hAnsi="Verdana" w:cs="Consolas"/>
          <w:color w:val="E48312" w:themeColor="accent1"/>
          <w:sz w:val="56"/>
          <w:szCs w:val="56"/>
          <w:lang w:val="es-ES"/>
        </w:rPr>
        <w:t>COBIT</w:t>
      </w:r>
    </w:p>
    <w:p w:rsidR="00F72E8E" w:rsidRPr="00ED2767" w:rsidRDefault="00F72E8E" w:rsidP="006B081A">
      <w:pPr>
        <w:pStyle w:val="Ttulo1"/>
        <w:jc w:val="both"/>
        <w:rPr>
          <w:rFonts w:ascii="Verdana" w:hAnsi="Verdana"/>
          <w:b/>
          <w:sz w:val="20"/>
          <w:szCs w:val="20"/>
        </w:rPr>
      </w:pPr>
      <w:r w:rsidRPr="00ED2767">
        <w:rPr>
          <w:rFonts w:ascii="Verdana" w:hAnsi="Verdana"/>
          <w:b/>
          <w:sz w:val="20"/>
          <w:szCs w:val="20"/>
        </w:rPr>
        <w:t>HISTORIA</w:t>
      </w:r>
    </w:p>
    <w:p w:rsidR="0026026E" w:rsidRPr="006B081A" w:rsidRDefault="00787718" w:rsidP="006B081A">
      <w:pPr>
        <w:jc w:val="both"/>
        <w:rPr>
          <w:rFonts w:ascii="Verdana" w:hAnsi="Verdana"/>
          <w:sz w:val="18"/>
          <w:szCs w:val="18"/>
        </w:rPr>
      </w:pPr>
      <w:r w:rsidRPr="006B081A">
        <w:rPr>
          <w:rFonts w:ascii="Verdana" w:hAnsi="Verdana"/>
          <w:sz w:val="18"/>
          <w:szCs w:val="18"/>
        </w:rPr>
        <w:t xml:space="preserve">COBIT por sus siglas en inglés Control Objetives </w:t>
      </w:r>
      <w:proofErr w:type="spellStart"/>
      <w:r w:rsidRPr="006B081A">
        <w:rPr>
          <w:rFonts w:ascii="Verdana" w:hAnsi="Verdana"/>
          <w:sz w:val="18"/>
          <w:szCs w:val="18"/>
        </w:rPr>
        <w:t>for</w:t>
      </w:r>
      <w:proofErr w:type="spellEnd"/>
      <w:r w:rsidRPr="006B081A">
        <w:rPr>
          <w:rFonts w:ascii="Verdana" w:hAnsi="Verdana"/>
          <w:sz w:val="18"/>
          <w:szCs w:val="18"/>
        </w:rPr>
        <w:t xml:space="preserve"> </w:t>
      </w:r>
      <w:proofErr w:type="spellStart"/>
      <w:r w:rsidRPr="006B081A">
        <w:rPr>
          <w:rFonts w:ascii="Verdana" w:hAnsi="Verdana"/>
          <w:sz w:val="18"/>
          <w:szCs w:val="18"/>
        </w:rPr>
        <w:t>Information</w:t>
      </w:r>
      <w:proofErr w:type="spellEnd"/>
      <w:r w:rsidRPr="006B081A">
        <w:rPr>
          <w:rFonts w:ascii="Verdana" w:hAnsi="Verdana"/>
          <w:sz w:val="18"/>
          <w:szCs w:val="18"/>
        </w:rPr>
        <w:t xml:space="preserve"> and </w:t>
      </w:r>
      <w:proofErr w:type="spellStart"/>
      <w:r w:rsidRPr="006B081A">
        <w:rPr>
          <w:rFonts w:ascii="Verdana" w:hAnsi="Verdana"/>
          <w:sz w:val="18"/>
          <w:szCs w:val="18"/>
        </w:rPr>
        <w:t>related</w:t>
      </w:r>
      <w:proofErr w:type="spellEnd"/>
      <w:r w:rsidRPr="006B081A">
        <w:rPr>
          <w:rFonts w:ascii="Verdana" w:hAnsi="Verdana"/>
          <w:sz w:val="18"/>
          <w:szCs w:val="18"/>
        </w:rPr>
        <w:t xml:space="preserve"> </w:t>
      </w:r>
      <w:proofErr w:type="spellStart"/>
      <w:r w:rsidRPr="006B081A">
        <w:rPr>
          <w:rFonts w:ascii="Verdana" w:hAnsi="Verdana"/>
          <w:sz w:val="18"/>
          <w:szCs w:val="18"/>
        </w:rPr>
        <w:t>Technology</w:t>
      </w:r>
      <w:proofErr w:type="spellEnd"/>
      <w:r w:rsidRPr="006B081A">
        <w:rPr>
          <w:rFonts w:ascii="Verdana" w:hAnsi="Verdana"/>
          <w:sz w:val="18"/>
          <w:szCs w:val="18"/>
        </w:rPr>
        <w:t xml:space="preserve">, Objetivos de control para la información y tecnologías relacionadas. </w:t>
      </w:r>
      <w:r w:rsidR="0026026E" w:rsidRPr="006B081A">
        <w:rPr>
          <w:rFonts w:ascii="Verdana" w:hAnsi="Verdana"/>
          <w:sz w:val="18"/>
          <w:szCs w:val="18"/>
        </w:rPr>
        <w:t>Creado por ISACA para la administración y gobernanza de IT, es un set de herramientas de soporte que permiten a los administradores crear una brecha entre el control de requerimientos, asuntos técnicos y riesgos de negocio.</w:t>
      </w:r>
    </w:p>
    <w:p w:rsidR="0026026E" w:rsidRPr="006B081A" w:rsidRDefault="0026026E" w:rsidP="006B081A">
      <w:pPr>
        <w:jc w:val="both"/>
        <w:rPr>
          <w:rFonts w:ascii="Verdana" w:hAnsi="Verdana"/>
          <w:sz w:val="18"/>
          <w:szCs w:val="18"/>
        </w:rPr>
      </w:pPr>
      <w:r w:rsidRPr="006B081A">
        <w:rPr>
          <w:rFonts w:ascii="Verdana" w:hAnsi="Verdana"/>
          <w:sz w:val="18"/>
          <w:szCs w:val="18"/>
        </w:rPr>
        <w:t xml:space="preserve">La primera versión de COBIT fue liberada en 1996, en 1998 la segunda edición </w:t>
      </w:r>
      <w:r w:rsidR="00463C00" w:rsidRPr="006B081A">
        <w:rPr>
          <w:rFonts w:ascii="Verdana" w:hAnsi="Verdana"/>
          <w:sz w:val="18"/>
          <w:szCs w:val="18"/>
        </w:rPr>
        <w:t>en esta fue agregada la parte de control, en el 2000 la tercera edición se le adicionó las guías de administración y en 2003 esta versión se volvió on-line, en el año 2005 la cuarta edición se liberó y el 2007 una revisión de la cuarta versión, y en el año 2012 la versión actual COBIT 5</w:t>
      </w:r>
      <w:r w:rsidR="005B3F13" w:rsidRPr="006B081A">
        <w:rPr>
          <w:rFonts w:ascii="Verdana" w:hAnsi="Verdana"/>
          <w:sz w:val="18"/>
          <w:szCs w:val="18"/>
        </w:rPr>
        <w:t>.</w:t>
      </w:r>
    </w:p>
    <w:p w:rsidR="005B3F13" w:rsidRPr="006B081A" w:rsidRDefault="005B3F13" w:rsidP="006B081A">
      <w:pPr>
        <w:jc w:val="both"/>
        <w:rPr>
          <w:rFonts w:ascii="Verdana" w:hAnsi="Verdana"/>
          <w:sz w:val="18"/>
          <w:szCs w:val="18"/>
        </w:rPr>
      </w:pPr>
      <w:r w:rsidRPr="006B081A">
        <w:rPr>
          <w:rFonts w:ascii="Verdana" w:hAnsi="Verdana"/>
          <w:sz w:val="18"/>
          <w:szCs w:val="18"/>
        </w:rPr>
        <w:t>Los componentes de COBIT son:</w:t>
      </w:r>
    </w:p>
    <w:p w:rsidR="005B3F13" w:rsidRPr="006B081A" w:rsidRDefault="005B3F13" w:rsidP="006B081A">
      <w:pPr>
        <w:pStyle w:val="Prrafodelista"/>
        <w:numPr>
          <w:ilvl w:val="0"/>
          <w:numId w:val="3"/>
        </w:numPr>
        <w:jc w:val="both"/>
        <w:rPr>
          <w:rFonts w:ascii="Verdana" w:hAnsi="Verdana"/>
          <w:sz w:val="18"/>
          <w:szCs w:val="18"/>
        </w:rPr>
      </w:pPr>
      <w:r w:rsidRPr="006B081A">
        <w:rPr>
          <w:rFonts w:ascii="Verdana" w:hAnsi="Verdana"/>
          <w:sz w:val="18"/>
          <w:szCs w:val="18"/>
        </w:rPr>
        <w:t>Framework.</w:t>
      </w:r>
    </w:p>
    <w:p w:rsidR="005B3F13" w:rsidRPr="006B081A" w:rsidRDefault="005B3F13" w:rsidP="006B081A">
      <w:pPr>
        <w:pStyle w:val="Prrafodelista"/>
        <w:numPr>
          <w:ilvl w:val="0"/>
          <w:numId w:val="3"/>
        </w:numPr>
        <w:jc w:val="both"/>
        <w:rPr>
          <w:rFonts w:ascii="Verdana" w:hAnsi="Verdana"/>
          <w:sz w:val="18"/>
          <w:szCs w:val="18"/>
        </w:rPr>
      </w:pPr>
      <w:r w:rsidRPr="006B081A">
        <w:rPr>
          <w:rFonts w:ascii="Verdana" w:hAnsi="Verdana"/>
          <w:sz w:val="18"/>
          <w:szCs w:val="18"/>
        </w:rPr>
        <w:t>Descripción de procesos.</w:t>
      </w:r>
    </w:p>
    <w:p w:rsidR="005B3F13" w:rsidRPr="006B081A" w:rsidRDefault="005B3F13" w:rsidP="006B081A">
      <w:pPr>
        <w:pStyle w:val="Prrafodelista"/>
        <w:numPr>
          <w:ilvl w:val="0"/>
          <w:numId w:val="3"/>
        </w:numPr>
        <w:jc w:val="both"/>
        <w:rPr>
          <w:rFonts w:ascii="Verdana" w:hAnsi="Verdana"/>
          <w:sz w:val="18"/>
          <w:szCs w:val="18"/>
        </w:rPr>
      </w:pPr>
      <w:r w:rsidRPr="006B081A">
        <w:rPr>
          <w:rFonts w:ascii="Verdana" w:hAnsi="Verdana"/>
          <w:sz w:val="18"/>
          <w:szCs w:val="18"/>
        </w:rPr>
        <w:t>Guías de administración.</w:t>
      </w:r>
    </w:p>
    <w:p w:rsidR="005B3F13" w:rsidRPr="006B081A" w:rsidRDefault="00ED2767" w:rsidP="006B081A">
      <w:pPr>
        <w:pStyle w:val="Prrafodelista"/>
        <w:numPr>
          <w:ilvl w:val="0"/>
          <w:numId w:val="3"/>
        </w:numPr>
        <w:jc w:val="both"/>
        <w:rPr>
          <w:rFonts w:ascii="Verdana" w:hAnsi="Verdana"/>
          <w:sz w:val="18"/>
          <w:szCs w:val="18"/>
        </w:rPr>
      </w:pPr>
      <w:r w:rsidRPr="006B081A">
        <w:rPr>
          <w:rFonts w:ascii="Verdana" w:hAnsi="Verdana"/>
          <w:noProof/>
          <w:sz w:val="18"/>
          <w:szCs w:val="18"/>
          <w:lang w:eastAsia="es-GT"/>
        </w:rPr>
        <w:drawing>
          <wp:anchor distT="0" distB="0" distL="114300" distR="114300" simplePos="0" relativeHeight="251661312" behindDoc="0" locked="0" layoutInCell="1" allowOverlap="1" wp14:anchorId="0F542205" wp14:editId="29A9DE3A">
            <wp:simplePos x="0" y="0"/>
            <wp:positionH relativeFrom="column">
              <wp:posOffset>755650</wp:posOffset>
            </wp:positionH>
            <wp:positionV relativeFrom="paragraph">
              <wp:posOffset>217805</wp:posOffset>
            </wp:positionV>
            <wp:extent cx="2745105" cy="1230630"/>
            <wp:effectExtent l="0" t="0" r="0" b="762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45105" cy="1230630"/>
                    </a:xfrm>
                    <a:prstGeom prst="rect">
                      <a:avLst/>
                    </a:prstGeom>
                  </pic:spPr>
                </pic:pic>
              </a:graphicData>
            </a:graphic>
            <wp14:sizeRelH relativeFrom="margin">
              <wp14:pctWidth>0</wp14:pctWidth>
            </wp14:sizeRelH>
            <wp14:sizeRelV relativeFrom="margin">
              <wp14:pctHeight>0</wp14:pctHeight>
            </wp14:sizeRelV>
          </wp:anchor>
        </w:drawing>
      </w:r>
      <w:r w:rsidRPr="006B081A">
        <w:rPr>
          <w:rFonts w:ascii="Verdana" w:hAnsi="Verdana"/>
          <w:sz w:val="18"/>
          <w:szCs w:val="18"/>
        </w:rPr>
        <w:t>Modelos de madurez.</w:t>
      </w:r>
    </w:p>
    <w:p w:rsidR="005B3F13" w:rsidRPr="00ED2767" w:rsidRDefault="005B3F13" w:rsidP="006B081A">
      <w:pPr>
        <w:jc w:val="both"/>
        <w:rPr>
          <w:rFonts w:ascii="Verdana" w:hAnsi="Verdana"/>
        </w:rPr>
      </w:pPr>
    </w:p>
    <w:p w:rsidR="00ED2767" w:rsidRPr="00ED2767" w:rsidRDefault="00ED2767" w:rsidP="006B081A">
      <w:pPr>
        <w:jc w:val="both"/>
        <w:rPr>
          <w:rFonts w:ascii="Verdana" w:hAnsi="Verdana"/>
        </w:rPr>
      </w:pPr>
    </w:p>
    <w:p w:rsidR="00ED2767" w:rsidRPr="00ED2767" w:rsidRDefault="00ED2767" w:rsidP="006B081A">
      <w:pPr>
        <w:jc w:val="both"/>
        <w:rPr>
          <w:rFonts w:ascii="Verdana" w:hAnsi="Verdana"/>
        </w:rPr>
      </w:pPr>
    </w:p>
    <w:p w:rsidR="00ED2767" w:rsidRDefault="00ED2767" w:rsidP="006B081A">
      <w:pPr>
        <w:jc w:val="both"/>
        <w:rPr>
          <w:rFonts w:ascii="Verdana" w:hAnsi="Verdana"/>
        </w:rPr>
      </w:pPr>
    </w:p>
    <w:p w:rsidR="00ED2767" w:rsidRPr="00ED2767" w:rsidRDefault="00ED2767" w:rsidP="006B081A">
      <w:pPr>
        <w:jc w:val="both"/>
        <w:rPr>
          <w:rFonts w:ascii="Verdana" w:hAnsi="Verdana"/>
        </w:rPr>
      </w:pPr>
    </w:p>
    <w:p w:rsidR="00F72E8E" w:rsidRPr="00D6501E" w:rsidRDefault="00D6501E" w:rsidP="006B081A">
      <w:pPr>
        <w:pStyle w:val="Ttulo1"/>
        <w:jc w:val="both"/>
        <w:rPr>
          <w:rFonts w:ascii="Verdana" w:hAnsi="Verdana"/>
          <w:b/>
          <w:sz w:val="18"/>
          <w:szCs w:val="18"/>
        </w:rPr>
      </w:pPr>
      <w:r w:rsidRPr="00D6501E">
        <w:rPr>
          <w:rFonts w:ascii="Verdana" w:hAnsi="Verdana"/>
          <w:b/>
          <w:sz w:val="18"/>
          <w:szCs w:val="18"/>
        </w:rPr>
        <w:t>¿PARA QUIENES ES?</w:t>
      </w:r>
    </w:p>
    <w:p w:rsidR="00D6501E" w:rsidRPr="006B081A" w:rsidRDefault="00D6501E" w:rsidP="006B081A">
      <w:pPr>
        <w:jc w:val="both"/>
        <w:rPr>
          <w:sz w:val="18"/>
          <w:szCs w:val="18"/>
        </w:rPr>
      </w:pPr>
      <w:r w:rsidRPr="006B081A">
        <w:rPr>
          <w:sz w:val="18"/>
          <w:szCs w:val="18"/>
        </w:rPr>
        <w:t>COBIT está orientado para:</w:t>
      </w:r>
    </w:p>
    <w:p w:rsidR="00D6501E" w:rsidRPr="006B081A" w:rsidRDefault="00D6501E" w:rsidP="006B081A">
      <w:pPr>
        <w:pStyle w:val="Prrafodelista"/>
        <w:numPr>
          <w:ilvl w:val="0"/>
          <w:numId w:val="3"/>
        </w:numPr>
        <w:jc w:val="both"/>
        <w:rPr>
          <w:sz w:val="18"/>
          <w:szCs w:val="18"/>
        </w:rPr>
      </w:pPr>
      <w:r w:rsidRPr="006B081A">
        <w:rPr>
          <w:sz w:val="18"/>
          <w:szCs w:val="18"/>
        </w:rPr>
        <w:t>Gerentes de negocio</w:t>
      </w:r>
    </w:p>
    <w:p w:rsidR="00D6501E" w:rsidRPr="006B081A" w:rsidRDefault="00D6501E" w:rsidP="006B081A">
      <w:pPr>
        <w:pStyle w:val="Prrafodelista"/>
        <w:numPr>
          <w:ilvl w:val="0"/>
          <w:numId w:val="3"/>
        </w:numPr>
        <w:jc w:val="both"/>
        <w:rPr>
          <w:sz w:val="18"/>
          <w:szCs w:val="18"/>
        </w:rPr>
      </w:pPr>
      <w:r w:rsidRPr="006B081A">
        <w:rPr>
          <w:sz w:val="18"/>
          <w:szCs w:val="18"/>
        </w:rPr>
        <w:t>Gerentes de IT</w:t>
      </w:r>
    </w:p>
    <w:p w:rsidR="00D6501E" w:rsidRPr="006B081A" w:rsidRDefault="00D6501E" w:rsidP="006B081A">
      <w:pPr>
        <w:pStyle w:val="Prrafodelista"/>
        <w:numPr>
          <w:ilvl w:val="0"/>
          <w:numId w:val="3"/>
        </w:numPr>
        <w:jc w:val="both"/>
        <w:rPr>
          <w:sz w:val="18"/>
          <w:szCs w:val="18"/>
        </w:rPr>
      </w:pPr>
      <w:r w:rsidRPr="006B081A">
        <w:rPr>
          <w:sz w:val="18"/>
          <w:szCs w:val="18"/>
        </w:rPr>
        <w:t>Gerentes de riesgo</w:t>
      </w:r>
    </w:p>
    <w:p w:rsidR="00D6501E" w:rsidRPr="006B081A" w:rsidRDefault="00D6501E" w:rsidP="006B081A">
      <w:pPr>
        <w:pStyle w:val="Prrafodelista"/>
        <w:numPr>
          <w:ilvl w:val="0"/>
          <w:numId w:val="3"/>
        </w:numPr>
        <w:jc w:val="both"/>
        <w:rPr>
          <w:sz w:val="18"/>
          <w:szCs w:val="18"/>
        </w:rPr>
      </w:pPr>
      <w:r w:rsidRPr="006B081A">
        <w:rPr>
          <w:sz w:val="18"/>
          <w:szCs w:val="18"/>
        </w:rPr>
        <w:t>Usuarios IT</w:t>
      </w:r>
    </w:p>
    <w:p w:rsidR="00D6501E" w:rsidRPr="006B081A" w:rsidRDefault="00D6501E" w:rsidP="006B081A">
      <w:pPr>
        <w:pStyle w:val="Prrafodelista"/>
        <w:numPr>
          <w:ilvl w:val="0"/>
          <w:numId w:val="3"/>
        </w:numPr>
        <w:jc w:val="both"/>
        <w:rPr>
          <w:sz w:val="18"/>
          <w:szCs w:val="18"/>
        </w:rPr>
      </w:pPr>
      <w:r w:rsidRPr="006B081A">
        <w:rPr>
          <w:sz w:val="18"/>
          <w:szCs w:val="18"/>
        </w:rPr>
        <w:t>Auditores</w:t>
      </w:r>
    </w:p>
    <w:p w:rsidR="00B32BC4" w:rsidRPr="00ED2767" w:rsidRDefault="00D6501E" w:rsidP="006B081A">
      <w:pPr>
        <w:pStyle w:val="Ttulo1"/>
        <w:jc w:val="both"/>
        <w:rPr>
          <w:rFonts w:ascii="Verdana" w:hAnsi="Verdana"/>
          <w:b/>
          <w:sz w:val="20"/>
          <w:szCs w:val="20"/>
        </w:rPr>
      </w:pPr>
      <w:r w:rsidRPr="00ED2767">
        <w:rPr>
          <w:rFonts w:ascii="Verdana" w:hAnsi="Verdana"/>
          <w:b/>
          <w:sz w:val="20"/>
          <w:szCs w:val="20"/>
        </w:rPr>
        <w:t>¿QUE ES?</w:t>
      </w:r>
    </w:p>
    <w:p w:rsidR="00ED2767" w:rsidRDefault="00ED2767" w:rsidP="006B081A">
      <w:pPr>
        <w:jc w:val="both"/>
        <w:rPr>
          <w:rFonts w:ascii="Verdana" w:hAnsi="Verdana"/>
          <w:sz w:val="18"/>
          <w:szCs w:val="18"/>
        </w:rPr>
      </w:pPr>
      <w:r w:rsidRPr="006B081A">
        <w:rPr>
          <w:rFonts w:ascii="Verdana" w:hAnsi="Verdana"/>
          <w:sz w:val="18"/>
          <w:szCs w:val="18"/>
        </w:rPr>
        <w:t xml:space="preserve">La nueva versión </w:t>
      </w:r>
      <w:r w:rsidR="00D6501E" w:rsidRPr="006B081A">
        <w:rPr>
          <w:rFonts w:ascii="Verdana" w:hAnsi="Verdana"/>
          <w:sz w:val="18"/>
          <w:szCs w:val="18"/>
        </w:rPr>
        <w:t>de COBIT</w:t>
      </w:r>
      <w:r w:rsidRPr="006B081A">
        <w:rPr>
          <w:rFonts w:ascii="Verdana" w:hAnsi="Verdana"/>
          <w:sz w:val="18"/>
          <w:szCs w:val="18"/>
        </w:rPr>
        <w:t xml:space="preserve"> fue desarrollada para ayudar organizaciones de todos los tamaños y de cualquier sector a obtener el valor </w:t>
      </w:r>
      <w:r w:rsidR="00DF2CB3" w:rsidRPr="006B081A">
        <w:rPr>
          <w:rFonts w:ascii="Verdana" w:hAnsi="Verdana"/>
          <w:sz w:val="18"/>
          <w:szCs w:val="18"/>
        </w:rPr>
        <w:t xml:space="preserve">óptimo de las IT, tratando de satisfacer las necesidades de los interesados internos y externos mediante la creación de valores para las empresas a través de IT, con un enfoque de gestión holística de extremo a extremo, cumpliendo de mejor manera con leyes, regulaciones, políticas, y basándose en buenas </w:t>
      </w:r>
      <w:r w:rsidR="00D6501E" w:rsidRPr="006B081A">
        <w:rPr>
          <w:rFonts w:ascii="Verdana" w:hAnsi="Verdana"/>
          <w:sz w:val="18"/>
          <w:szCs w:val="18"/>
        </w:rPr>
        <w:t>prácticas</w:t>
      </w:r>
      <w:r w:rsidR="00DF2CB3" w:rsidRPr="006B081A">
        <w:rPr>
          <w:rFonts w:ascii="Verdana" w:hAnsi="Verdana"/>
          <w:sz w:val="18"/>
          <w:szCs w:val="18"/>
        </w:rPr>
        <w:t xml:space="preserve"> internacionales.</w:t>
      </w:r>
    </w:p>
    <w:p w:rsidR="00776305" w:rsidRDefault="00776305" w:rsidP="006B081A">
      <w:pPr>
        <w:jc w:val="both"/>
        <w:rPr>
          <w:rFonts w:ascii="Verdana" w:hAnsi="Verdana"/>
          <w:sz w:val="18"/>
          <w:szCs w:val="18"/>
        </w:rPr>
      </w:pPr>
    </w:p>
    <w:p w:rsidR="00776305" w:rsidRDefault="00776305" w:rsidP="006B081A">
      <w:pPr>
        <w:jc w:val="both"/>
        <w:rPr>
          <w:rFonts w:ascii="Verdana" w:hAnsi="Verdana"/>
          <w:sz w:val="18"/>
          <w:szCs w:val="18"/>
        </w:rPr>
      </w:pPr>
    </w:p>
    <w:p w:rsidR="00776305" w:rsidRDefault="00776305" w:rsidP="006B081A">
      <w:pPr>
        <w:jc w:val="both"/>
        <w:rPr>
          <w:rFonts w:ascii="Verdana" w:hAnsi="Verdana"/>
          <w:sz w:val="18"/>
          <w:szCs w:val="18"/>
        </w:rPr>
      </w:pPr>
    </w:p>
    <w:p w:rsidR="00776305" w:rsidRDefault="00776305" w:rsidP="006B081A">
      <w:pPr>
        <w:jc w:val="both"/>
        <w:rPr>
          <w:rFonts w:ascii="Verdana" w:hAnsi="Verdana"/>
          <w:sz w:val="18"/>
          <w:szCs w:val="18"/>
        </w:rPr>
      </w:pPr>
    </w:p>
    <w:p w:rsidR="00776305" w:rsidRDefault="00776305" w:rsidP="006B081A">
      <w:pPr>
        <w:jc w:val="both"/>
        <w:rPr>
          <w:rFonts w:ascii="Verdana" w:hAnsi="Verdana"/>
          <w:sz w:val="18"/>
          <w:szCs w:val="18"/>
        </w:rPr>
      </w:pPr>
    </w:p>
    <w:p w:rsidR="00C1178C" w:rsidRDefault="00776305" w:rsidP="006B081A">
      <w:pPr>
        <w:jc w:val="both"/>
        <w:rPr>
          <w:rFonts w:ascii="Verdana" w:hAnsi="Verdana"/>
          <w:sz w:val="18"/>
          <w:szCs w:val="18"/>
        </w:rPr>
      </w:pPr>
      <w:r>
        <w:rPr>
          <w:rFonts w:ascii="Verdana" w:hAnsi="Verdana"/>
          <w:sz w:val="18"/>
          <w:szCs w:val="18"/>
        </w:rPr>
        <w:lastRenderedPageBreak/>
        <w:t>El principio de marco de referencia</w:t>
      </w:r>
      <w:r w:rsidR="00C1178C">
        <w:rPr>
          <w:rFonts w:ascii="Verdana" w:hAnsi="Verdana"/>
          <w:sz w:val="18"/>
          <w:szCs w:val="18"/>
        </w:rPr>
        <w:t xml:space="preserve"> de las versiones anteriores de COBIT</w:t>
      </w:r>
      <w:r>
        <w:rPr>
          <w:rFonts w:ascii="Verdana" w:hAnsi="Verdana"/>
          <w:sz w:val="18"/>
          <w:szCs w:val="18"/>
        </w:rPr>
        <w:t xml:space="preserve"> se basa en el siguiente diagrama:</w:t>
      </w: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p>
    <w:p w:rsidR="00C1178C" w:rsidRDefault="00C1178C" w:rsidP="006B081A">
      <w:pPr>
        <w:jc w:val="both"/>
        <w:rPr>
          <w:rFonts w:ascii="Verdana" w:hAnsi="Verdana"/>
          <w:sz w:val="18"/>
          <w:szCs w:val="18"/>
        </w:rPr>
      </w:pPr>
      <w:r>
        <w:rPr>
          <w:noProof/>
          <w:lang w:eastAsia="es-GT"/>
        </w:rPr>
        <w:drawing>
          <wp:anchor distT="0" distB="0" distL="114300" distR="114300" simplePos="0" relativeHeight="251664384" behindDoc="0" locked="0" layoutInCell="1" allowOverlap="1" wp14:anchorId="1DF5B696" wp14:editId="766A6391">
            <wp:simplePos x="0" y="0"/>
            <wp:positionH relativeFrom="margin">
              <wp:posOffset>1713670</wp:posOffset>
            </wp:positionH>
            <wp:positionV relativeFrom="margin">
              <wp:posOffset>250190</wp:posOffset>
            </wp:positionV>
            <wp:extent cx="1847850" cy="1485900"/>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47850" cy="1485900"/>
                    </a:xfrm>
                    <a:prstGeom prst="rect">
                      <a:avLst/>
                    </a:prstGeom>
                  </pic:spPr>
                </pic:pic>
              </a:graphicData>
            </a:graphic>
          </wp:anchor>
        </w:drawing>
      </w:r>
      <w:r>
        <w:rPr>
          <w:rFonts w:ascii="Verdana" w:hAnsi="Verdana"/>
          <w:sz w:val="18"/>
          <w:szCs w:val="18"/>
        </w:rPr>
        <w:t xml:space="preserve">Requerimientos de negocio: Cobit combina los principios incorporados en los modelos de referencia existente y conocidos en los cuales se encuentran: </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Requerimientos de calidad</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Requerimientos fiduciarios</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Requerimientos de seguridad</w:t>
      </w:r>
    </w:p>
    <w:p w:rsidR="00C1178C" w:rsidRPr="00C1178C" w:rsidRDefault="00C1178C" w:rsidP="00C1178C">
      <w:pPr>
        <w:jc w:val="both"/>
        <w:rPr>
          <w:rFonts w:ascii="Verdana" w:hAnsi="Verdana"/>
          <w:sz w:val="18"/>
          <w:szCs w:val="18"/>
        </w:rPr>
      </w:pPr>
      <w:r>
        <w:rPr>
          <w:rFonts w:ascii="Verdana" w:hAnsi="Verdana"/>
          <w:sz w:val="18"/>
          <w:szCs w:val="18"/>
        </w:rPr>
        <w:t xml:space="preserve">Recursos de </w:t>
      </w:r>
      <w:r w:rsidRPr="00C1178C">
        <w:rPr>
          <w:rFonts w:ascii="Verdana" w:hAnsi="Verdana"/>
          <w:sz w:val="18"/>
          <w:szCs w:val="18"/>
        </w:rPr>
        <w:t>T</w:t>
      </w:r>
      <w:r>
        <w:rPr>
          <w:rFonts w:ascii="Verdana" w:hAnsi="Verdana"/>
          <w:sz w:val="18"/>
          <w:szCs w:val="18"/>
        </w:rPr>
        <w:t>I</w:t>
      </w:r>
      <w:r w:rsidRPr="00C1178C">
        <w:rPr>
          <w:rFonts w:ascii="Verdana" w:hAnsi="Verdana"/>
          <w:sz w:val="18"/>
          <w:szCs w:val="18"/>
        </w:rPr>
        <w:t>: Un gerente de TI debe considerar estos recursos en los cuales se encuentran:</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Datos.</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Aplicaciones.</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Tecnología.</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Instalaciones.</w:t>
      </w:r>
    </w:p>
    <w:p w:rsidR="00C1178C" w:rsidRP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Recurso Humano.</w:t>
      </w:r>
    </w:p>
    <w:p w:rsidR="00776305" w:rsidRDefault="00C1178C" w:rsidP="00C1178C">
      <w:pPr>
        <w:jc w:val="both"/>
        <w:rPr>
          <w:rFonts w:ascii="Verdana" w:hAnsi="Verdana"/>
          <w:sz w:val="18"/>
          <w:szCs w:val="18"/>
        </w:rPr>
      </w:pPr>
      <w:r>
        <w:rPr>
          <w:rFonts w:ascii="Verdana" w:hAnsi="Verdana"/>
          <w:sz w:val="18"/>
          <w:szCs w:val="18"/>
        </w:rPr>
        <w:t xml:space="preserve">Procesos de TI:  los procesos de TI se dividen en 3 niveles </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Dominios</w:t>
      </w:r>
    </w:p>
    <w:p w:rsid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 xml:space="preserve">Procesos </w:t>
      </w:r>
    </w:p>
    <w:p w:rsidR="00C1178C" w:rsidRPr="00C1178C" w:rsidRDefault="00C1178C" w:rsidP="00C1178C">
      <w:pPr>
        <w:pStyle w:val="Prrafodelista"/>
        <w:numPr>
          <w:ilvl w:val="0"/>
          <w:numId w:val="3"/>
        </w:numPr>
        <w:jc w:val="both"/>
        <w:rPr>
          <w:rFonts w:ascii="Verdana" w:hAnsi="Verdana"/>
          <w:sz w:val="18"/>
          <w:szCs w:val="18"/>
        </w:rPr>
      </w:pPr>
      <w:r>
        <w:rPr>
          <w:rFonts w:ascii="Verdana" w:hAnsi="Verdana"/>
          <w:sz w:val="18"/>
          <w:szCs w:val="18"/>
        </w:rPr>
        <w:t>Actividades y Tareas</w:t>
      </w:r>
    </w:p>
    <w:p w:rsidR="00776305" w:rsidRPr="006B081A" w:rsidRDefault="00776305" w:rsidP="006B081A">
      <w:pPr>
        <w:jc w:val="both"/>
        <w:rPr>
          <w:rFonts w:ascii="Verdana" w:hAnsi="Verdana"/>
          <w:sz w:val="18"/>
          <w:szCs w:val="18"/>
        </w:rPr>
      </w:pPr>
    </w:p>
    <w:p w:rsidR="006B081A" w:rsidRPr="006B081A" w:rsidRDefault="006B081A" w:rsidP="006B081A">
      <w:pPr>
        <w:jc w:val="both"/>
        <w:rPr>
          <w:rFonts w:ascii="Verdana" w:hAnsi="Verdana"/>
          <w:sz w:val="18"/>
          <w:szCs w:val="18"/>
        </w:rPr>
      </w:pPr>
      <w:r w:rsidRPr="006B081A">
        <w:rPr>
          <w:rFonts w:ascii="Verdana" w:hAnsi="Verdana"/>
          <w:sz w:val="18"/>
          <w:szCs w:val="18"/>
        </w:rPr>
        <w:t>Cobit 5 está enfocado en el gobierno empresarial de las tecnologías de información, a diferencia de su antecesor, enfocado principalmente al gobierno de TI. A continuación, las áreas que presentan los cambios principales, para posteriormente explicar en qué consiste cada uno:</w:t>
      </w:r>
    </w:p>
    <w:p w:rsidR="006B081A" w:rsidRPr="006B081A" w:rsidRDefault="006B081A" w:rsidP="006B081A">
      <w:pPr>
        <w:pStyle w:val="Prrafodelista"/>
        <w:numPr>
          <w:ilvl w:val="0"/>
          <w:numId w:val="7"/>
        </w:numPr>
        <w:jc w:val="both"/>
        <w:rPr>
          <w:rFonts w:ascii="Verdana" w:hAnsi="Verdana"/>
          <w:sz w:val="18"/>
          <w:szCs w:val="18"/>
        </w:rPr>
      </w:pPr>
      <w:r w:rsidRPr="006B081A">
        <w:rPr>
          <w:rFonts w:ascii="Verdana" w:hAnsi="Verdana"/>
          <w:sz w:val="18"/>
          <w:szCs w:val="18"/>
        </w:rPr>
        <w:t>Cinco principios.</w:t>
      </w:r>
    </w:p>
    <w:p w:rsidR="006B081A" w:rsidRPr="006B081A" w:rsidRDefault="006B081A" w:rsidP="006B081A">
      <w:pPr>
        <w:pStyle w:val="Prrafodelista"/>
        <w:numPr>
          <w:ilvl w:val="0"/>
          <w:numId w:val="7"/>
        </w:numPr>
        <w:jc w:val="both"/>
        <w:rPr>
          <w:rFonts w:ascii="Verdana" w:hAnsi="Verdana"/>
          <w:sz w:val="18"/>
          <w:szCs w:val="18"/>
        </w:rPr>
      </w:pPr>
      <w:r w:rsidRPr="006B081A">
        <w:rPr>
          <w:rFonts w:ascii="Verdana" w:hAnsi="Verdana"/>
          <w:sz w:val="18"/>
          <w:szCs w:val="18"/>
        </w:rPr>
        <w:t>Dominio “Evaluar, dirigir y monitorear”.</w:t>
      </w:r>
    </w:p>
    <w:p w:rsidR="006B081A" w:rsidRPr="006B081A" w:rsidRDefault="006B081A" w:rsidP="006B081A">
      <w:pPr>
        <w:pStyle w:val="Prrafodelista"/>
        <w:numPr>
          <w:ilvl w:val="0"/>
          <w:numId w:val="7"/>
        </w:numPr>
        <w:jc w:val="both"/>
        <w:rPr>
          <w:rFonts w:ascii="Verdana" w:hAnsi="Verdana"/>
          <w:sz w:val="18"/>
          <w:szCs w:val="18"/>
        </w:rPr>
      </w:pPr>
      <w:r w:rsidRPr="006B081A">
        <w:rPr>
          <w:rFonts w:ascii="Verdana" w:hAnsi="Verdana"/>
          <w:sz w:val="18"/>
          <w:szCs w:val="18"/>
        </w:rPr>
        <w:t>Modelo de referencia de procesos.</w:t>
      </w:r>
    </w:p>
    <w:p w:rsidR="00ED2767" w:rsidRPr="006B081A" w:rsidRDefault="006B081A" w:rsidP="006B081A">
      <w:pPr>
        <w:pStyle w:val="Prrafodelista"/>
        <w:numPr>
          <w:ilvl w:val="0"/>
          <w:numId w:val="7"/>
        </w:numPr>
        <w:jc w:val="both"/>
        <w:rPr>
          <w:rFonts w:ascii="Verdana" w:hAnsi="Verdana"/>
          <w:sz w:val="18"/>
          <w:szCs w:val="18"/>
        </w:rPr>
      </w:pPr>
      <w:r w:rsidRPr="006B081A">
        <w:rPr>
          <w:rFonts w:ascii="Verdana" w:hAnsi="Verdana"/>
          <w:sz w:val="18"/>
          <w:szCs w:val="18"/>
        </w:rPr>
        <w:t>Modelo de madurez de procesos.</w:t>
      </w:r>
    </w:p>
    <w:p w:rsidR="00ED2767" w:rsidRDefault="006B081A" w:rsidP="006B081A">
      <w:pPr>
        <w:pStyle w:val="Ttulo1"/>
        <w:jc w:val="both"/>
        <w:rPr>
          <w:rFonts w:ascii="Verdana" w:hAnsi="Verdana"/>
          <w:b/>
          <w:sz w:val="20"/>
          <w:szCs w:val="20"/>
        </w:rPr>
      </w:pPr>
      <w:r>
        <w:rPr>
          <w:rFonts w:ascii="Verdana" w:hAnsi="Verdana"/>
          <w:b/>
          <w:sz w:val="20"/>
          <w:szCs w:val="20"/>
        </w:rPr>
        <w:t>CINCO PRINCIPIOS</w:t>
      </w:r>
    </w:p>
    <w:p w:rsidR="006B081A" w:rsidRPr="008C1981" w:rsidRDefault="006B081A" w:rsidP="006B081A">
      <w:pPr>
        <w:jc w:val="both"/>
        <w:rPr>
          <w:rFonts w:ascii="Verdana" w:hAnsi="Verdana"/>
          <w:sz w:val="18"/>
          <w:szCs w:val="18"/>
        </w:rPr>
      </w:pPr>
      <w:r w:rsidRPr="008C1981">
        <w:rPr>
          <w:rFonts w:ascii="Verdana" w:hAnsi="Verdana"/>
          <w:sz w:val="18"/>
          <w:szCs w:val="18"/>
        </w:rPr>
        <w:t>Cobit 5 está basado en cinco principios:</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Satisfacer las necesidades de los interesados.</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Cubrir la empresa de extremo a extremo.</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Aplicar un solo marco integrado.</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Habilitar un enfoque holístico.</w:t>
      </w:r>
    </w:p>
    <w:p w:rsidR="006B081A"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Separar gobierno de administración.</w:t>
      </w:r>
    </w:p>
    <w:p w:rsidR="00C1178C" w:rsidRDefault="00C1178C" w:rsidP="00C1178C">
      <w:pPr>
        <w:jc w:val="both"/>
        <w:rPr>
          <w:rFonts w:ascii="Verdana" w:hAnsi="Verdana"/>
          <w:sz w:val="18"/>
          <w:szCs w:val="18"/>
        </w:rPr>
      </w:pPr>
    </w:p>
    <w:p w:rsidR="00C1178C" w:rsidRDefault="00C1178C" w:rsidP="00C1178C">
      <w:pPr>
        <w:jc w:val="both"/>
        <w:rPr>
          <w:rFonts w:ascii="Verdana" w:hAnsi="Verdana"/>
          <w:sz w:val="18"/>
          <w:szCs w:val="18"/>
        </w:rPr>
      </w:pPr>
    </w:p>
    <w:p w:rsidR="00C1178C" w:rsidRPr="00C1178C" w:rsidRDefault="00C1178C" w:rsidP="00C1178C">
      <w:pPr>
        <w:jc w:val="both"/>
        <w:rPr>
          <w:rFonts w:ascii="Verdana" w:hAnsi="Verdana"/>
          <w:sz w:val="18"/>
          <w:szCs w:val="18"/>
        </w:rPr>
      </w:pPr>
    </w:p>
    <w:p w:rsidR="006B081A" w:rsidRPr="008C1981" w:rsidRDefault="006B081A" w:rsidP="006B081A">
      <w:pPr>
        <w:jc w:val="both"/>
        <w:rPr>
          <w:rFonts w:ascii="Verdana" w:hAnsi="Verdana"/>
          <w:sz w:val="18"/>
          <w:szCs w:val="18"/>
        </w:rPr>
      </w:pPr>
      <w:r w:rsidRPr="008C1981">
        <w:rPr>
          <w:rFonts w:ascii="Verdana" w:hAnsi="Verdana"/>
          <w:b/>
          <w:sz w:val="18"/>
          <w:szCs w:val="18"/>
        </w:rPr>
        <w:lastRenderedPageBreak/>
        <w:t>Principio 1 (abarcar las necesidades de los interesados):</w:t>
      </w:r>
      <w:r w:rsidRPr="008C1981">
        <w:rPr>
          <w:rFonts w:ascii="Verdana" w:hAnsi="Verdana"/>
          <w:sz w:val="18"/>
          <w:szCs w:val="18"/>
        </w:rPr>
        <w:t xml:space="preserve"> </w:t>
      </w:r>
    </w:p>
    <w:p w:rsidR="006B081A" w:rsidRPr="008C1981" w:rsidRDefault="006B081A" w:rsidP="006B081A">
      <w:pPr>
        <w:jc w:val="both"/>
        <w:rPr>
          <w:rFonts w:ascii="Verdana" w:hAnsi="Verdana"/>
          <w:sz w:val="18"/>
          <w:szCs w:val="18"/>
        </w:rPr>
      </w:pPr>
      <w:r w:rsidRPr="008C1981">
        <w:rPr>
          <w:rFonts w:ascii="Verdana" w:hAnsi="Verdana"/>
          <w:sz w:val="18"/>
          <w:szCs w:val="18"/>
        </w:rPr>
        <w:t>Los indicadores clave de metas y de proceso, (KGI y KPI, por sus siglas en inglés), que finalmente traducen las necesidades de los interesados, internos y externos, se transformaron en una estrategia empresarial llamada “cascada de metas”, que comienza con las metas de la empresa, continúa con las metas relacionadas de TI, que a su vez recaen en lo que Cobit llama “habilitadores”, y finalmente se alcanzan al desarrollar las actividades de las metas.</w:t>
      </w:r>
    </w:p>
    <w:p w:rsidR="006B081A" w:rsidRPr="008C1981" w:rsidRDefault="006B081A" w:rsidP="006B081A">
      <w:pPr>
        <w:jc w:val="both"/>
        <w:rPr>
          <w:rFonts w:ascii="Verdana" w:hAnsi="Verdana"/>
          <w:sz w:val="18"/>
          <w:szCs w:val="18"/>
        </w:rPr>
      </w:pPr>
      <w:r w:rsidRPr="008C1981">
        <w:rPr>
          <w:rFonts w:ascii="Verdana" w:hAnsi="Verdana"/>
          <w:sz w:val="18"/>
          <w:szCs w:val="18"/>
        </w:rPr>
        <w:t xml:space="preserve">Este esquema de cascada de metas, basado en mapeos y tablas provistas por Cobit 5, proporciona una guía orientadora para establecer un vínculo coherente y consistente que permita traducir las necesidades de todos los interesados del negocio en objetivos específicos de la empresa, que dan origen a objetivos de TI </w:t>
      </w:r>
      <w:proofErr w:type="gramStart"/>
      <w:r w:rsidRPr="008C1981">
        <w:rPr>
          <w:rFonts w:ascii="Verdana" w:hAnsi="Verdana"/>
          <w:sz w:val="18"/>
          <w:szCs w:val="18"/>
        </w:rPr>
        <w:t>y  a</w:t>
      </w:r>
      <w:proofErr w:type="gramEnd"/>
      <w:r w:rsidRPr="008C1981">
        <w:rPr>
          <w:rFonts w:ascii="Verdana" w:hAnsi="Verdana"/>
          <w:sz w:val="18"/>
          <w:szCs w:val="18"/>
        </w:rPr>
        <w:t xml:space="preserve"> objetivos facilitadores.</w:t>
      </w:r>
    </w:p>
    <w:p w:rsidR="006B081A" w:rsidRPr="008C1981" w:rsidRDefault="006B081A" w:rsidP="006B081A">
      <w:pPr>
        <w:jc w:val="both"/>
        <w:rPr>
          <w:rFonts w:ascii="Verdana" w:hAnsi="Verdana"/>
          <w:sz w:val="18"/>
          <w:szCs w:val="18"/>
        </w:rPr>
      </w:pPr>
      <w:r w:rsidRPr="008C1981">
        <w:rPr>
          <w:rFonts w:ascii="Verdana" w:hAnsi="Verdana"/>
          <w:b/>
          <w:sz w:val="18"/>
          <w:szCs w:val="18"/>
        </w:rPr>
        <w:t>Principio 2 (cubrir la empresa de extremo a extremo):</w:t>
      </w:r>
    </w:p>
    <w:p w:rsidR="006B081A" w:rsidRPr="008C1981" w:rsidRDefault="006B081A" w:rsidP="006B081A">
      <w:pPr>
        <w:jc w:val="both"/>
        <w:rPr>
          <w:rFonts w:ascii="Verdana" w:hAnsi="Verdana"/>
          <w:sz w:val="18"/>
          <w:szCs w:val="18"/>
        </w:rPr>
      </w:pPr>
      <w:r w:rsidRPr="008C1981">
        <w:rPr>
          <w:rFonts w:ascii="Verdana" w:hAnsi="Verdana"/>
          <w:sz w:val="18"/>
          <w:szCs w:val="18"/>
        </w:rPr>
        <w:t>Considera todas las funciones y procesos dentro de la organización. Cobit 5 no se centra solo en el gobierno de TI, pues ahora considera la información y las tecnologías relacionadas como activos que deben ser tratados como cualquier otro.</w:t>
      </w:r>
    </w:p>
    <w:p w:rsidR="006B081A" w:rsidRPr="008C1981" w:rsidRDefault="006B081A" w:rsidP="006B081A">
      <w:pPr>
        <w:jc w:val="both"/>
        <w:rPr>
          <w:rFonts w:ascii="Verdana" w:hAnsi="Verdana"/>
          <w:sz w:val="18"/>
          <w:szCs w:val="18"/>
        </w:rPr>
      </w:pPr>
      <w:r w:rsidRPr="008C1981">
        <w:rPr>
          <w:rFonts w:ascii="Verdana" w:hAnsi="Verdana"/>
          <w:sz w:val="18"/>
          <w:szCs w:val="18"/>
        </w:rPr>
        <w:t>¿Y cómo lo hace? Gestionando TI como si fuera una empresa, tomando en consideración los requerimientos para la estrategia, táctica y operación; integrando de esta forma el gobierno empresarial de TI en el gobierno corporativo.</w:t>
      </w:r>
    </w:p>
    <w:p w:rsidR="006B081A" w:rsidRPr="008C1981" w:rsidRDefault="006B081A" w:rsidP="006B081A">
      <w:pPr>
        <w:jc w:val="both"/>
        <w:rPr>
          <w:rFonts w:ascii="Verdana" w:hAnsi="Verdana"/>
          <w:sz w:val="18"/>
          <w:szCs w:val="18"/>
        </w:rPr>
      </w:pPr>
    </w:p>
    <w:p w:rsidR="006B081A" w:rsidRPr="008C1981" w:rsidRDefault="006B081A" w:rsidP="006B081A">
      <w:pPr>
        <w:jc w:val="both"/>
        <w:rPr>
          <w:rFonts w:ascii="Verdana" w:hAnsi="Verdana"/>
          <w:sz w:val="18"/>
          <w:szCs w:val="18"/>
        </w:rPr>
      </w:pPr>
      <w:r w:rsidRPr="008C1981">
        <w:rPr>
          <w:rFonts w:ascii="Verdana" w:hAnsi="Verdana"/>
          <w:b/>
          <w:sz w:val="18"/>
          <w:szCs w:val="18"/>
        </w:rPr>
        <w:t>Principio 3 (aplicar un solo marco integrado):</w:t>
      </w:r>
      <w:r w:rsidRPr="008C1981">
        <w:rPr>
          <w:rFonts w:ascii="Verdana" w:hAnsi="Verdana"/>
          <w:sz w:val="18"/>
          <w:szCs w:val="18"/>
        </w:rPr>
        <w:t xml:space="preserve"> </w:t>
      </w:r>
    </w:p>
    <w:p w:rsidR="006B081A" w:rsidRPr="008C1981" w:rsidRDefault="006B081A" w:rsidP="006B081A">
      <w:pPr>
        <w:jc w:val="both"/>
        <w:rPr>
          <w:rFonts w:ascii="Verdana" w:hAnsi="Verdana"/>
          <w:sz w:val="18"/>
          <w:szCs w:val="18"/>
        </w:rPr>
      </w:pPr>
      <w:r w:rsidRPr="008C1981">
        <w:rPr>
          <w:rFonts w:ascii="Verdana" w:hAnsi="Verdana"/>
          <w:sz w:val="18"/>
          <w:szCs w:val="18"/>
        </w:rPr>
        <w:t>para cumplir con este principio, Cobit incorpora los estándares y marcos más relevantes de la industria:</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COSO (</w:t>
      </w:r>
      <w:proofErr w:type="spellStart"/>
      <w:r w:rsidRPr="008C1981">
        <w:rPr>
          <w:rFonts w:ascii="Verdana" w:hAnsi="Verdana"/>
          <w:sz w:val="18"/>
          <w:szCs w:val="18"/>
        </w:rPr>
        <w:t>Committee</w:t>
      </w:r>
      <w:proofErr w:type="spellEnd"/>
      <w:r w:rsidRPr="008C1981">
        <w:rPr>
          <w:rFonts w:ascii="Verdana" w:hAnsi="Verdana"/>
          <w:sz w:val="18"/>
          <w:szCs w:val="18"/>
        </w:rPr>
        <w:t xml:space="preserve"> of </w:t>
      </w:r>
      <w:proofErr w:type="spellStart"/>
      <w:r w:rsidRPr="008C1981">
        <w:rPr>
          <w:rFonts w:ascii="Verdana" w:hAnsi="Verdana"/>
          <w:sz w:val="18"/>
          <w:szCs w:val="18"/>
        </w:rPr>
        <w:t>Sponsoring</w:t>
      </w:r>
      <w:proofErr w:type="spellEnd"/>
      <w:r w:rsidRPr="008C1981">
        <w:rPr>
          <w:rFonts w:ascii="Verdana" w:hAnsi="Verdana"/>
          <w:sz w:val="18"/>
          <w:szCs w:val="18"/>
        </w:rPr>
        <w:t xml:space="preserve"> </w:t>
      </w:r>
      <w:proofErr w:type="spellStart"/>
      <w:r w:rsidRPr="008C1981">
        <w:rPr>
          <w:rFonts w:ascii="Verdana" w:hAnsi="Verdana"/>
          <w:sz w:val="18"/>
          <w:szCs w:val="18"/>
        </w:rPr>
        <w:t>Organizations</w:t>
      </w:r>
      <w:proofErr w:type="spellEnd"/>
      <w:r w:rsidRPr="008C1981">
        <w:rPr>
          <w:rFonts w:ascii="Verdana" w:hAnsi="Verdana"/>
          <w:sz w:val="18"/>
          <w:szCs w:val="18"/>
        </w:rPr>
        <w:t xml:space="preserve"> of </w:t>
      </w:r>
      <w:proofErr w:type="spellStart"/>
      <w:r w:rsidRPr="008C1981">
        <w:rPr>
          <w:rFonts w:ascii="Verdana" w:hAnsi="Verdana"/>
          <w:sz w:val="18"/>
          <w:szCs w:val="18"/>
        </w:rPr>
        <w:t>the</w:t>
      </w:r>
      <w:proofErr w:type="spellEnd"/>
      <w:r w:rsidRPr="008C1981">
        <w:rPr>
          <w:rFonts w:ascii="Verdana" w:hAnsi="Verdana"/>
          <w:sz w:val="18"/>
          <w:szCs w:val="18"/>
        </w:rPr>
        <w:t xml:space="preserve"> </w:t>
      </w:r>
      <w:proofErr w:type="spellStart"/>
      <w:r w:rsidRPr="008C1981">
        <w:rPr>
          <w:rFonts w:ascii="Verdana" w:hAnsi="Verdana"/>
          <w:sz w:val="18"/>
          <w:szCs w:val="18"/>
        </w:rPr>
        <w:t>Treadway</w:t>
      </w:r>
      <w:proofErr w:type="spellEnd"/>
      <w:r w:rsidRPr="008C1981">
        <w:rPr>
          <w:rFonts w:ascii="Verdana" w:hAnsi="Verdana"/>
          <w:sz w:val="18"/>
          <w:szCs w:val="18"/>
        </w:rPr>
        <w:t xml:space="preserve"> </w:t>
      </w:r>
      <w:proofErr w:type="spellStart"/>
      <w:r w:rsidRPr="008C1981">
        <w:rPr>
          <w:rFonts w:ascii="Verdana" w:hAnsi="Verdana"/>
          <w:sz w:val="18"/>
          <w:szCs w:val="18"/>
        </w:rPr>
        <w:t>Commission</w:t>
      </w:r>
      <w:proofErr w:type="spellEnd"/>
      <w:r w:rsidRPr="008C1981">
        <w:rPr>
          <w:rFonts w:ascii="Verdana" w:hAnsi="Verdana"/>
          <w:sz w:val="18"/>
          <w:szCs w:val="18"/>
        </w:rPr>
        <w:t>), que ha sido reconocido como un marco apropiado y exhaustivo para el control interno.</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 xml:space="preserve"> ISO/IEC 9000, estándar para el control de calidad en procesos empresariales.</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 xml:space="preserve"> ISO/IEC 31000, estándar de administración de riesgos, principios y directrices, la cual tiene como objetivo ayudar a las organizaciones de todo tipo y tamaño a gestionar los riesgos empresariales con efectividad.</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ISO-38500, estándar para el gobierno corporativo de TI.</w:t>
      </w:r>
    </w:p>
    <w:p w:rsidR="006B081A" w:rsidRPr="008C1981" w:rsidRDefault="006B081A" w:rsidP="006B081A">
      <w:pPr>
        <w:pStyle w:val="Prrafodelista"/>
        <w:numPr>
          <w:ilvl w:val="0"/>
          <w:numId w:val="3"/>
        </w:numPr>
        <w:jc w:val="both"/>
        <w:rPr>
          <w:rFonts w:ascii="Verdana" w:hAnsi="Verdana"/>
          <w:sz w:val="18"/>
          <w:szCs w:val="18"/>
        </w:rPr>
      </w:pPr>
      <w:r w:rsidRPr="008C1981">
        <w:rPr>
          <w:rFonts w:ascii="Verdana" w:hAnsi="Verdana"/>
          <w:sz w:val="18"/>
          <w:szCs w:val="18"/>
        </w:rPr>
        <w:t xml:space="preserve">ITIL, mejores prácticas para servicios de TI con un enfoque de procesos de </w:t>
      </w:r>
      <w:proofErr w:type="spellStart"/>
      <w:r w:rsidRPr="008C1981">
        <w:rPr>
          <w:rFonts w:ascii="Verdana" w:hAnsi="Verdana"/>
          <w:sz w:val="18"/>
          <w:szCs w:val="18"/>
        </w:rPr>
        <w:t>TI.</w:t>
      </w:r>
      <w:proofErr w:type="spellEnd"/>
    </w:p>
    <w:p w:rsidR="00773D4D" w:rsidRPr="008C1981" w:rsidRDefault="006B081A" w:rsidP="006B081A">
      <w:pPr>
        <w:jc w:val="both"/>
        <w:rPr>
          <w:rFonts w:ascii="Verdana" w:hAnsi="Verdana"/>
          <w:sz w:val="18"/>
          <w:szCs w:val="18"/>
        </w:rPr>
      </w:pPr>
      <w:proofErr w:type="spellStart"/>
      <w:r w:rsidRPr="008C1981">
        <w:rPr>
          <w:rFonts w:ascii="Verdana" w:hAnsi="Verdana"/>
          <w:sz w:val="18"/>
          <w:szCs w:val="18"/>
        </w:rPr>
        <w:t>The</w:t>
      </w:r>
      <w:proofErr w:type="spellEnd"/>
      <w:r w:rsidRPr="008C1981">
        <w:rPr>
          <w:rFonts w:ascii="Verdana" w:hAnsi="Verdana"/>
          <w:sz w:val="18"/>
          <w:szCs w:val="18"/>
        </w:rPr>
        <w:t xml:space="preserve"> Open </w:t>
      </w:r>
      <w:proofErr w:type="spellStart"/>
      <w:r w:rsidRPr="008C1981">
        <w:rPr>
          <w:rFonts w:ascii="Verdana" w:hAnsi="Verdana"/>
          <w:sz w:val="18"/>
          <w:szCs w:val="18"/>
        </w:rPr>
        <w:t>Group</w:t>
      </w:r>
      <w:proofErr w:type="spellEnd"/>
      <w:r w:rsidRPr="008C1981">
        <w:rPr>
          <w:rFonts w:ascii="Verdana" w:hAnsi="Verdana"/>
          <w:sz w:val="18"/>
          <w:szCs w:val="18"/>
        </w:rPr>
        <w:t xml:space="preserve"> </w:t>
      </w:r>
      <w:proofErr w:type="spellStart"/>
      <w:r w:rsidRPr="008C1981">
        <w:rPr>
          <w:rFonts w:ascii="Verdana" w:hAnsi="Verdana"/>
          <w:sz w:val="18"/>
          <w:szCs w:val="18"/>
        </w:rPr>
        <w:t>Architecture</w:t>
      </w:r>
      <w:proofErr w:type="spellEnd"/>
      <w:r w:rsidRPr="008C1981">
        <w:rPr>
          <w:rFonts w:ascii="Verdana" w:hAnsi="Verdana"/>
          <w:sz w:val="18"/>
          <w:szCs w:val="18"/>
        </w:rPr>
        <w:t xml:space="preserve"> Framework (TOGAF), que proporciona un enfoque para el diseño, planificación, implementación y gobierno de una arquitectura empresarial de información. La familia ISO-27000, enfocada en el tema de seguridad informática con el establecimiento de un sistema de gestión de seguridad de la información (SGSI) y los controles asociados.</w:t>
      </w:r>
      <w:r w:rsidR="008C1981" w:rsidRPr="008C1981">
        <w:rPr>
          <w:rFonts w:ascii="Verdana" w:hAnsi="Verdana"/>
          <w:sz w:val="18"/>
          <w:szCs w:val="18"/>
        </w:rPr>
        <w:t xml:space="preserve"> </w:t>
      </w:r>
      <w:r w:rsidRPr="008C1981">
        <w:rPr>
          <w:rFonts w:ascii="Verdana" w:hAnsi="Verdana"/>
          <w:sz w:val="18"/>
          <w:szCs w:val="18"/>
        </w:rPr>
        <w:t>La idea de contar con todo lo anterior es que las empresas utilicen Cobit como un marco integrador de g</w:t>
      </w:r>
      <w:r w:rsidR="008C1981" w:rsidRPr="008C1981">
        <w:rPr>
          <w:rFonts w:ascii="Verdana" w:hAnsi="Verdana"/>
          <w:sz w:val="18"/>
          <w:szCs w:val="18"/>
        </w:rPr>
        <w:t>obierno y administración de TI.</w:t>
      </w:r>
    </w:p>
    <w:p w:rsidR="008C1981" w:rsidRPr="008C1981" w:rsidRDefault="006B081A" w:rsidP="006B081A">
      <w:pPr>
        <w:jc w:val="both"/>
        <w:rPr>
          <w:rFonts w:ascii="Verdana" w:hAnsi="Verdana"/>
          <w:sz w:val="18"/>
          <w:szCs w:val="18"/>
        </w:rPr>
      </w:pPr>
      <w:r w:rsidRPr="008C1981">
        <w:rPr>
          <w:rFonts w:ascii="Verdana" w:hAnsi="Verdana"/>
          <w:b/>
          <w:sz w:val="18"/>
          <w:szCs w:val="18"/>
        </w:rPr>
        <w:t>Principio 4 (habilitar un enfoque holístico):</w:t>
      </w:r>
      <w:r w:rsidRPr="008C1981">
        <w:rPr>
          <w:rFonts w:ascii="Verdana" w:hAnsi="Verdana"/>
          <w:sz w:val="18"/>
          <w:szCs w:val="18"/>
        </w:rPr>
        <w:t xml:space="preserve"> </w:t>
      </w:r>
    </w:p>
    <w:p w:rsidR="006B081A" w:rsidRPr="008C1981" w:rsidRDefault="008C1981" w:rsidP="006B081A">
      <w:pPr>
        <w:jc w:val="both"/>
        <w:rPr>
          <w:rFonts w:ascii="Verdana" w:hAnsi="Verdana"/>
          <w:sz w:val="18"/>
          <w:szCs w:val="18"/>
        </w:rPr>
      </w:pPr>
      <w:r w:rsidRPr="008C1981">
        <w:rPr>
          <w:rFonts w:ascii="Verdana" w:hAnsi="Verdana"/>
          <w:sz w:val="18"/>
          <w:szCs w:val="18"/>
        </w:rPr>
        <w:t>E</w:t>
      </w:r>
      <w:r w:rsidR="006B081A" w:rsidRPr="008C1981">
        <w:rPr>
          <w:rFonts w:ascii="Verdana" w:hAnsi="Verdana"/>
          <w:sz w:val="18"/>
          <w:szCs w:val="18"/>
        </w:rPr>
        <w:t>n esta nueva versión se introducen los habilitadores, que son factores mínimos a cumplir para que el gobierno y la administración empresarial de TI funcionen de manera correcta al ayudar a optimizar la información, la inversión en tecnología y su uso para el beneficio de todos los interesados. Se habla de un enfoque holístico porque los habilitadores introducidos caen en siete categorías diferentes:</w:t>
      </w:r>
    </w:p>
    <w:p w:rsidR="006B081A" w:rsidRPr="008C1981" w:rsidRDefault="008C1981" w:rsidP="006B081A">
      <w:pPr>
        <w:jc w:val="both"/>
        <w:rPr>
          <w:rFonts w:ascii="Verdana" w:hAnsi="Verdana"/>
          <w:sz w:val="18"/>
          <w:szCs w:val="18"/>
        </w:rPr>
      </w:pPr>
      <w:r w:rsidRPr="008C1981">
        <w:rPr>
          <w:rFonts w:ascii="Verdana" w:hAnsi="Verdana"/>
          <w:noProof/>
          <w:sz w:val="18"/>
          <w:szCs w:val="18"/>
          <w:lang w:eastAsia="es-GT"/>
        </w:rPr>
        <w:drawing>
          <wp:anchor distT="0" distB="0" distL="114300" distR="114300" simplePos="0" relativeHeight="251662336" behindDoc="0" locked="0" layoutInCell="1" allowOverlap="1" wp14:anchorId="37B7F1F0" wp14:editId="26C9545D">
            <wp:simplePos x="0" y="0"/>
            <wp:positionH relativeFrom="column">
              <wp:posOffset>1687195</wp:posOffset>
            </wp:positionH>
            <wp:positionV relativeFrom="paragraph">
              <wp:posOffset>6496</wp:posOffset>
            </wp:positionV>
            <wp:extent cx="1845945" cy="1249680"/>
            <wp:effectExtent l="0" t="0" r="1905" b="7620"/>
            <wp:wrapSquare wrapText="bothSides"/>
            <wp:docPr id="6" name="Imagen 6" descr="ricardo-ramirez-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cardo-ramirez-fig-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5945" cy="1249680"/>
                    </a:xfrm>
                    <a:prstGeom prst="rect">
                      <a:avLst/>
                    </a:prstGeom>
                    <a:noFill/>
                    <a:ln>
                      <a:noFill/>
                    </a:ln>
                  </pic:spPr>
                </pic:pic>
              </a:graphicData>
            </a:graphic>
          </wp:anchor>
        </w:drawing>
      </w:r>
    </w:p>
    <w:p w:rsidR="008C1981" w:rsidRPr="008C1981" w:rsidRDefault="008C1981" w:rsidP="006B081A">
      <w:pPr>
        <w:jc w:val="both"/>
        <w:rPr>
          <w:rFonts w:ascii="Verdana" w:hAnsi="Verdana"/>
          <w:sz w:val="18"/>
          <w:szCs w:val="18"/>
        </w:rPr>
      </w:pPr>
    </w:p>
    <w:p w:rsidR="008C1981" w:rsidRPr="008C1981" w:rsidRDefault="008C1981" w:rsidP="006B081A">
      <w:pPr>
        <w:jc w:val="both"/>
        <w:rPr>
          <w:rFonts w:ascii="Verdana" w:hAnsi="Verdana"/>
          <w:sz w:val="18"/>
          <w:szCs w:val="18"/>
        </w:rPr>
      </w:pPr>
    </w:p>
    <w:p w:rsidR="008C1981" w:rsidRDefault="008C1981" w:rsidP="006B081A">
      <w:pPr>
        <w:jc w:val="both"/>
        <w:rPr>
          <w:rFonts w:ascii="Verdana" w:hAnsi="Verdana"/>
          <w:sz w:val="18"/>
          <w:szCs w:val="18"/>
        </w:rPr>
      </w:pPr>
    </w:p>
    <w:p w:rsidR="008C1981" w:rsidRDefault="008C1981" w:rsidP="006B081A">
      <w:pPr>
        <w:jc w:val="both"/>
        <w:rPr>
          <w:rFonts w:ascii="Verdana" w:hAnsi="Verdana"/>
          <w:sz w:val="18"/>
          <w:szCs w:val="18"/>
        </w:rPr>
      </w:pPr>
    </w:p>
    <w:p w:rsidR="008C1981" w:rsidRPr="008C1981" w:rsidRDefault="008C1981" w:rsidP="006B081A">
      <w:pPr>
        <w:jc w:val="both"/>
        <w:rPr>
          <w:rFonts w:ascii="Verdana" w:hAnsi="Verdana"/>
          <w:sz w:val="18"/>
          <w:szCs w:val="18"/>
        </w:rPr>
      </w:pPr>
    </w:p>
    <w:p w:rsidR="008C1981"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lastRenderedPageBreak/>
        <w:t>Principios, políticas y marcos. Son las pautas a seguir para traducir el comportamiento deseado en una guía práctica para la gestión del día a día.</w:t>
      </w:r>
    </w:p>
    <w:p w:rsidR="008C1981"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t>Procesos. Describen de forma estructurada y organizada un conjunto de actividades para lograr ciertos objetivos y producir un conjunto de salidas en la búsqueda de las metas de TI.</w:t>
      </w:r>
    </w:p>
    <w:p w:rsidR="008C1981"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t xml:space="preserve"> Estructuras organizacionales. Son las entidades clave de toma de decisiones en una organización.</w:t>
      </w:r>
    </w:p>
    <w:p w:rsidR="008C1981"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t>Cultura, ética y comportamiento. Tanto de los individuos como de la organización (cuestión a menudo subestimada como factor de éxito en las actividades de gobierno y gestión, principalmente en lo correspondiente a trabajo en equipo, transferencia de conocimiento, valores, etcétera).</w:t>
      </w:r>
    </w:p>
    <w:p w:rsidR="008C1981"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t>La información. Se refiere a toda la información producida y utilizada por la empresa. Es necesaria para mantener funcionando la organización y, en el plano operativo, la información es el producto clave de la propia empresa, por lo que habrá que implantar controles para su seguridad.</w:t>
      </w:r>
    </w:p>
    <w:p w:rsidR="008C1981"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t>Servicios, infraestructura y aplicaciones. Incluyen la infraestructura, tecnología y aplicaciones que proporcionan a la empresa servicios y procesamiento d</w:t>
      </w:r>
      <w:r w:rsidR="008C1981" w:rsidRPr="008C1981">
        <w:rPr>
          <w:rFonts w:ascii="Verdana" w:hAnsi="Verdana"/>
          <w:sz w:val="18"/>
          <w:szCs w:val="18"/>
        </w:rPr>
        <w:t>e la información.</w:t>
      </w:r>
    </w:p>
    <w:p w:rsidR="006B081A" w:rsidRPr="008C1981" w:rsidRDefault="006B081A" w:rsidP="006B081A">
      <w:pPr>
        <w:pStyle w:val="Prrafodelista"/>
        <w:numPr>
          <w:ilvl w:val="0"/>
          <w:numId w:val="8"/>
        </w:numPr>
        <w:jc w:val="both"/>
        <w:rPr>
          <w:rFonts w:ascii="Verdana" w:hAnsi="Verdana"/>
          <w:sz w:val="18"/>
          <w:szCs w:val="18"/>
        </w:rPr>
      </w:pPr>
      <w:r w:rsidRPr="008C1981">
        <w:rPr>
          <w:rFonts w:ascii="Verdana" w:hAnsi="Verdana"/>
          <w:sz w:val="18"/>
          <w:szCs w:val="18"/>
        </w:rPr>
        <w:t>Personas, habilidades y competencias. Son necesarios para completar con éxito todas las actividades. En este sentido, Cobit incluye una matriz RACI para todos sus procesos, considerando de manera genérica una base de perfiles de puestos bastante completa.</w:t>
      </w:r>
    </w:p>
    <w:p w:rsidR="006B081A" w:rsidRDefault="006B081A" w:rsidP="006B081A">
      <w:pPr>
        <w:jc w:val="both"/>
      </w:pPr>
    </w:p>
    <w:p w:rsidR="008C1981" w:rsidRDefault="006B081A" w:rsidP="006B081A">
      <w:pPr>
        <w:jc w:val="both"/>
      </w:pPr>
      <w:r w:rsidRPr="008C1981">
        <w:rPr>
          <w:b/>
        </w:rPr>
        <w:t>Principio 5 (separar gobierno de administración):</w:t>
      </w:r>
      <w:r>
        <w:t xml:space="preserve"> </w:t>
      </w:r>
    </w:p>
    <w:p w:rsidR="006B081A" w:rsidRPr="006B081A" w:rsidRDefault="006B081A" w:rsidP="00F63558">
      <w:pPr>
        <w:jc w:val="both"/>
      </w:pPr>
      <w:r>
        <w:t>Cobit 5 reconoce que estas dos disciplinas incluyen tipos de actividades y estructuras organizacionales diferentes, que sirven para diferentes propósitos. El gobierno es responsabilidad de la junta directiva, mientras que la administración es responsabilidad de la alta administración, bajo el liderazgo del CEO. Por eso se agregó un dominio particular enfocado a gobierno y se actualizaron los cuatro que ya tenía para la administració</w:t>
      </w:r>
      <w:r w:rsidR="00F63558">
        <w:t>n.</w:t>
      </w:r>
    </w:p>
    <w:p w:rsidR="008C1981" w:rsidRPr="008C1981" w:rsidRDefault="008C1981" w:rsidP="008C1981">
      <w:pPr>
        <w:pStyle w:val="Ttulo1"/>
        <w:rPr>
          <w:rFonts w:ascii="Verdana" w:hAnsi="Verdana"/>
          <w:sz w:val="20"/>
          <w:szCs w:val="20"/>
          <w:lang w:eastAsia="es-GT"/>
        </w:rPr>
      </w:pPr>
      <w:r w:rsidRPr="008C1981">
        <w:rPr>
          <w:rStyle w:val="Textoennegrita"/>
          <w:rFonts w:ascii="Verdana" w:hAnsi="Verdana"/>
          <w:bCs w:val="0"/>
          <w:sz w:val="20"/>
          <w:szCs w:val="20"/>
        </w:rPr>
        <w:t>DOMINIO “EVALUAR, DIRIGIR Y MONITOREAR”</w:t>
      </w:r>
    </w:p>
    <w:p w:rsidR="008C1981" w:rsidRPr="008C1981" w:rsidRDefault="008C1981" w:rsidP="008C1981">
      <w:pPr>
        <w:pStyle w:val="NormalWeb"/>
        <w:jc w:val="both"/>
        <w:rPr>
          <w:rFonts w:ascii="Verdana" w:hAnsi="Verdana"/>
          <w:sz w:val="18"/>
          <w:szCs w:val="18"/>
        </w:rPr>
      </w:pPr>
      <w:r w:rsidRPr="008C1981">
        <w:rPr>
          <w:rFonts w:ascii="Verdana" w:hAnsi="Verdana"/>
          <w:sz w:val="18"/>
          <w:szCs w:val="18"/>
        </w:rPr>
        <w:t>El pentagrama de gobierno de TI, que era un pilar en Cobit 4.1, se transformó en el nuevo dominio “Evaluar, dirigir y monitorear”, que contiene cinco áreas de enfoque del gobierno de TI:</w:t>
      </w:r>
    </w:p>
    <w:p w:rsidR="008C1981" w:rsidRPr="008C1981" w:rsidRDefault="008C1981" w:rsidP="008C1981">
      <w:pPr>
        <w:numPr>
          <w:ilvl w:val="0"/>
          <w:numId w:val="9"/>
        </w:numPr>
        <w:spacing w:before="100" w:beforeAutospacing="1" w:after="100" w:afterAutospacing="1" w:line="240" w:lineRule="auto"/>
        <w:jc w:val="both"/>
        <w:rPr>
          <w:rFonts w:ascii="Verdana" w:hAnsi="Verdana"/>
          <w:sz w:val="18"/>
          <w:szCs w:val="18"/>
        </w:rPr>
      </w:pPr>
      <w:r w:rsidRPr="008C1981">
        <w:rPr>
          <w:rFonts w:ascii="Verdana" w:hAnsi="Verdana"/>
          <w:sz w:val="18"/>
          <w:szCs w:val="18"/>
        </w:rPr>
        <w:t>Alineación estratégica se convirtió en el proceso número uno de este nuevo dominio: “definir y mantener el marco de gobierno”, mediante políticas y prácticas de evaluación y dirección de procesos.</w:t>
      </w:r>
    </w:p>
    <w:p w:rsidR="008C1981" w:rsidRPr="008C1981" w:rsidRDefault="008C1981" w:rsidP="008C1981">
      <w:pPr>
        <w:numPr>
          <w:ilvl w:val="0"/>
          <w:numId w:val="9"/>
        </w:numPr>
        <w:spacing w:before="100" w:beforeAutospacing="1" w:after="100" w:afterAutospacing="1" w:line="240" w:lineRule="auto"/>
        <w:jc w:val="both"/>
        <w:rPr>
          <w:rFonts w:ascii="Verdana" w:hAnsi="Verdana"/>
          <w:sz w:val="18"/>
          <w:szCs w:val="18"/>
        </w:rPr>
      </w:pPr>
      <w:r w:rsidRPr="008C1981">
        <w:rPr>
          <w:rFonts w:ascii="Verdana" w:hAnsi="Verdana"/>
          <w:sz w:val="18"/>
          <w:szCs w:val="18"/>
        </w:rPr>
        <w:t>Entrega de valor quedó como el proceso dos “Garantizar la entrega de beneficios”.</w:t>
      </w:r>
    </w:p>
    <w:p w:rsidR="008C1981" w:rsidRPr="008C1981" w:rsidRDefault="008C1981" w:rsidP="008C1981">
      <w:pPr>
        <w:numPr>
          <w:ilvl w:val="0"/>
          <w:numId w:val="9"/>
        </w:numPr>
        <w:spacing w:before="100" w:beforeAutospacing="1" w:after="100" w:afterAutospacing="1" w:line="240" w:lineRule="auto"/>
        <w:jc w:val="both"/>
        <w:rPr>
          <w:rFonts w:ascii="Verdana" w:hAnsi="Verdana"/>
          <w:sz w:val="18"/>
          <w:szCs w:val="18"/>
        </w:rPr>
      </w:pPr>
      <w:r w:rsidRPr="008C1981">
        <w:rPr>
          <w:rFonts w:ascii="Verdana" w:hAnsi="Verdana"/>
          <w:sz w:val="18"/>
          <w:szCs w:val="18"/>
        </w:rPr>
        <w:t>Administración de recursos evolucionó en el proceso cuatro (“Garantizar la optimización de los recursos”).</w:t>
      </w:r>
    </w:p>
    <w:p w:rsidR="008C1981" w:rsidRPr="008C1981" w:rsidRDefault="008C1981" w:rsidP="008C1981">
      <w:pPr>
        <w:numPr>
          <w:ilvl w:val="0"/>
          <w:numId w:val="9"/>
        </w:numPr>
        <w:spacing w:before="100" w:beforeAutospacing="1" w:after="100" w:afterAutospacing="1" w:line="240" w:lineRule="auto"/>
        <w:jc w:val="both"/>
        <w:rPr>
          <w:rFonts w:ascii="Verdana" w:hAnsi="Verdana"/>
          <w:sz w:val="18"/>
          <w:szCs w:val="18"/>
        </w:rPr>
      </w:pPr>
      <w:r w:rsidRPr="008C1981">
        <w:rPr>
          <w:rFonts w:ascii="Verdana" w:hAnsi="Verdana"/>
          <w:sz w:val="18"/>
          <w:szCs w:val="18"/>
        </w:rPr>
        <w:t>Administración de riesgos es ahora el proceso tres correspondiente a “Asegurar la optimización de los niveles de riesgos”.</w:t>
      </w:r>
    </w:p>
    <w:p w:rsidR="008C1981" w:rsidRPr="008C1981" w:rsidRDefault="008C1981" w:rsidP="008C1981">
      <w:pPr>
        <w:numPr>
          <w:ilvl w:val="0"/>
          <w:numId w:val="9"/>
        </w:numPr>
        <w:spacing w:before="100" w:beforeAutospacing="1" w:after="100" w:afterAutospacing="1" w:line="240" w:lineRule="auto"/>
        <w:jc w:val="both"/>
        <w:rPr>
          <w:rFonts w:ascii="Verdana" w:hAnsi="Verdana"/>
          <w:sz w:val="18"/>
          <w:szCs w:val="18"/>
        </w:rPr>
      </w:pPr>
      <w:r w:rsidRPr="008C1981">
        <w:rPr>
          <w:rFonts w:ascii="Verdana" w:hAnsi="Verdana"/>
          <w:sz w:val="18"/>
          <w:szCs w:val="18"/>
        </w:rPr>
        <w:t>Medición del desempeño, finalmente, corresponde ahora al proceso cinco “Asegurar la transparencia para los interesados”.</w:t>
      </w:r>
    </w:p>
    <w:p w:rsidR="00ED2767" w:rsidRPr="00ED2767" w:rsidRDefault="00ED2767" w:rsidP="006B081A">
      <w:pPr>
        <w:jc w:val="both"/>
        <w:rPr>
          <w:rFonts w:ascii="Verdana" w:hAnsi="Verdana"/>
        </w:rPr>
      </w:pPr>
    </w:p>
    <w:p w:rsidR="00F63558" w:rsidRPr="00F63558" w:rsidRDefault="00F63558" w:rsidP="00F63558">
      <w:pPr>
        <w:pStyle w:val="Ttulo1"/>
        <w:rPr>
          <w:rFonts w:ascii="Verdana" w:hAnsi="Verdana"/>
          <w:sz w:val="20"/>
          <w:szCs w:val="20"/>
          <w:lang w:eastAsia="es-GT"/>
        </w:rPr>
      </w:pPr>
      <w:r w:rsidRPr="00F63558">
        <w:rPr>
          <w:rStyle w:val="Textoennegrita"/>
          <w:rFonts w:ascii="Verdana" w:hAnsi="Verdana"/>
          <w:bCs w:val="0"/>
          <w:sz w:val="20"/>
          <w:szCs w:val="20"/>
        </w:rPr>
        <w:t>MODELO DE REFERENCIA DE PROCESOS</w:t>
      </w:r>
    </w:p>
    <w:p w:rsidR="00F63558" w:rsidRPr="00F63558" w:rsidRDefault="00F63558" w:rsidP="00F63558">
      <w:pPr>
        <w:pStyle w:val="NormalWeb"/>
        <w:jc w:val="both"/>
        <w:rPr>
          <w:rFonts w:ascii="Verdana" w:hAnsi="Verdana"/>
          <w:sz w:val="18"/>
          <w:szCs w:val="18"/>
        </w:rPr>
      </w:pPr>
      <w:r w:rsidRPr="00F63558">
        <w:rPr>
          <w:rFonts w:ascii="Verdana" w:hAnsi="Verdana"/>
          <w:sz w:val="18"/>
          <w:szCs w:val="18"/>
        </w:rPr>
        <w:t>El nuevo modelo de referencia se basa en cinco dominios, con uno enfocado, como ya lo he mencionado antes, exclusivamente a la gobernabilidad. Los otros cuatro se enfocan a la administración y prácticamente son los mismos de Cobit 4; sin embargo, cambia el número y contenido de sus procesos por lo que también cambia el número de los objetivos de control de alto nivel, los cuales de ser treinta y cuatro ahora se convierten en treinta y siete</w:t>
      </w:r>
    </w:p>
    <w:p w:rsidR="00F63558" w:rsidRDefault="00F63558" w:rsidP="00F63558">
      <w:pPr>
        <w:pStyle w:val="NormalWeb"/>
        <w:jc w:val="center"/>
      </w:pPr>
      <w:r>
        <w:rPr>
          <w:noProof/>
        </w:rPr>
        <w:lastRenderedPageBreak/>
        <w:drawing>
          <wp:inline distT="0" distB="0" distL="0" distR="0">
            <wp:extent cx="5970270" cy="3288030"/>
            <wp:effectExtent l="0" t="0" r="0" b="7620"/>
            <wp:docPr id="8" name="Imagen 8" descr="ricardo-ramirez-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cardo-ramirez-fi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270" cy="3288030"/>
                    </a:xfrm>
                    <a:prstGeom prst="rect">
                      <a:avLst/>
                    </a:prstGeom>
                    <a:noFill/>
                    <a:ln>
                      <a:noFill/>
                    </a:ln>
                  </pic:spPr>
                </pic:pic>
              </a:graphicData>
            </a:graphic>
          </wp:inline>
        </w:drawing>
      </w:r>
    </w:p>
    <w:p w:rsidR="00F63558" w:rsidRPr="00F63558" w:rsidRDefault="00F63558" w:rsidP="00F63558">
      <w:pPr>
        <w:pStyle w:val="NormalWeb"/>
        <w:jc w:val="both"/>
        <w:rPr>
          <w:rFonts w:ascii="Verdana" w:hAnsi="Verdana"/>
          <w:sz w:val="18"/>
          <w:szCs w:val="18"/>
        </w:rPr>
      </w:pPr>
      <w:r w:rsidRPr="00F63558">
        <w:rPr>
          <w:rFonts w:ascii="Verdana" w:hAnsi="Verdana"/>
          <w:sz w:val="18"/>
          <w:szCs w:val="18"/>
        </w:rPr>
        <w:t>Los cinco dominios del modelo de referencia de procesos son los siguientes:</w:t>
      </w:r>
    </w:p>
    <w:p w:rsidR="00F63558" w:rsidRPr="00F63558" w:rsidRDefault="00F63558" w:rsidP="00F63558">
      <w:pPr>
        <w:numPr>
          <w:ilvl w:val="0"/>
          <w:numId w:val="10"/>
        </w:numPr>
        <w:spacing w:before="100" w:beforeAutospacing="1" w:after="100" w:afterAutospacing="1" w:line="240" w:lineRule="auto"/>
        <w:jc w:val="both"/>
        <w:rPr>
          <w:rFonts w:ascii="Verdana" w:hAnsi="Verdana"/>
          <w:sz w:val="18"/>
          <w:szCs w:val="18"/>
        </w:rPr>
      </w:pPr>
      <w:r w:rsidRPr="00F63558">
        <w:rPr>
          <w:rFonts w:ascii="Verdana" w:hAnsi="Verdana"/>
          <w:sz w:val="18"/>
          <w:szCs w:val="18"/>
        </w:rPr>
        <w:t>Evaluar, dirigir y monitorear.</w:t>
      </w:r>
    </w:p>
    <w:p w:rsidR="00F63558" w:rsidRPr="00F63558" w:rsidRDefault="00F63558" w:rsidP="00F63558">
      <w:pPr>
        <w:numPr>
          <w:ilvl w:val="0"/>
          <w:numId w:val="10"/>
        </w:numPr>
        <w:spacing w:before="100" w:beforeAutospacing="1" w:after="100" w:afterAutospacing="1" w:line="240" w:lineRule="auto"/>
        <w:jc w:val="both"/>
        <w:rPr>
          <w:rFonts w:ascii="Verdana" w:hAnsi="Verdana"/>
          <w:sz w:val="18"/>
          <w:szCs w:val="18"/>
        </w:rPr>
      </w:pPr>
      <w:r w:rsidRPr="00F63558">
        <w:rPr>
          <w:rFonts w:ascii="Verdana" w:hAnsi="Verdana"/>
          <w:sz w:val="18"/>
          <w:szCs w:val="18"/>
        </w:rPr>
        <w:t>Alinear, planear y organizar.</w:t>
      </w:r>
    </w:p>
    <w:p w:rsidR="00F63558" w:rsidRPr="00F63558" w:rsidRDefault="00F63558" w:rsidP="00F63558">
      <w:pPr>
        <w:numPr>
          <w:ilvl w:val="0"/>
          <w:numId w:val="10"/>
        </w:numPr>
        <w:spacing w:before="100" w:beforeAutospacing="1" w:after="100" w:afterAutospacing="1" w:line="240" w:lineRule="auto"/>
        <w:jc w:val="both"/>
        <w:rPr>
          <w:rFonts w:ascii="Verdana" w:hAnsi="Verdana"/>
          <w:sz w:val="18"/>
          <w:szCs w:val="18"/>
        </w:rPr>
      </w:pPr>
      <w:r w:rsidRPr="00F63558">
        <w:rPr>
          <w:rFonts w:ascii="Verdana" w:hAnsi="Verdana"/>
          <w:sz w:val="18"/>
          <w:szCs w:val="18"/>
        </w:rPr>
        <w:t>Construir, adquirir e implementar.</w:t>
      </w:r>
    </w:p>
    <w:p w:rsidR="00F63558" w:rsidRPr="00F63558" w:rsidRDefault="00F63558" w:rsidP="00F63558">
      <w:pPr>
        <w:numPr>
          <w:ilvl w:val="0"/>
          <w:numId w:val="10"/>
        </w:numPr>
        <w:spacing w:before="100" w:beforeAutospacing="1" w:after="100" w:afterAutospacing="1" w:line="240" w:lineRule="auto"/>
        <w:jc w:val="both"/>
        <w:rPr>
          <w:rFonts w:ascii="Verdana" w:hAnsi="Verdana"/>
          <w:sz w:val="18"/>
          <w:szCs w:val="18"/>
        </w:rPr>
      </w:pPr>
      <w:r w:rsidRPr="00F63558">
        <w:rPr>
          <w:rFonts w:ascii="Verdana" w:hAnsi="Verdana"/>
          <w:sz w:val="18"/>
          <w:szCs w:val="18"/>
        </w:rPr>
        <w:t>Entregar, servicio y soporte.</w:t>
      </w:r>
    </w:p>
    <w:p w:rsidR="00F63558" w:rsidRDefault="00F63558" w:rsidP="00F63558">
      <w:pPr>
        <w:numPr>
          <w:ilvl w:val="0"/>
          <w:numId w:val="10"/>
        </w:numPr>
        <w:spacing w:before="100" w:beforeAutospacing="1" w:after="100" w:afterAutospacing="1" w:line="240" w:lineRule="auto"/>
        <w:jc w:val="both"/>
      </w:pPr>
      <w:r w:rsidRPr="00F63558">
        <w:rPr>
          <w:rFonts w:ascii="Verdana" w:hAnsi="Verdana"/>
          <w:sz w:val="18"/>
          <w:szCs w:val="18"/>
        </w:rPr>
        <w:t>Monitorear, evaluar y valorar</w:t>
      </w:r>
      <w:r>
        <w:t>.</w:t>
      </w:r>
    </w:p>
    <w:p w:rsidR="00ED2767" w:rsidRPr="00ED2767" w:rsidRDefault="00ED2767" w:rsidP="006B081A">
      <w:pPr>
        <w:jc w:val="both"/>
        <w:rPr>
          <w:rFonts w:ascii="Verdana" w:hAnsi="Verdana"/>
        </w:rPr>
      </w:pPr>
    </w:p>
    <w:p w:rsidR="003352D9" w:rsidRPr="003352D9" w:rsidRDefault="003352D9" w:rsidP="003352D9">
      <w:pPr>
        <w:pStyle w:val="Ttulo1"/>
        <w:rPr>
          <w:rFonts w:ascii="Verdana" w:hAnsi="Verdana"/>
          <w:sz w:val="20"/>
          <w:szCs w:val="20"/>
          <w:lang w:eastAsia="es-GT"/>
        </w:rPr>
      </w:pPr>
      <w:r w:rsidRPr="003352D9">
        <w:rPr>
          <w:rStyle w:val="Textoennegrita"/>
          <w:rFonts w:ascii="Verdana" w:hAnsi="Verdana"/>
          <w:bCs w:val="0"/>
          <w:sz w:val="20"/>
          <w:szCs w:val="20"/>
        </w:rPr>
        <w:t>MODELO DE MADUREZ DE PROCESOS</w:t>
      </w:r>
    </w:p>
    <w:p w:rsidR="003352D9" w:rsidRPr="003352D9" w:rsidRDefault="003352D9" w:rsidP="003352D9">
      <w:pPr>
        <w:pStyle w:val="NormalWeb"/>
        <w:jc w:val="both"/>
        <w:rPr>
          <w:rFonts w:ascii="Verdana" w:hAnsi="Verdana"/>
          <w:sz w:val="18"/>
          <w:szCs w:val="18"/>
        </w:rPr>
      </w:pPr>
      <w:r w:rsidRPr="003352D9">
        <w:rPr>
          <w:rFonts w:ascii="Verdana" w:hAnsi="Verdana"/>
          <w:sz w:val="18"/>
          <w:szCs w:val="18"/>
        </w:rPr>
        <w:t>Otra novedad muy importante es que ahora el modelo de madurez de los procesos se basa en el estándar ISO-15504, proporcionando un nivel de evaluación más acorde a los procesos de TI y aumentando el nivel de exigencia respecto a lo que debe cumplir cada proceso para ascender de nivel, dado que el estándar mencionado plantea que se deben cumplir los nueve atributos definidos para cada proceso como requisito para acreditar dicho grado de madurez.</w:t>
      </w:r>
    </w:p>
    <w:p w:rsidR="003352D9" w:rsidRPr="003352D9" w:rsidRDefault="003352D9" w:rsidP="003352D9">
      <w:pPr>
        <w:pStyle w:val="NormalWeb"/>
        <w:jc w:val="both"/>
        <w:rPr>
          <w:rFonts w:ascii="Verdana" w:hAnsi="Verdana"/>
          <w:sz w:val="18"/>
          <w:szCs w:val="18"/>
        </w:rPr>
      </w:pPr>
      <w:r w:rsidRPr="003352D9">
        <w:rPr>
          <w:rFonts w:ascii="Verdana" w:hAnsi="Verdana"/>
          <w:sz w:val="18"/>
          <w:szCs w:val="18"/>
        </w:rPr>
        <w:t>Una evaluación realizada bajo este nuevo modelo no es comparable y no puede ser mezclada con evaluaciones ejecutadas bajo el modelo de COBIT 4, dado que se distorsionarían los resultados por ser distintas las exigencias. En general, aplicando el nuevo modelo de Cobit 5 que es más exigente, deberían esperarse resultados con un menor nivel de madurez.</w:t>
      </w:r>
    </w:p>
    <w:p w:rsidR="003352D9" w:rsidRPr="003352D9" w:rsidRDefault="003352D9" w:rsidP="003352D9">
      <w:pPr>
        <w:pStyle w:val="NormalWeb"/>
        <w:jc w:val="both"/>
        <w:rPr>
          <w:rFonts w:ascii="Verdana" w:hAnsi="Verdana"/>
          <w:sz w:val="18"/>
          <w:szCs w:val="18"/>
        </w:rPr>
      </w:pPr>
      <w:r w:rsidRPr="003352D9">
        <w:rPr>
          <w:rFonts w:ascii="Verdana" w:hAnsi="Verdana"/>
          <w:sz w:val="18"/>
          <w:szCs w:val="18"/>
        </w:rPr>
        <w:t>Los niveles de madurez definidos en Cobit 5 son:</w:t>
      </w:r>
    </w:p>
    <w:p w:rsidR="003352D9" w:rsidRDefault="003352D9" w:rsidP="003352D9">
      <w:pPr>
        <w:pStyle w:val="NormalWeb"/>
        <w:numPr>
          <w:ilvl w:val="0"/>
          <w:numId w:val="14"/>
        </w:numPr>
        <w:spacing w:line="240" w:lineRule="atLeast"/>
        <w:rPr>
          <w:rFonts w:ascii="Verdana" w:hAnsi="Verdana"/>
          <w:sz w:val="18"/>
          <w:szCs w:val="18"/>
        </w:rPr>
      </w:pPr>
      <w:r w:rsidRPr="003352D9">
        <w:rPr>
          <w:rFonts w:ascii="Verdana" w:hAnsi="Verdana"/>
          <w:sz w:val="18"/>
          <w:szCs w:val="18"/>
        </w:rPr>
        <w:t>Proceso incompleto</w:t>
      </w:r>
    </w:p>
    <w:p w:rsidR="003352D9" w:rsidRDefault="003352D9" w:rsidP="003352D9">
      <w:pPr>
        <w:pStyle w:val="NormalWeb"/>
        <w:numPr>
          <w:ilvl w:val="0"/>
          <w:numId w:val="14"/>
        </w:numPr>
        <w:spacing w:line="240" w:lineRule="atLeast"/>
        <w:rPr>
          <w:rFonts w:ascii="Verdana" w:hAnsi="Verdana"/>
          <w:sz w:val="18"/>
          <w:szCs w:val="18"/>
        </w:rPr>
      </w:pPr>
      <w:r w:rsidRPr="003352D9">
        <w:rPr>
          <w:rFonts w:ascii="Verdana" w:hAnsi="Verdana"/>
          <w:sz w:val="18"/>
          <w:szCs w:val="18"/>
        </w:rPr>
        <w:t>Proceso desarrollado.</w:t>
      </w:r>
    </w:p>
    <w:p w:rsidR="003352D9" w:rsidRDefault="003352D9" w:rsidP="003352D9">
      <w:pPr>
        <w:pStyle w:val="NormalWeb"/>
        <w:numPr>
          <w:ilvl w:val="0"/>
          <w:numId w:val="14"/>
        </w:numPr>
        <w:spacing w:line="240" w:lineRule="atLeast"/>
        <w:rPr>
          <w:rFonts w:ascii="Verdana" w:hAnsi="Verdana"/>
          <w:sz w:val="18"/>
          <w:szCs w:val="18"/>
        </w:rPr>
      </w:pPr>
      <w:r w:rsidRPr="003352D9">
        <w:rPr>
          <w:rFonts w:ascii="Verdana" w:hAnsi="Verdana"/>
          <w:sz w:val="18"/>
          <w:szCs w:val="18"/>
        </w:rPr>
        <w:t>Proceso administrado.</w:t>
      </w:r>
    </w:p>
    <w:p w:rsidR="003352D9" w:rsidRDefault="003352D9" w:rsidP="003352D9">
      <w:pPr>
        <w:pStyle w:val="NormalWeb"/>
        <w:numPr>
          <w:ilvl w:val="1"/>
          <w:numId w:val="14"/>
        </w:numPr>
        <w:spacing w:line="240" w:lineRule="atLeast"/>
        <w:rPr>
          <w:rFonts w:ascii="Verdana" w:hAnsi="Verdana"/>
          <w:sz w:val="18"/>
          <w:szCs w:val="18"/>
        </w:rPr>
      </w:pPr>
      <w:r w:rsidRPr="003352D9">
        <w:rPr>
          <w:rFonts w:ascii="Verdana" w:hAnsi="Verdana"/>
          <w:sz w:val="18"/>
          <w:szCs w:val="18"/>
        </w:rPr>
        <w:t>Administración del desempeño.</w:t>
      </w:r>
    </w:p>
    <w:p w:rsidR="003352D9" w:rsidRPr="003352D9" w:rsidRDefault="003352D9" w:rsidP="003352D9">
      <w:pPr>
        <w:pStyle w:val="NormalWeb"/>
        <w:numPr>
          <w:ilvl w:val="1"/>
          <w:numId w:val="14"/>
        </w:numPr>
        <w:spacing w:line="240" w:lineRule="atLeast"/>
        <w:rPr>
          <w:rFonts w:ascii="Verdana" w:hAnsi="Verdana"/>
          <w:sz w:val="18"/>
          <w:szCs w:val="18"/>
        </w:rPr>
      </w:pPr>
      <w:r w:rsidRPr="003352D9">
        <w:rPr>
          <w:rFonts w:ascii="Verdana" w:hAnsi="Verdana"/>
          <w:sz w:val="18"/>
          <w:szCs w:val="18"/>
        </w:rPr>
        <w:t>Administración del producto del trabajo.</w:t>
      </w:r>
    </w:p>
    <w:p w:rsidR="003352D9" w:rsidRDefault="003352D9" w:rsidP="003352D9">
      <w:pPr>
        <w:pStyle w:val="NormalWeb"/>
        <w:numPr>
          <w:ilvl w:val="0"/>
          <w:numId w:val="14"/>
        </w:numPr>
        <w:spacing w:line="240" w:lineRule="atLeast"/>
        <w:rPr>
          <w:rFonts w:ascii="Verdana" w:hAnsi="Verdana"/>
          <w:sz w:val="18"/>
          <w:szCs w:val="18"/>
        </w:rPr>
      </w:pPr>
      <w:r w:rsidRPr="003352D9">
        <w:rPr>
          <w:rFonts w:ascii="Verdana" w:hAnsi="Verdana"/>
          <w:sz w:val="18"/>
          <w:szCs w:val="18"/>
        </w:rPr>
        <w:lastRenderedPageBreak/>
        <w:t>Proceso establecido</w:t>
      </w:r>
    </w:p>
    <w:p w:rsidR="003352D9" w:rsidRDefault="003352D9" w:rsidP="003352D9">
      <w:pPr>
        <w:pStyle w:val="NormalWeb"/>
        <w:numPr>
          <w:ilvl w:val="1"/>
          <w:numId w:val="14"/>
        </w:numPr>
        <w:spacing w:line="240" w:lineRule="atLeast"/>
        <w:rPr>
          <w:rFonts w:ascii="Verdana" w:hAnsi="Verdana"/>
          <w:sz w:val="18"/>
          <w:szCs w:val="18"/>
        </w:rPr>
      </w:pPr>
      <w:r w:rsidRPr="003352D9">
        <w:rPr>
          <w:rFonts w:ascii="Verdana" w:hAnsi="Verdana"/>
          <w:sz w:val="18"/>
          <w:szCs w:val="18"/>
        </w:rPr>
        <w:t>Definición del proceso.</w:t>
      </w:r>
    </w:p>
    <w:p w:rsidR="003352D9" w:rsidRPr="003352D9" w:rsidRDefault="003352D9" w:rsidP="003352D9">
      <w:pPr>
        <w:pStyle w:val="NormalWeb"/>
        <w:numPr>
          <w:ilvl w:val="1"/>
          <w:numId w:val="14"/>
        </w:numPr>
        <w:spacing w:line="240" w:lineRule="atLeast"/>
        <w:rPr>
          <w:rFonts w:ascii="Verdana" w:hAnsi="Verdana"/>
          <w:sz w:val="18"/>
          <w:szCs w:val="18"/>
        </w:rPr>
      </w:pPr>
      <w:r w:rsidRPr="003352D9">
        <w:rPr>
          <w:rFonts w:ascii="Verdana" w:hAnsi="Verdana"/>
          <w:sz w:val="18"/>
          <w:szCs w:val="18"/>
        </w:rPr>
        <w:t>Desarrollo del proceso.</w:t>
      </w:r>
    </w:p>
    <w:p w:rsidR="003352D9" w:rsidRDefault="003352D9" w:rsidP="003352D9">
      <w:pPr>
        <w:pStyle w:val="NormalWeb"/>
        <w:numPr>
          <w:ilvl w:val="0"/>
          <w:numId w:val="14"/>
        </w:numPr>
        <w:spacing w:line="240" w:lineRule="atLeast"/>
        <w:rPr>
          <w:rFonts w:ascii="Verdana" w:hAnsi="Verdana"/>
          <w:sz w:val="18"/>
          <w:szCs w:val="18"/>
        </w:rPr>
      </w:pPr>
      <w:r w:rsidRPr="003352D9">
        <w:rPr>
          <w:rFonts w:ascii="Verdana" w:hAnsi="Verdana"/>
          <w:sz w:val="18"/>
          <w:szCs w:val="18"/>
        </w:rPr>
        <w:t>Proceso predecible.</w:t>
      </w:r>
    </w:p>
    <w:p w:rsidR="003352D9" w:rsidRDefault="003352D9" w:rsidP="003352D9">
      <w:pPr>
        <w:pStyle w:val="NormalWeb"/>
        <w:numPr>
          <w:ilvl w:val="1"/>
          <w:numId w:val="14"/>
        </w:numPr>
        <w:spacing w:line="240" w:lineRule="atLeast"/>
        <w:jc w:val="both"/>
        <w:rPr>
          <w:rFonts w:ascii="Verdana" w:hAnsi="Verdana"/>
          <w:sz w:val="18"/>
          <w:szCs w:val="18"/>
        </w:rPr>
      </w:pPr>
      <w:r w:rsidRPr="003352D9">
        <w:rPr>
          <w:rFonts w:ascii="Verdana" w:hAnsi="Verdana"/>
          <w:sz w:val="18"/>
          <w:szCs w:val="18"/>
        </w:rPr>
        <w:t>Administración del proceso.</w:t>
      </w:r>
    </w:p>
    <w:p w:rsidR="003352D9" w:rsidRPr="003352D9" w:rsidRDefault="003352D9" w:rsidP="003352D9">
      <w:pPr>
        <w:pStyle w:val="NormalWeb"/>
        <w:numPr>
          <w:ilvl w:val="1"/>
          <w:numId w:val="14"/>
        </w:numPr>
        <w:spacing w:line="240" w:lineRule="atLeast"/>
        <w:jc w:val="both"/>
        <w:rPr>
          <w:rFonts w:ascii="Verdana" w:hAnsi="Verdana"/>
          <w:sz w:val="18"/>
          <w:szCs w:val="18"/>
        </w:rPr>
      </w:pPr>
      <w:r w:rsidRPr="003352D9">
        <w:rPr>
          <w:rFonts w:ascii="Verdana" w:hAnsi="Verdana"/>
          <w:sz w:val="18"/>
          <w:szCs w:val="18"/>
        </w:rPr>
        <w:t xml:space="preserve"> Control del proceso.</w:t>
      </w:r>
    </w:p>
    <w:p w:rsidR="003352D9" w:rsidRDefault="003352D9" w:rsidP="003352D9">
      <w:pPr>
        <w:pStyle w:val="NormalWeb"/>
        <w:numPr>
          <w:ilvl w:val="0"/>
          <w:numId w:val="14"/>
        </w:numPr>
        <w:spacing w:line="240" w:lineRule="atLeast"/>
        <w:rPr>
          <w:rFonts w:ascii="Verdana" w:hAnsi="Verdana"/>
          <w:sz w:val="18"/>
          <w:szCs w:val="18"/>
        </w:rPr>
      </w:pPr>
      <w:r w:rsidRPr="003352D9">
        <w:rPr>
          <w:rFonts w:ascii="Verdana" w:hAnsi="Verdana"/>
          <w:sz w:val="18"/>
          <w:szCs w:val="18"/>
        </w:rPr>
        <w:t>Proceso optimizado.</w:t>
      </w:r>
    </w:p>
    <w:p w:rsidR="003352D9" w:rsidRDefault="003352D9" w:rsidP="003352D9">
      <w:pPr>
        <w:pStyle w:val="NormalWeb"/>
        <w:numPr>
          <w:ilvl w:val="1"/>
          <w:numId w:val="14"/>
        </w:numPr>
        <w:spacing w:line="240" w:lineRule="atLeast"/>
        <w:rPr>
          <w:rFonts w:ascii="Verdana" w:hAnsi="Verdana"/>
          <w:sz w:val="18"/>
          <w:szCs w:val="18"/>
        </w:rPr>
      </w:pPr>
      <w:r w:rsidRPr="003352D9">
        <w:rPr>
          <w:rFonts w:ascii="Verdana" w:hAnsi="Verdana"/>
          <w:sz w:val="18"/>
          <w:szCs w:val="18"/>
        </w:rPr>
        <w:t>Proceso de innovación.</w:t>
      </w:r>
    </w:p>
    <w:p w:rsidR="003352D9" w:rsidRPr="003352D9" w:rsidRDefault="003352D9" w:rsidP="003352D9">
      <w:pPr>
        <w:pStyle w:val="NormalWeb"/>
        <w:numPr>
          <w:ilvl w:val="1"/>
          <w:numId w:val="14"/>
        </w:numPr>
        <w:spacing w:line="240" w:lineRule="atLeast"/>
        <w:rPr>
          <w:rFonts w:ascii="Verdana" w:hAnsi="Verdana"/>
          <w:sz w:val="18"/>
          <w:szCs w:val="18"/>
        </w:rPr>
      </w:pPr>
      <w:r w:rsidRPr="003352D9">
        <w:rPr>
          <w:rFonts w:ascii="Verdana" w:hAnsi="Verdana"/>
          <w:sz w:val="18"/>
          <w:szCs w:val="18"/>
        </w:rPr>
        <w:t>Optimización del proceso.</w:t>
      </w:r>
    </w:p>
    <w:p w:rsidR="003352D9" w:rsidRDefault="003352D9" w:rsidP="003352D9">
      <w:pPr>
        <w:pStyle w:val="NormalWeb"/>
        <w:jc w:val="both"/>
      </w:pPr>
      <w:r>
        <w:rPr>
          <w:color w:val="FFFFFF"/>
        </w:rPr>
        <w:t>.</w:t>
      </w:r>
    </w:p>
    <w:p w:rsidR="003352D9" w:rsidRDefault="003352D9" w:rsidP="003352D9"/>
    <w:p w:rsidR="008C1981" w:rsidRDefault="008C1981" w:rsidP="006B081A">
      <w:pPr>
        <w:pStyle w:val="Ttulo1"/>
        <w:jc w:val="both"/>
        <w:rPr>
          <w:rFonts w:ascii="Verdana" w:hAnsi="Verdana"/>
          <w:b/>
          <w:sz w:val="20"/>
          <w:szCs w:val="20"/>
        </w:rPr>
      </w:pPr>
    </w:p>
    <w:p w:rsidR="0095369F" w:rsidRPr="00ED2767" w:rsidRDefault="0095369F" w:rsidP="006B081A">
      <w:pPr>
        <w:pStyle w:val="Ttulo1"/>
        <w:jc w:val="both"/>
        <w:rPr>
          <w:rFonts w:ascii="Verdana" w:hAnsi="Verdana"/>
          <w:b/>
          <w:sz w:val="20"/>
          <w:szCs w:val="20"/>
        </w:rPr>
      </w:pPr>
      <w:r w:rsidRPr="00ED2767">
        <w:rPr>
          <w:rFonts w:ascii="Verdana" w:hAnsi="Verdana"/>
          <w:b/>
          <w:sz w:val="20"/>
          <w:szCs w:val="20"/>
        </w:rPr>
        <w:t>PREGUNTAS</w:t>
      </w:r>
    </w:p>
    <w:p w:rsidR="002034A4" w:rsidRPr="00ED2767" w:rsidRDefault="002034A4" w:rsidP="006B081A">
      <w:pPr>
        <w:jc w:val="both"/>
        <w:rPr>
          <w:rFonts w:ascii="Verdana" w:hAnsi="Verdana"/>
        </w:rPr>
      </w:pPr>
    </w:p>
    <w:p w:rsidR="0095369F" w:rsidRPr="00ED2767" w:rsidRDefault="0095369F"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¿Qué significa ITIL?</w:t>
      </w:r>
    </w:p>
    <w:p w:rsidR="0095369F" w:rsidRPr="00ED2767" w:rsidRDefault="0095369F"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¿Quién creo ITIL?</w:t>
      </w:r>
    </w:p>
    <w:p w:rsidR="0095369F" w:rsidRPr="00ED2767" w:rsidRDefault="0095369F"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¿Cuántos libros tiene la versión 2 de ITIL?</w:t>
      </w:r>
    </w:p>
    <w:p w:rsidR="0095369F" w:rsidRPr="00ED2767" w:rsidRDefault="0095369F"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¿Cuántos libros contiene la versión 3 de ITIL?</w:t>
      </w:r>
    </w:p>
    <w:p w:rsidR="0095369F" w:rsidRPr="00ED2767" w:rsidRDefault="00B32BC4"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¿Cuáles son los niveles certificados para profesionales?</w:t>
      </w:r>
    </w:p>
    <w:p w:rsidR="00B32BC4" w:rsidRPr="00ED2767" w:rsidRDefault="00B32BC4"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¿Cuáles son los niveles certificados para la versión 3 de ITIL?</w:t>
      </w:r>
    </w:p>
    <w:p w:rsidR="0095369F" w:rsidRPr="00ED2767" w:rsidRDefault="00B32BC4"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w:t>
      </w:r>
      <w:r w:rsidR="002034A4" w:rsidRPr="00ED2767">
        <w:rPr>
          <w:rFonts w:ascii="Verdana" w:hAnsi="Verdana"/>
          <w:b/>
          <w:sz w:val="18"/>
          <w:szCs w:val="18"/>
        </w:rPr>
        <w:t>En qué versión de ITIL es basado el ciclo de vida del servicio?</w:t>
      </w:r>
    </w:p>
    <w:p w:rsidR="002034A4" w:rsidRPr="00ED2767" w:rsidRDefault="002034A4"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¿Etapas del ciclo de vida del servicio?</w:t>
      </w:r>
    </w:p>
    <w:p w:rsidR="002034A4" w:rsidRPr="00ED2767" w:rsidRDefault="002034A4"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¿Procesos de Estrategia de servicio?</w:t>
      </w:r>
    </w:p>
    <w:p w:rsidR="001772E2" w:rsidRPr="00ED2767" w:rsidRDefault="001772E2"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¿Procesos de Diseño de servicio?</w:t>
      </w:r>
    </w:p>
    <w:p w:rsidR="001772E2" w:rsidRPr="00ED2767" w:rsidRDefault="001772E2"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¿Procesos de Transición de servicio?</w:t>
      </w:r>
    </w:p>
    <w:p w:rsidR="001772E2" w:rsidRPr="00ED2767" w:rsidRDefault="001772E2"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¿Procesos de Operación de servicio?</w:t>
      </w:r>
    </w:p>
    <w:p w:rsidR="002034A4" w:rsidRPr="00ED2767" w:rsidRDefault="001772E2"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¿Qué es la mejora continua del servicio de ITIL?</w:t>
      </w:r>
    </w:p>
    <w:p w:rsidR="00F72E8E" w:rsidRPr="00ED2767" w:rsidRDefault="00F72E8E"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¿Qué significa COBIT?</w:t>
      </w:r>
    </w:p>
    <w:p w:rsidR="00F72E8E" w:rsidRPr="00ED2767" w:rsidRDefault="00ED2767"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¿Quién creo COBIT?</w:t>
      </w:r>
    </w:p>
    <w:p w:rsidR="00ED2767" w:rsidRDefault="00ED2767" w:rsidP="006B081A">
      <w:pPr>
        <w:pStyle w:val="Prrafodelista"/>
        <w:numPr>
          <w:ilvl w:val="0"/>
          <w:numId w:val="4"/>
        </w:numPr>
        <w:tabs>
          <w:tab w:val="left" w:pos="2036"/>
        </w:tabs>
        <w:jc w:val="both"/>
        <w:rPr>
          <w:rFonts w:ascii="Verdana" w:hAnsi="Verdana"/>
          <w:b/>
          <w:sz w:val="18"/>
          <w:szCs w:val="18"/>
        </w:rPr>
      </w:pPr>
      <w:r w:rsidRPr="00ED2767">
        <w:rPr>
          <w:rFonts w:ascii="Verdana" w:hAnsi="Verdana"/>
          <w:b/>
          <w:sz w:val="18"/>
          <w:szCs w:val="18"/>
        </w:rPr>
        <w:t>¿Cuántas versiones tiene COBIT?</w:t>
      </w:r>
    </w:p>
    <w:p w:rsidR="00773D4D" w:rsidRDefault="00773D4D"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¿Cuál fue la versión en la cual se liberó COBIT online?</w:t>
      </w:r>
    </w:p>
    <w:p w:rsidR="00E84C08" w:rsidRDefault="00E84C08"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¿Para quienes estas orientado COBIT?</w:t>
      </w:r>
    </w:p>
    <w:p w:rsidR="00773D4D" w:rsidRDefault="00773D4D"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¿Cuáles son los principios del marco de referencia de las versiones anteriores?</w:t>
      </w:r>
    </w:p>
    <w:p w:rsidR="00773D4D" w:rsidRPr="00ED2767" w:rsidRDefault="00773D4D"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¿Cuáles son los tipos de requerimientos de negocio de COBIT?</w:t>
      </w:r>
    </w:p>
    <w:p w:rsidR="00ED2767" w:rsidRDefault="006B081A"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¿Cuáles son las áreas de COBIT?</w:t>
      </w:r>
    </w:p>
    <w:p w:rsidR="006B081A" w:rsidRDefault="006B081A"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¿Liste los 5 principios de COBIT?</w:t>
      </w:r>
    </w:p>
    <w:p w:rsidR="00773D4D" w:rsidRDefault="00773D4D" w:rsidP="006B081A">
      <w:pPr>
        <w:pStyle w:val="Prrafodelista"/>
        <w:numPr>
          <w:ilvl w:val="0"/>
          <w:numId w:val="4"/>
        </w:numPr>
        <w:tabs>
          <w:tab w:val="left" w:pos="2036"/>
        </w:tabs>
        <w:jc w:val="both"/>
        <w:rPr>
          <w:rFonts w:ascii="Verdana" w:hAnsi="Verdana"/>
          <w:b/>
          <w:sz w:val="18"/>
          <w:szCs w:val="18"/>
        </w:rPr>
      </w:pPr>
      <w:r>
        <w:rPr>
          <w:rFonts w:ascii="Verdana" w:hAnsi="Verdana"/>
          <w:b/>
          <w:sz w:val="18"/>
          <w:szCs w:val="18"/>
        </w:rPr>
        <w:t>¿Cuáles son las 5 áreas de enfoque de gobierno de TI?</w:t>
      </w:r>
    </w:p>
    <w:p w:rsidR="00052EBB" w:rsidRPr="00965B24" w:rsidRDefault="00052EBB" w:rsidP="00965B24">
      <w:pPr>
        <w:pStyle w:val="Prrafodelista"/>
        <w:numPr>
          <w:ilvl w:val="0"/>
          <w:numId w:val="4"/>
        </w:numPr>
        <w:tabs>
          <w:tab w:val="left" w:pos="2036"/>
        </w:tabs>
        <w:jc w:val="both"/>
        <w:rPr>
          <w:rFonts w:ascii="Verdana" w:hAnsi="Verdana"/>
          <w:b/>
          <w:sz w:val="18"/>
          <w:szCs w:val="18"/>
        </w:rPr>
      </w:pPr>
      <w:r>
        <w:rPr>
          <w:rFonts w:ascii="Verdana" w:hAnsi="Verdana"/>
          <w:b/>
          <w:sz w:val="18"/>
          <w:szCs w:val="18"/>
        </w:rPr>
        <w:t>¿Cuáles son los dominios del modelo de referencia?</w:t>
      </w:r>
    </w:p>
    <w:p w:rsidR="00773D4D" w:rsidRPr="00E84C08" w:rsidRDefault="003352D9" w:rsidP="00E84C08">
      <w:pPr>
        <w:pStyle w:val="Prrafodelista"/>
        <w:numPr>
          <w:ilvl w:val="0"/>
          <w:numId w:val="4"/>
        </w:numPr>
        <w:tabs>
          <w:tab w:val="left" w:pos="2036"/>
        </w:tabs>
        <w:jc w:val="both"/>
        <w:rPr>
          <w:rFonts w:ascii="Verdana" w:hAnsi="Verdana"/>
          <w:b/>
          <w:sz w:val="18"/>
          <w:szCs w:val="18"/>
        </w:rPr>
      </w:pPr>
      <w:r>
        <w:rPr>
          <w:rFonts w:ascii="Verdana" w:hAnsi="Verdana"/>
          <w:b/>
          <w:sz w:val="18"/>
          <w:szCs w:val="18"/>
        </w:rPr>
        <w:t>¿Cuántos niveles de madurez tiene COBIT?</w:t>
      </w:r>
    </w:p>
    <w:p w:rsidR="001772E2" w:rsidRPr="00ED2767" w:rsidRDefault="001772E2" w:rsidP="006B081A">
      <w:pPr>
        <w:tabs>
          <w:tab w:val="left" w:pos="2036"/>
        </w:tabs>
        <w:ind w:left="360"/>
        <w:jc w:val="both"/>
        <w:rPr>
          <w:rFonts w:ascii="Verdana" w:hAnsi="Verdana"/>
          <w:b/>
          <w:sz w:val="18"/>
          <w:szCs w:val="18"/>
        </w:rPr>
      </w:pPr>
    </w:p>
    <w:sectPr w:rsidR="001772E2" w:rsidRPr="00ED2767" w:rsidSect="006B081A">
      <w:pgSz w:w="12240" w:h="15840"/>
      <w:pgMar w:top="1440" w:right="1440" w:bottom="1276" w:left="1440" w:header="720" w:footer="720" w:gutter="0"/>
      <w:pgBorders w:offsetFrom="page">
        <w:top w:val="single" w:sz="12" w:space="24" w:color="865640" w:themeColor="accent3"/>
        <w:left w:val="single" w:sz="12" w:space="24" w:color="865640" w:themeColor="accent3"/>
        <w:bottom w:val="single" w:sz="12" w:space="24" w:color="865640" w:themeColor="accent3"/>
        <w:right w:val="single" w:sz="12" w:space="24" w:color="865640" w:themeColor="accent3"/>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44EC2"/>
    <w:multiLevelType w:val="multilevel"/>
    <w:tmpl w:val="46ACB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E7C68"/>
    <w:multiLevelType w:val="multilevel"/>
    <w:tmpl w:val="0C2E7C68"/>
    <w:lvl w:ilvl="0">
      <w:numFmt w:val="bullet"/>
      <w:lvlText w:val="-"/>
      <w:lvlJc w:val="left"/>
      <w:pPr>
        <w:ind w:left="720" w:hanging="360"/>
      </w:pPr>
      <w:rPr>
        <w:rFonts w:ascii="Consolas" w:eastAsiaTheme="minorEastAsia" w:hAnsi="Consolas" w:cs="Consola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117315AD"/>
    <w:multiLevelType w:val="hybridMultilevel"/>
    <w:tmpl w:val="A9CED35C"/>
    <w:lvl w:ilvl="0" w:tplc="D436C9FE">
      <w:numFmt w:val="bullet"/>
      <w:lvlText w:val="-"/>
      <w:lvlJc w:val="left"/>
      <w:pPr>
        <w:ind w:left="720" w:hanging="360"/>
      </w:pPr>
      <w:rPr>
        <w:rFonts w:ascii="Consolas" w:eastAsiaTheme="minorEastAsia" w:hAnsi="Consolas"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29157A6"/>
    <w:multiLevelType w:val="multilevel"/>
    <w:tmpl w:val="7ED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547B6"/>
    <w:multiLevelType w:val="hybridMultilevel"/>
    <w:tmpl w:val="074EB778"/>
    <w:lvl w:ilvl="0" w:tplc="06F2C048">
      <w:numFmt w:val="bullet"/>
      <w:lvlText w:val="-"/>
      <w:lvlJc w:val="left"/>
      <w:pPr>
        <w:ind w:left="720" w:hanging="360"/>
      </w:pPr>
      <w:rPr>
        <w:rFonts w:ascii="Consolas" w:eastAsiaTheme="minorEastAsia" w:hAnsi="Consolas"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C3F75D0"/>
    <w:multiLevelType w:val="hybridMultilevel"/>
    <w:tmpl w:val="E21CE8C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3EDD67AF"/>
    <w:multiLevelType w:val="multilevel"/>
    <w:tmpl w:val="D0DE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06145"/>
    <w:multiLevelType w:val="hybridMultilevel"/>
    <w:tmpl w:val="9E04A8F0"/>
    <w:lvl w:ilvl="0" w:tplc="100A001B">
      <w:start w:val="1"/>
      <w:numFmt w:val="low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5A110377"/>
    <w:multiLevelType w:val="hybridMultilevel"/>
    <w:tmpl w:val="598A984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B0E7A10"/>
    <w:multiLevelType w:val="multilevel"/>
    <w:tmpl w:val="F822F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2E7EEC"/>
    <w:multiLevelType w:val="hybridMultilevel"/>
    <w:tmpl w:val="EEA4C6D0"/>
    <w:lvl w:ilvl="0" w:tplc="100A000F">
      <w:start w:val="1"/>
      <w:numFmt w:val="decimal"/>
      <w:lvlText w:val="%1."/>
      <w:lvlJc w:val="left"/>
      <w:pPr>
        <w:ind w:left="1011" w:hanging="360"/>
      </w:pPr>
    </w:lvl>
    <w:lvl w:ilvl="1" w:tplc="100A0019" w:tentative="1">
      <w:start w:val="1"/>
      <w:numFmt w:val="lowerLetter"/>
      <w:lvlText w:val="%2."/>
      <w:lvlJc w:val="left"/>
      <w:pPr>
        <w:ind w:left="1731" w:hanging="360"/>
      </w:pPr>
    </w:lvl>
    <w:lvl w:ilvl="2" w:tplc="100A001B" w:tentative="1">
      <w:start w:val="1"/>
      <w:numFmt w:val="lowerRoman"/>
      <w:lvlText w:val="%3."/>
      <w:lvlJc w:val="right"/>
      <w:pPr>
        <w:ind w:left="2451" w:hanging="180"/>
      </w:pPr>
    </w:lvl>
    <w:lvl w:ilvl="3" w:tplc="100A000F" w:tentative="1">
      <w:start w:val="1"/>
      <w:numFmt w:val="decimal"/>
      <w:lvlText w:val="%4."/>
      <w:lvlJc w:val="left"/>
      <w:pPr>
        <w:ind w:left="3171" w:hanging="360"/>
      </w:pPr>
    </w:lvl>
    <w:lvl w:ilvl="4" w:tplc="100A0019" w:tentative="1">
      <w:start w:val="1"/>
      <w:numFmt w:val="lowerLetter"/>
      <w:lvlText w:val="%5."/>
      <w:lvlJc w:val="left"/>
      <w:pPr>
        <w:ind w:left="3891" w:hanging="360"/>
      </w:pPr>
    </w:lvl>
    <w:lvl w:ilvl="5" w:tplc="100A001B" w:tentative="1">
      <w:start w:val="1"/>
      <w:numFmt w:val="lowerRoman"/>
      <w:lvlText w:val="%6."/>
      <w:lvlJc w:val="right"/>
      <w:pPr>
        <w:ind w:left="4611" w:hanging="180"/>
      </w:pPr>
    </w:lvl>
    <w:lvl w:ilvl="6" w:tplc="100A000F" w:tentative="1">
      <w:start w:val="1"/>
      <w:numFmt w:val="decimal"/>
      <w:lvlText w:val="%7."/>
      <w:lvlJc w:val="left"/>
      <w:pPr>
        <w:ind w:left="5331" w:hanging="360"/>
      </w:pPr>
    </w:lvl>
    <w:lvl w:ilvl="7" w:tplc="100A0019" w:tentative="1">
      <w:start w:val="1"/>
      <w:numFmt w:val="lowerLetter"/>
      <w:lvlText w:val="%8."/>
      <w:lvlJc w:val="left"/>
      <w:pPr>
        <w:ind w:left="6051" w:hanging="360"/>
      </w:pPr>
    </w:lvl>
    <w:lvl w:ilvl="8" w:tplc="100A001B" w:tentative="1">
      <w:start w:val="1"/>
      <w:numFmt w:val="lowerRoman"/>
      <w:lvlText w:val="%9."/>
      <w:lvlJc w:val="right"/>
      <w:pPr>
        <w:ind w:left="6771" w:hanging="180"/>
      </w:pPr>
    </w:lvl>
  </w:abstractNum>
  <w:abstractNum w:abstractNumId="11" w15:restartNumberingAfterBreak="0">
    <w:nsid w:val="633833B1"/>
    <w:multiLevelType w:val="hybridMultilevel"/>
    <w:tmpl w:val="C1DCBF8E"/>
    <w:lvl w:ilvl="0" w:tplc="100A000F">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66743B99"/>
    <w:multiLevelType w:val="multilevel"/>
    <w:tmpl w:val="31C2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35DBB"/>
    <w:multiLevelType w:val="multilevel"/>
    <w:tmpl w:val="22DC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5"/>
  </w:num>
  <w:num w:numId="5">
    <w:abstractNumId w:val="7"/>
  </w:num>
  <w:num w:numId="6">
    <w:abstractNumId w:val="13"/>
  </w:num>
  <w:num w:numId="7">
    <w:abstractNumId w:val="10"/>
  </w:num>
  <w:num w:numId="8">
    <w:abstractNumId w:val="8"/>
  </w:num>
  <w:num w:numId="9">
    <w:abstractNumId w:val="9"/>
  </w:num>
  <w:num w:numId="10">
    <w:abstractNumId w:val="3"/>
  </w:num>
  <w:num w:numId="11">
    <w:abstractNumId w:val="0"/>
  </w:num>
  <w:num w:numId="12">
    <w:abstractNumId w:val="1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A75"/>
    <w:rsid w:val="CB7FA291"/>
    <w:rsid w:val="DCFF48E3"/>
    <w:rsid w:val="00052EBB"/>
    <w:rsid w:val="000A29E5"/>
    <w:rsid w:val="001772E2"/>
    <w:rsid w:val="001A1288"/>
    <w:rsid w:val="002034A4"/>
    <w:rsid w:val="00235762"/>
    <w:rsid w:val="002522AC"/>
    <w:rsid w:val="0026026E"/>
    <w:rsid w:val="002B012A"/>
    <w:rsid w:val="003352D9"/>
    <w:rsid w:val="004535FE"/>
    <w:rsid w:val="00455E0B"/>
    <w:rsid w:val="00463C00"/>
    <w:rsid w:val="00477991"/>
    <w:rsid w:val="004E26CB"/>
    <w:rsid w:val="0053309A"/>
    <w:rsid w:val="005B3F13"/>
    <w:rsid w:val="00617540"/>
    <w:rsid w:val="0067539B"/>
    <w:rsid w:val="006B081A"/>
    <w:rsid w:val="006C1EF2"/>
    <w:rsid w:val="007572C1"/>
    <w:rsid w:val="00773D4D"/>
    <w:rsid w:val="00776305"/>
    <w:rsid w:val="00787718"/>
    <w:rsid w:val="008A6522"/>
    <w:rsid w:val="008C1981"/>
    <w:rsid w:val="00936E81"/>
    <w:rsid w:val="0095369F"/>
    <w:rsid w:val="00965B24"/>
    <w:rsid w:val="00B00A75"/>
    <w:rsid w:val="00B32BC4"/>
    <w:rsid w:val="00BF48D7"/>
    <w:rsid w:val="00C1178C"/>
    <w:rsid w:val="00C32F31"/>
    <w:rsid w:val="00CD08C5"/>
    <w:rsid w:val="00CF0E28"/>
    <w:rsid w:val="00D22C0B"/>
    <w:rsid w:val="00D6501E"/>
    <w:rsid w:val="00DB7F7E"/>
    <w:rsid w:val="00DF2CB3"/>
    <w:rsid w:val="00E02F50"/>
    <w:rsid w:val="00E30044"/>
    <w:rsid w:val="00E52453"/>
    <w:rsid w:val="00E84C08"/>
    <w:rsid w:val="00E92F97"/>
    <w:rsid w:val="00ED2767"/>
    <w:rsid w:val="00F63558"/>
    <w:rsid w:val="00F72E8E"/>
    <w:rsid w:val="00F91E4E"/>
    <w:rsid w:val="00FC329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6115CEE"/>
  <w15:docId w15:val="{9E1CC44F-4C18-4B9D-AFDA-17E09786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GT" w:eastAsia="es-G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line="264" w:lineRule="auto"/>
    </w:pPr>
    <w:rPr>
      <w:sz w:val="21"/>
      <w:szCs w:val="21"/>
      <w:lang w:eastAsia="ja-JP"/>
    </w:rPr>
  </w:style>
  <w:style w:type="paragraph" w:styleId="Ttulo1">
    <w:name w:val="heading 1"/>
    <w:basedOn w:val="Normal"/>
    <w:next w:val="Normal"/>
    <w:link w:val="Ttulo1Car"/>
    <w:uiPriority w:val="9"/>
    <w:qFormat/>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Ttulo2">
    <w:name w:val="heading 2"/>
    <w:basedOn w:val="Normal"/>
    <w:next w:val="Normal"/>
    <w:link w:val="Ttulo2Car"/>
    <w:uiPriority w:val="9"/>
    <w:unhideWhenUsed/>
    <w:qFormat/>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pPr>
      <w:spacing w:after="240" w:line="240" w:lineRule="auto"/>
    </w:pPr>
    <w:rPr>
      <w:rFonts w:asciiTheme="majorHAnsi" w:eastAsiaTheme="majorEastAsia" w:hAnsiTheme="majorHAnsi" w:cstheme="majorBidi"/>
      <w:color w:val="404040" w:themeColor="text1" w:themeTint="BF"/>
      <w:sz w:val="30"/>
      <w:szCs w:val="3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AA610D" w:themeColor="accent1" w:themeShade="BF"/>
      <w:sz w:val="80"/>
      <w:szCs w:val="80"/>
    </w:rPr>
  </w:style>
  <w:style w:type="character" w:styleId="nfasis">
    <w:name w:val="Emphasis"/>
    <w:basedOn w:val="Fuentedeprrafopredeter"/>
    <w:uiPriority w:val="20"/>
    <w:qFormat/>
    <w:rPr>
      <w:i/>
      <w:iCs/>
    </w:rPr>
  </w:style>
  <w:style w:type="character" w:styleId="Textoennegrita">
    <w:name w:val="Strong"/>
    <w:basedOn w:val="Fuentedeprrafopredeter"/>
    <w:uiPriority w:val="22"/>
    <w:qFormat/>
    <w:rPr>
      <w:b/>
      <w:bCs/>
    </w:rPr>
  </w:style>
  <w:style w:type="character" w:customStyle="1" w:styleId="TtuloCar">
    <w:name w:val="Título Car"/>
    <w:basedOn w:val="Fuentedeprrafopredeter"/>
    <w:link w:val="Ttulo"/>
    <w:uiPriority w:val="10"/>
    <w:rPr>
      <w:rFonts w:asciiTheme="majorHAnsi" w:eastAsiaTheme="majorEastAsia" w:hAnsiTheme="majorHAnsi" w:cstheme="majorBidi"/>
      <w:color w:val="AA610D" w:themeColor="accent1" w:themeShade="BF"/>
      <w:spacing w:val="0"/>
      <w:sz w:val="80"/>
      <w:szCs w:val="80"/>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color w:val="404040" w:themeColor="text1" w:themeTint="BF"/>
      <w:sz w:val="30"/>
      <w:szCs w:val="30"/>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AA610D"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color w:val="AA610D"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customStyle="1" w:styleId="nfasissutil1">
    <w:name w:val="Énfasis sutil1"/>
    <w:basedOn w:val="Fuentedeprrafopredeter"/>
    <w:uiPriority w:val="19"/>
    <w:qFormat/>
    <w:rPr>
      <w:i/>
      <w:iCs/>
      <w:color w:val="595959" w:themeColor="text1" w:themeTint="A6"/>
    </w:rPr>
  </w:style>
  <w:style w:type="character" w:customStyle="1" w:styleId="nfasisintenso1">
    <w:name w:val="Énfasis intenso1"/>
    <w:basedOn w:val="Fuentedeprrafopredeter"/>
    <w:uiPriority w:val="21"/>
    <w:qFormat/>
    <w:rPr>
      <w:b/>
      <w:bCs/>
      <w:i/>
      <w:iCs/>
    </w:rPr>
  </w:style>
  <w:style w:type="paragraph" w:customStyle="1" w:styleId="Cita1">
    <w:name w:val="Cita1"/>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1"/>
    <w:uiPriority w:val="29"/>
    <w:rPr>
      <w:i/>
      <w:iCs/>
    </w:rPr>
  </w:style>
  <w:style w:type="paragraph" w:customStyle="1" w:styleId="Citadestacada1">
    <w:name w:val="Cita destacada1"/>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CitadestacadaCar">
    <w:name w:val="Cita destacada Car"/>
    <w:basedOn w:val="Fuentedeprrafopredeter"/>
    <w:link w:val="Citadestacada1"/>
    <w:uiPriority w:val="30"/>
    <w:rPr>
      <w:rFonts w:asciiTheme="majorHAnsi" w:eastAsiaTheme="majorEastAsia" w:hAnsiTheme="majorHAnsi" w:cstheme="majorBidi"/>
      <w:color w:val="E48312" w:themeColor="accent1"/>
      <w:sz w:val="28"/>
      <w:szCs w:val="28"/>
    </w:rPr>
  </w:style>
  <w:style w:type="character" w:customStyle="1" w:styleId="Referenciasutil1">
    <w:name w:val="Referencia sutil1"/>
    <w:basedOn w:val="Fuentedeprrafopredeter"/>
    <w:uiPriority w:val="31"/>
    <w:qFormat/>
    <w:rPr>
      <w:smallCaps/>
      <w:color w:val="404040" w:themeColor="text1" w:themeTint="BF"/>
    </w:rPr>
  </w:style>
  <w:style w:type="character" w:customStyle="1" w:styleId="Referenciaintensa1">
    <w:name w:val="Referencia intensa1"/>
    <w:basedOn w:val="Fuentedeprrafopredeter"/>
    <w:uiPriority w:val="32"/>
    <w:qFormat/>
    <w:rPr>
      <w:b/>
      <w:bCs/>
      <w:smallCaps/>
      <w:u w:val="single"/>
    </w:rPr>
  </w:style>
  <w:style w:type="character" w:customStyle="1" w:styleId="Ttulodellibro1">
    <w:name w:val="Título del libro1"/>
    <w:basedOn w:val="Fuentedeprrafopredeter"/>
    <w:uiPriority w:val="33"/>
    <w:qFormat/>
    <w:rPr>
      <w:b/>
      <w:bCs/>
      <w:smallCaps/>
    </w:rPr>
  </w:style>
  <w:style w:type="paragraph" w:customStyle="1" w:styleId="TtuloTDC1">
    <w:name w:val="Título TDC1"/>
    <w:basedOn w:val="Ttulo1"/>
    <w:next w:val="Normal"/>
    <w:uiPriority w:val="39"/>
    <w:unhideWhenUsed/>
    <w:qFormat/>
    <w:pPr>
      <w:outlineLvl w:val="9"/>
    </w:pPr>
  </w:style>
  <w:style w:type="paragraph" w:customStyle="1" w:styleId="Sinespaciado1">
    <w:name w:val="Sin espaciado1"/>
    <w:uiPriority w:val="1"/>
    <w:qFormat/>
    <w:pPr>
      <w:spacing w:after="0" w:line="240" w:lineRule="auto"/>
    </w:pPr>
    <w:rPr>
      <w:sz w:val="21"/>
      <w:szCs w:val="21"/>
      <w:lang w:val="en-US" w:eastAsia="ja-JP"/>
    </w:rPr>
  </w:style>
  <w:style w:type="paragraph" w:customStyle="1" w:styleId="Prrafodelista1">
    <w:name w:val="Párrafo de lista1"/>
    <w:basedOn w:val="Normal"/>
    <w:uiPriority w:val="34"/>
    <w:qFormat/>
    <w:pPr>
      <w:ind w:left="720"/>
      <w:contextualSpacing/>
    </w:pPr>
  </w:style>
  <w:style w:type="paragraph" w:styleId="Prrafodelista">
    <w:name w:val="List Paragraph"/>
    <w:basedOn w:val="Normal"/>
    <w:uiPriority w:val="99"/>
    <w:rsid w:val="00235762"/>
    <w:pPr>
      <w:ind w:left="720"/>
      <w:contextualSpacing/>
    </w:pPr>
  </w:style>
  <w:style w:type="character" w:customStyle="1" w:styleId="mw-headline">
    <w:name w:val="mw-headline"/>
    <w:basedOn w:val="Fuentedeprrafopredeter"/>
    <w:rsid w:val="006C1EF2"/>
  </w:style>
  <w:style w:type="paragraph" w:styleId="NormalWeb">
    <w:name w:val="Normal (Web)"/>
    <w:basedOn w:val="Normal"/>
    <w:uiPriority w:val="99"/>
    <w:unhideWhenUsed/>
    <w:rsid w:val="002034A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Hipervnculo">
    <w:name w:val="Hyperlink"/>
    <w:basedOn w:val="Fuentedeprrafopredeter"/>
    <w:uiPriority w:val="99"/>
    <w:semiHidden/>
    <w:unhideWhenUsed/>
    <w:rsid w:val="003352D9"/>
    <w:rPr>
      <w:color w:val="0000FF"/>
      <w:u w:val="single"/>
    </w:rPr>
  </w:style>
  <w:style w:type="character" w:customStyle="1" w:styleId="meta-nav">
    <w:name w:val="meta-nav"/>
    <w:basedOn w:val="Fuentedeprrafopredeter"/>
    <w:rsid w:val="003352D9"/>
  </w:style>
  <w:style w:type="paragraph" w:customStyle="1" w:styleId="tags">
    <w:name w:val="tags"/>
    <w:basedOn w:val="Normal"/>
    <w:rsid w:val="003352D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z-Principiodelformulario">
    <w:name w:val="HTML Top of Form"/>
    <w:basedOn w:val="Normal"/>
    <w:next w:val="Normal"/>
    <w:link w:val="z-PrincipiodelformularioCar"/>
    <w:hidden/>
    <w:uiPriority w:val="99"/>
    <w:semiHidden/>
    <w:unhideWhenUsed/>
    <w:rsid w:val="003352D9"/>
    <w:pPr>
      <w:pBdr>
        <w:bottom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PrincipiodelformularioCar">
    <w:name w:val="z-Principio del formulario Car"/>
    <w:basedOn w:val="Fuentedeprrafopredeter"/>
    <w:link w:val="z-Principiodelformulario"/>
    <w:uiPriority w:val="99"/>
    <w:semiHidden/>
    <w:rsid w:val="003352D9"/>
    <w:rPr>
      <w:rFonts w:ascii="Arial" w:eastAsia="Times New Roman" w:hAnsi="Arial" w:cs="Arial"/>
      <w:vanish/>
      <w:sz w:val="16"/>
      <w:szCs w:val="16"/>
    </w:rPr>
  </w:style>
  <w:style w:type="paragraph" w:customStyle="1" w:styleId="comment-notes">
    <w:name w:val="comment-notes"/>
    <w:basedOn w:val="Normal"/>
    <w:rsid w:val="003352D9"/>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required">
    <w:name w:val="required"/>
    <w:basedOn w:val="Fuentedeprrafopredeter"/>
    <w:rsid w:val="003352D9"/>
  </w:style>
  <w:style w:type="paragraph" w:customStyle="1" w:styleId="comment-form-comment">
    <w:name w:val="comment-form-comment"/>
    <w:basedOn w:val="Normal"/>
    <w:rsid w:val="003352D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comment-form-author">
    <w:name w:val="comment-form-author"/>
    <w:basedOn w:val="Normal"/>
    <w:rsid w:val="003352D9"/>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styleId="z-Finaldelformulario">
    <w:name w:val="HTML Bottom of Form"/>
    <w:basedOn w:val="Normal"/>
    <w:next w:val="Normal"/>
    <w:link w:val="z-FinaldelformularioCar"/>
    <w:hidden/>
    <w:uiPriority w:val="99"/>
    <w:semiHidden/>
    <w:unhideWhenUsed/>
    <w:rsid w:val="003352D9"/>
    <w:pPr>
      <w:pBdr>
        <w:top w:val="single" w:sz="6" w:space="1" w:color="auto"/>
      </w:pBdr>
      <w:spacing w:after="0" w:line="240" w:lineRule="auto"/>
      <w:jc w:val="center"/>
    </w:pPr>
    <w:rPr>
      <w:rFonts w:ascii="Arial" w:eastAsia="Times New Roman" w:hAnsi="Arial" w:cs="Arial"/>
      <w:vanish/>
      <w:sz w:val="16"/>
      <w:szCs w:val="16"/>
      <w:lang w:eastAsia="es-GT"/>
    </w:rPr>
  </w:style>
  <w:style w:type="character" w:customStyle="1" w:styleId="z-FinaldelformularioCar">
    <w:name w:val="z-Final del formulario Car"/>
    <w:basedOn w:val="Fuentedeprrafopredeter"/>
    <w:link w:val="z-Finaldelformulario"/>
    <w:uiPriority w:val="99"/>
    <w:semiHidden/>
    <w:rsid w:val="003352D9"/>
    <w:rPr>
      <w:rFonts w:ascii="Arial" w:eastAsia="Times New Roman" w:hAnsi="Arial" w:cs="Arial"/>
      <w:vanish/>
      <w:sz w:val="16"/>
      <w:szCs w:val="16"/>
    </w:rPr>
  </w:style>
  <w:style w:type="character" w:customStyle="1" w:styleId="comment-author-link">
    <w:name w:val="comment-author-link"/>
    <w:basedOn w:val="Fuentedeprrafopredeter"/>
    <w:rsid w:val="00335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2680">
      <w:bodyDiv w:val="1"/>
      <w:marLeft w:val="0"/>
      <w:marRight w:val="0"/>
      <w:marTop w:val="0"/>
      <w:marBottom w:val="0"/>
      <w:divBdr>
        <w:top w:val="none" w:sz="0" w:space="0" w:color="auto"/>
        <w:left w:val="none" w:sz="0" w:space="0" w:color="auto"/>
        <w:bottom w:val="none" w:sz="0" w:space="0" w:color="auto"/>
        <w:right w:val="none" w:sz="0" w:space="0" w:color="auto"/>
      </w:divBdr>
    </w:div>
    <w:div w:id="220287156">
      <w:bodyDiv w:val="1"/>
      <w:marLeft w:val="0"/>
      <w:marRight w:val="0"/>
      <w:marTop w:val="0"/>
      <w:marBottom w:val="0"/>
      <w:divBdr>
        <w:top w:val="none" w:sz="0" w:space="0" w:color="auto"/>
        <w:left w:val="none" w:sz="0" w:space="0" w:color="auto"/>
        <w:bottom w:val="none" w:sz="0" w:space="0" w:color="auto"/>
        <w:right w:val="none" w:sz="0" w:space="0" w:color="auto"/>
      </w:divBdr>
    </w:div>
    <w:div w:id="621228628">
      <w:bodyDiv w:val="1"/>
      <w:marLeft w:val="0"/>
      <w:marRight w:val="0"/>
      <w:marTop w:val="0"/>
      <w:marBottom w:val="0"/>
      <w:divBdr>
        <w:top w:val="none" w:sz="0" w:space="0" w:color="auto"/>
        <w:left w:val="none" w:sz="0" w:space="0" w:color="auto"/>
        <w:bottom w:val="none" w:sz="0" w:space="0" w:color="auto"/>
        <w:right w:val="none" w:sz="0" w:space="0" w:color="auto"/>
      </w:divBdr>
    </w:div>
    <w:div w:id="671879931">
      <w:bodyDiv w:val="1"/>
      <w:marLeft w:val="0"/>
      <w:marRight w:val="0"/>
      <w:marTop w:val="0"/>
      <w:marBottom w:val="0"/>
      <w:divBdr>
        <w:top w:val="none" w:sz="0" w:space="0" w:color="auto"/>
        <w:left w:val="none" w:sz="0" w:space="0" w:color="auto"/>
        <w:bottom w:val="none" w:sz="0" w:space="0" w:color="auto"/>
        <w:right w:val="none" w:sz="0" w:space="0" w:color="auto"/>
      </w:divBdr>
    </w:div>
    <w:div w:id="672949024">
      <w:bodyDiv w:val="1"/>
      <w:marLeft w:val="0"/>
      <w:marRight w:val="0"/>
      <w:marTop w:val="0"/>
      <w:marBottom w:val="0"/>
      <w:divBdr>
        <w:top w:val="none" w:sz="0" w:space="0" w:color="auto"/>
        <w:left w:val="none" w:sz="0" w:space="0" w:color="auto"/>
        <w:bottom w:val="none" w:sz="0" w:space="0" w:color="auto"/>
        <w:right w:val="none" w:sz="0" w:space="0" w:color="auto"/>
      </w:divBdr>
    </w:div>
    <w:div w:id="720784601">
      <w:bodyDiv w:val="1"/>
      <w:marLeft w:val="0"/>
      <w:marRight w:val="0"/>
      <w:marTop w:val="0"/>
      <w:marBottom w:val="0"/>
      <w:divBdr>
        <w:top w:val="none" w:sz="0" w:space="0" w:color="auto"/>
        <w:left w:val="none" w:sz="0" w:space="0" w:color="auto"/>
        <w:bottom w:val="none" w:sz="0" w:space="0" w:color="auto"/>
        <w:right w:val="none" w:sz="0" w:space="0" w:color="auto"/>
      </w:divBdr>
      <w:divsChild>
        <w:div w:id="757026056">
          <w:marLeft w:val="0"/>
          <w:marRight w:val="0"/>
          <w:marTop w:val="0"/>
          <w:marBottom w:val="0"/>
          <w:divBdr>
            <w:top w:val="none" w:sz="0" w:space="0" w:color="auto"/>
            <w:left w:val="none" w:sz="0" w:space="0" w:color="auto"/>
            <w:bottom w:val="none" w:sz="0" w:space="0" w:color="auto"/>
            <w:right w:val="none" w:sz="0" w:space="0" w:color="auto"/>
          </w:divBdr>
          <w:divsChild>
            <w:div w:id="1971279916">
              <w:marLeft w:val="0"/>
              <w:marRight w:val="0"/>
              <w:marTop w:val="0"/>
              <w:marBottom w:val="0"/>
              <w:divBdr>
                <w:top w:val="none" w:sz="0" w:space="0" w:color="auto"/>
                <w:left w:val="none" w:sz="0" w:space="0" w:color="auto"/>
                <w:bottom w:val="none" w:sz="0" w:space="0" w:color="auto"/>
                <w:right w:val="none" w:sz="0" w:space="0" w:color="auto"/>
              </w:divBdr>
            </w:div>
          </w:divsChild>
        </w:div>
        <w:div w:id="613487817">
          <w:marLeft w:val="0"/>
          <w:marRight w:val="0"/>
          <w:marTop w:val="0"/>
          <w:marBottom w:val="0"/>
          <w:divBdr>
            <w:top w:val="none" w:sz="0" w:space="0" w:color="auto"/>
            <w:left w:val="none" w:sz="0" w:space="0" w:color="auto"/>
            <w:bottom w:val="none" w:sz="0" w:space="0" w:color="auto"/>
            <w:right w:val="none" w:sz="0" w:space="0" w:color="auto"/>
          </w:divBdr>
          <w:divsChild>
            <w:div w:id="1257639768">
              <w:marLeft w:val="0"/>
              <w:marRight w:val="0"/>
              <w:marTop w:val="0"/>
              <w:marBottom w:val="0"/>
              <w:divBdr>
                <w:top w:val="none" w:sz="0" w:space="0" w:color="auto"/>
                <w:left w:val="none" w:sz="0" w:space="0" w:color="auto"/>
                <w:bottom w:val="none" w:sz="0" w:space="0" w:color="auto"/>
                <w:right w:val="none" w:sz="0" w:space="0" w:color="auto"/>
              </w:divBdr>
            </w:div>
          </w:divsChild>
        </w:div>
        <w:div w:id="1639602397">
          <w:marLeft w:val="0"/>
          <w:marRight w:val="0"/>
          <w:marTop w:val="0"/>
          <w:marBottom w:val="0"/>
          <w:divBdr>
            <w:top w:val="none" w:sz="0" w:space="0" w:color="auto"/>
            <w:left w:val="none" w:sz="0" w:space="0" w:color="auto"/>
            <w:bottom w:val="none" w:sz="0" w:space="0" w:color="auto"/>
            <w:right w:val="none" w:sz="0" w:space="0" w:color="auto"/>
          </w:divBdr>
        </w:div>
        <w:div w:id="1271209002">
          <w:marLeft w:val="0"/>
          <w:marRight w:val="0"/>
          <w:marTop w:val="0"/>
          <w:marBottom w:val="0"/>
          <w:divBdr>
            <w:top w:val="none" w:sz="0" w:space="0" w:color="auto"/>
            <w:left w:val="none" w:sz="0" w:space="0" w:color="auto"/>
            <w:bottom w:val="none" w:sz="0" w:space="0" w:color="auto"/>
            <w:right w:val="none" w:sz="0" w:space="0" w:color="auto"/>
          </w:divBdr>
        </w:div>
        <w:div w:id="194924447">
          <w:marLeft w:val="0"/>
          <w:marRight w:val="0"/>
          <w:marTop w:val="0"/>
          <w:marBottom w:val="0"/>
          <w:divBdr>
            <w:top w:val="none" w:sz="0" w:space="0" w:color="auto"/>
            <w:left w:val="none" w:sz="0" w:space="0" w:color="auto"/>
            <w:bottom w:val="none" w:sz="0" w:space="0" w:color="auto"/>
            <w:right w:val="none" w:sz="0" w:space="0" w:color="auto"/>
          </w:divBdr>
          <w:divsChild>
            <w:div w:id="1624381768">
              <w:marLeft w:val="0"/>
              <w:marRight w:val="0"/>
              <w:marTop w:val="0"/>
              <w:marBottom w:val="0"/>
              <w:divBdr>
                <w:top w:val="none" w:sz="0" w:space="0" w:color="auto"/>
                <w:left w:val="none" w:sz="0" w:space="0" w:color="auto"/>
                <w:bottom w:val="none" w:sz="0" w:space="0" w:color="auto"/>
                <w:right w:val="none" w:sz="0" w:space="0" w:color="auto"/>
              </w:divBdr>
              <w:divsChild>
                <w:div w:id="1048139420">
                  <w:marLeft w:val="0"/>
                  <w:marRight w:val="0"/>
                  <w:marTop w:val="0"/>
                  <w:marBottom w:val="0"/>
                  <w:divBdr>
                    <w:top w:val="none" w:sz="0" w:space="0" w:color="auto"/>
                    <w:left w:val="none" w:sz="0" w:space="0" w:color="auto"/>
                    <w:bottom w:val="none" w:sz="0" w:space="0" w:color="auto"/>
                    <w:right w:val="none" w:sz="0" w:space="0" w:color="auto"/>
                  </w:divBdr>
                </w:div>
                <w:div w:id="1826357824">
                  <w:marLeft w:val="0"/>
                  <w:marRight w:val="0"/>
                  <w:marTop w:val="0"/>
                  <w:marBottom w:val="0"/>
                  <w:divBdr>
                    <w:top w:val="none" w:sz="0" w:space="0" w:color="auto"/>
                    <w:left w:val="none" w:sz="0" w:space="0" w:color="auto"/>
                    <w:bottom w:val="none" w:sz="0" w:space="0" w:color="auto"/>
                    <w:right w:val="none" w:sz="0" w:space="0" w:color="auto"/>
                  </w:divBdr>
                  <w:divsChild>
                    <w:div w:id="1195578672">
                      <w:marLeft w:val="0"/>
                      <w:marRight w:val="0"/>
                      <w:marTop w:val="0"/>
                      <w:marBottom w:val="0"/>
                      <w:divBdr>
                        <w:top w:val="none" w:sz="0" w:space="0" w:color="auto"/>
                        <w:left w:val="none" w:sz="0" w:space="0" w:color="auto"/>
                        <w:bottom w:val="none" w:sz="0" w:space="0" w:color="auto"/>
                        <w:right w:val="none" w:sz="0" w:space="0" w:color="auto"/>
                      </w:divBdr>
                    </w:div>
                    <w:div w:id="1375227381">
                      <w:marLeft w:val="0"/>
                      <w:marRight w:val="0"/>
                      <w:marTop w:val="0"/>
                      <w:marBottom w:val="0"/>
                      <w:divBdr>
                        <w:top w:val="none" w:sz="0" w:space="0" w:color="auto"/>
                        <w:left w:val="none" w:sz="0" w:space="0" w:color="auto"/>
                        <w:bottom w:val="none" w:sz="0" w:space="0" w:color="auto"/>
                        <w:right w:val="none" w:sz="0" w:space="0" w:color="auto"/>
                      </w:divBdr>
                    </w:div>
                    <w:div w:id="149954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9220">
              <w:marLeft w:val="0"/>
              <w:marRight w:val="0"/>
              <w:marTop w:val="0"/>
              <w:marBottom w:val="0"/>
              <w:divBdr>
                <w:top w:val="none" w:sz="0" w:space="0" w:color="auto"/>
                <w:left w:val="none" w:sz="0" w:space="0" w:color="auto"/>
                <w:bottom w:val="none" w:sz="0" w:space="0" w:color="auto"/>
                <w:right w:val="none" w:sz="0" w:space="0" w:color="auto"/>
              </w:divBdr>
              <w:divsChild>
                <w:div w:id="2118518488">
                  <w:marLeft w:val="0"/>
                  <w:marRight w:val="0"/>
                  <w:marTop w:val="0"/>
                  <w:marBottom w:val="0"/>
                  <w:divBdr>
                    <w:top w:val="none" w:sz="0" w:space="0" w:color="auto"/>
                    <w:left w:val="none" w:sz="0" w:space="0" w:color="auto"/>
                    <w:bottom w:val="none" w:sz="0" w:space="0" w:color="auto"/>
                    <w:right w:val="none" w:sz="0" w:space="0" w:color="auto"/>
                  </w:divBdr>
                </w:div>
                <w:div w:id="721100433">
                  <w:marLeft w:val="0"/>
                  <w:marRight w:val="0"/>
                  <w:marTop w:val="0"/>
                  <w:marBottom w:val="0"/>
                  <w:divBdr>
                    <w:top w:val="none" w:sz="0" w:space="0" w:color="auto"/>
                    <w:left w:val="none" w:sz="0" w:space="0" w:color="auto"/>
                    <w:bottom w:val="none" w:sz="0" w:space="0" w:color="auto"/>
                    <w:right w:val="none" w:sz="0" w:space="0" w:color="auto"/>
                  </w:divBdr>
                  <w:divsChild>
                    <w:div w:id="605581399">
                      <w:marLeft w:val="0"/>
                      <w:marRight w:val="0"/>
                      <w:marTop w:val="0"/>
                      <w:marBottom w:val="0"/>
                      <w:divBdr>
                        <w:top w:val="none" w:sz="0" w:space="0" w:color="auto"/>
                        <w:left w:val="none" w:sz="0" w:space="0" w:color="auto"/>
                        <w:bottom w:val="none" w:sz="0" w:space="0" w:color="auto"/>
                        <w:right w:val="none" w:sz="0" w:space="0" w:color="auto"/>
                      </w:divBdr>
                    </w:div>
                    <w:div w:id="1410888758">
                      <w:marLeft w:val="0"/>
                      <w:marRight w:val="0"/>
                      <w:marTop w:val="0"/>
                      <w:marBottom w:val="0"/>
                      <w:divBdr>
                        <w:top w:val="none" w:sz="0" w:space="0" w:color="auto"/>
                        <w:left w:val="none" w:sz="0" w:space="0" w:color="auto"/>
                        <w:bottom w:val="none" w:sz="0" w:space="0" w:color="auto"/>
                        <w:right w:val="none" w:sz="0" w:space="0" w:color="auto"/>
                      </w:divBdr>
                    </w:div>
                    <w:div w:id="18961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4412">
              <w:marLeft w:val="0"/>
              <w:marRight w:val="0"/>
              <w:marTop w:val="0"/>
              <w:marBottom w:val="0"/>
              <w:divBdr>
                <w:top w:val="none" w:sz="0" w:space="0" w:color="auto"/>
                <w:left w:val="none" w:sz="0" w:space="0" w:color="auto"/>
                <w:bottom w:val="none" w:sz="0" w:space="0" w:color="auto"/>
                <w:right w:val="none" w:sz="0" w:space="0" w:color="auto"/>
              </w:divBdr>
              <w:divsChild>
                <w:div w:id="635840096">
                  <w:marLeft w:val="0"/>
                  <w:marRight w:val="0"/>
                  <w:marTop w:val="0"/>
                  <w:marBottom w:val="0"/>
                  <w:divBdr>
                    <w:top w:val="none" w:sz="0" w:space="0" w:color="auto"/>
                    <w:left w:val="none" w:sz="0" w:space="0" w:color="auto"/>
                    <w:bottom w:val="none" w:sz="0" w:space="0" w:color="auto"/>
                    <w:right w:val="none" w:sz="0" w:space="0" w:color="auto"/>
                  </w:divBdr>
                </w:div>
                <w:div w:id="1832719264">
                  <w:marLeft w:val="0"/>
                  <w:marRight w:val="0"/>
                  <w:marTop w:val="0"/>
                  <w:marBottom w:val="0"/>
                  <w:divBdr>
                    <w:top w:val="none" w:sz="0" w:space="0" w:color="auto"/>
                    <w:left w:val="none" w:sz="0" w:space="0" w:color="auto"/>
                    <w:bottom w:val="none" w:sz="0" w:space="0" w:color="auto"/>
                    <w:right w:val="none" w:sz="0" w:space="0" w:color="auto"/>
                  </w:divBdr>
                  <w:divsChild>
                    <w:div w:id="920019430">
                      <w:marLeft w:val="0"/>
                      <w:marRight w:val="0"/>
                      <w:marTop w:val="0"/>
                      <w:marBottom w:val="0"/>
                      <w:divBdr>
                        <w:top w:val="none" w:sz="0" w:space="0" w:color="auto"/>
                        <w:left w:val="none" w:sz="0" w:space="0" w:color="auto"/>
                        <w:bottom w:val="none" w:sz="0" w:space="0" w:color="auto"/>
                        <w:right w:val="none" w:sz="0" w:space="0" w:color="auto"/>
                      </w:divBdr>
                    </w:div>
                    <w:div w:id="1639263727">
                      <w:marLeft w:val="0"/>
                      <w:marRight w:val="0"/>
                      <w:marTop w:val="0"/>
                      <w:marBottom w:val="0"/>
                      <w:divBdr>
                        <w:top w:val="none" w:sz="0" w:space="0" w:color="auto"/>
                        <w:left w:val="none" w:sz="0" w:space="0" w:color="auto"/>
                        <w:bottom w:val="none" w:sz="0" w:space="0" w:color="auto"/>
                        <w:right w:val="none" w:sz="0" w:space="0" w:color="auto"/>
                      </w:divBdr>
                    </w:div>
                    <w:div w:id="11009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8742">
              <w:marLeft w:val="0"/>
              <w:marRight w:val="0"/>
              <w:marTop w:val="0"/>
              <w:marBottom w:val="0"/>
              <w:divBdr>
                <w:top w:val="none" w:sz="0" w:space="0" w:color="auto"/>
                <w:left w:val="none" w:sz="0" w:space="0" w:color="auto"/>
                <w:bottom w:val="none" w:sz="0" w:space="0" w:color="auto"/>
                <w:right w:val="none" w:sz="0" w:space="0" w:color="auto"/>
              </w:divBdr>
              <w:divsChild>
                <w:div w:id="2038726181">
                  <w:marLeft w:val="0"/>
                  <w:marRight w:val="0"/>
                  <w:marTop w:val="0"/>
                  <w:marBottom w:val="0"/>
                  <w:divBdr>
                    <w:top w:val="none" w:sz="0" w:space="0" w:color="auto"/>
                    <w:left w:val="none" w:sz="0" w:space="0" w:color="auto"/>
                    <w:bottom w:val="none" w:sz="0" w:space="0" w:color="auto"/>
                    <w:right w:val="none" w:sz="0" w:space="0" w:color="auto"/>
                  </w:divBdr>
                  <w:divsChild>
                    <w:div w:id="1252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3119">
          <w:marLeft w:val="0"/>
          <w:marRight w:val="0"/>
          <w:marTop w:val="0"/>
          <w:marBottom w:val="0"/>
          <w:divBdr>
            <w:top w:val="none" w:sz="0" w:space="0" w:color="auto"/>
            <w:left w:val="none" w:sz="0" w:space="0" w:color="auto"/>
            <w:bottom w:val="none" w:sz="0" w:space="0" w:color="auto"/>
            <w:right w:val="none" w:sz="0" w:space="0" w:color="auto"/>
          </w:divBdr>
          <w:divsChild>
            <w:div w:id="925847856">
              <w:marLeft w:val="0"/>
              <w:marRight w:val="0"/>
              <w:marTop w:val="0"/>
              <w:marBottom w:val="0"/>
              <w:divBdr>
                <w:top w:val="none" w:sz="0" w:space="0" w:color="auto"/>
                <w:left w:val="none" w:sz="0" w:space="0" w:color="auto"/>
                <w:bottom w:val="none" w:sz="0" w:space="0" w:color="auto"/>
                <w:right w:val="none" w:sz="0" w:space="0" w:color="auto"/>
              </w:divBdr>
              <w:divsChild>
                <w:div w:id="72151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6106">
          <w:marLeft w:val="0"/>
          <w:marRight w:val="0"/>
          <w:marTop w:val="0"/>
          <w:marBottom w:val="0"/>
          <w:divBdr>
            <w:top w:val="none" w:sz="0" w:space="0" w:color="auto"/>
            <w:left w:val="none" w:sz="0" w:space="0" w:color="auto"/>
            <w:bottom w:val="none" w:sz="0" w:space="0" w:color="auto"/>
            <w:right w:val="none" w:sz="0" w:space="0" w:color="auto"/>
          </w:divBdr>
          <w:divsChild>
            <w:div w:id="1464882421">
              <w:marLeft w:val="0"/>
              <w:marRight w:val="0"/>
              <w:marTop w:val="0"/>
              <w:marBottom w:val="0"/>
              <w:divBdr>
                <w:top w:val="none" w:sz="0" w:space="0" w:color="auto"/>
                <w:left w:val="none" w:sz="0" w:space="0" w:color="auto"/>
                <w:bottom w:val="none" w:sz="0" w:space="0" w:color="auto"/>
                <w:right w:val="none" w:sz="0" w:space="0" w:color="auto"/>
              </w:divBdr>
            </w:div>
            <w:div w:id="1320380257">
              <w:marLeft w:val="0"/>
              <w:marRight w:val="0"/>
              <w:marTop w:val="0"/>
              <w:marBottom w:val="0"/>
              <w:divBdr>
                <w:top w:val="none" w:sz="0" w:space="0" w:color="auto"/>
                <w:left w:val="none" w:sz="0" w:space="0" w:color="auto"/>
                <w:bottom w:val="none" w:sz="0" w:space="0" w:color="auto"/>
                <w:right w:val="none" w:sz="0" w:space="0" w:color="auto"/>
              </w:divBdr>
            </w:div>
            <w:div w:id="706216629">
              <w:marLeft w:val="0"/>
              <w:marRight w:val="0"/>
              <w:marTop w:val="0"/>
              <w:marBottom w:val="0"/>
              <w:divBdr>
                <w:top w:val="none" w:sz="0" w:space="0" w:color="auto"/>
                <w:left w:val="none" w:sz="0" w:space="0" w:color="auto"/>
                <w:bottom w:val="none" w:sz="0" w:space="0" w:color="auto"/>
                <w:right w:val="none" w:sz="0" w:space="0" w:color="auto"/>
              </w:divBdr>
            </w:div>
            <w:div w:id="2934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4220">
      <w:bodyDiv w:val="1"/>
      <w:marLeft w:val="0"/>
      <w:marRight w:val="0"/>
      <w:marTop w:val="0"/>
      <w:marBottom w:val="0"/>
      <w:divBdr>
        <w:top w:val="none" w:sz="0" w:space="0" w:color="auto"/>
        <w:left w:val="none" w:sz="0" w:space="0" w:color="auto"/>
        <w:bottom w:val="none" w:sz="0" w:space="0" w:color="auto"/>
        <w:right w:val="none" w:sz="0" w:space="0" w:color="auto"/>
      </w:divBdr>
    </w:div>
    <w:div w:id="968776706">
      <w:bodyDiv w:val="1"/>
      <w:marLeft w:val="0"/>
      <w:marRight w:val="0"/>
      <w:marTop w:val="0"/>
      <w:marBottom w:val="0"/>
      <w:divBdr>
        <w:top w:val="none" w:sz="0" w:space="0" w:color="auto"/>
        <w:left w:val="none" w:sz="0" w:space="0" w:color="auto"/>
        <w:bottom w:val="none" w:sz="0" w:space="0" w:color="auto"/>
        <w:right w:val="none" w:sz="0" w:space="0" w:color="auto"/>
      </w:divBdr>
    </w:div>
    <w:div w:id="991063053">
      <w:bodyDiv w:val="1"/>
      <w:marLeft w:val="0"/>
      <w:marRight w:val="0"/>
      <w:marTop w:val="0"/>
      <w:marBottom w:val="0"/>
      <w:divBdr>
        <w:top w:val="none" w:sz="0" w:space="0" w:color="auto"/>
        <w:left w:val="none" w:sz="0" w:space="0" w:color="auto"/>
        <w:bottom w:val="none" w:sz="0" w:space="0" w:color="auto"/>
        <w:right w:val="none" w:sz="0" w:space="0" w:color="auto"/>
      </w:divBdr>
    </w:div>
    <w:div w:id="1053431964">
      <w:bodyDiv w:val="1"/>
      <w:marLeft w:val="0"/>
      <w:marRight w:val="0"/>
      <w:marTop w:val="0"/>
      <w:marBottom w:val="0"/>
      <w:divBdr>
        <w:top w:val="none" w:sz="0" w:space="0" w:color="auto"/>
        <w:left w:val="none" w:sz="0" w:space="0" w:color="auto"/>
        <w:bottom w:val="none" w:sz="0" w:space="0" w:color="auto"/>
        <w:right w:val="none" w:sz="0" w:space="0" w:color="auto"/>
      </w:divBdr>
    </w:div>
    <w:div w:id="1230655642">
      <w:bodyDiv w:val="1"/>
      <w:marLeft w:val="0"/>
      <w:marRight w:val="0"/>
      <w:marTop w:val="0"/>
      <w:marBottom w:val="0"/>
      <w:divBdr>
        <w:top w:val="none" w:sz="0" w:space="0" w:color="auto"/>
        <w:left w:val="none" w:sz="0" w:space="0" w:color="auto"/>
        <w:bottom w:val="none" w:sz="0" w:space="0" w:color="auto"/>
        <w:right w:val="none" w:sz="0" w:space="0" w:color="auto"/>
      </w:divBdr>
    </w:div>
    <w:div w:id="1258832219">
      <w:bodyDiv w:val="1"/>
      <w:marLeft w:val="0"/>
      <w:marRight w:val="0"/>
      <w:marTop w:val="0"/>
      <w:marBottom w:val="0"/>
      <w:divBdr>
        <w:top w:val="none" w:sz="0" w:space="0" w:color="auto"/>
        <w:left w:val="none" w:sz="0" w:space="0" w:color="auto"/>
        <w:bottom w:val="none" w:sz="0" w:space="0" w:color="auto"/>
        <w:right w:val="none" w:sz="0" w:space="0" w:color="auto"/>
      </w:divBdr>
    </w:div>
    <w:div w:id="1348217417">
      <w:bodyDiv w:val="1"/>
      <w:marLeft w:val="0"/>
      <w:marRight w:val="0"/>
      <w:marTop w:val="0"/>
      <w:marBottom w:val="0"/>
      <w:divBdr>
        <w:top w:val="none" w:sz="0" w:space="0" w:color="auto"/>
        <w:left w:val="none" w:sz="0" w:space="0" w:color="auto"/>
        <w:bottom w:val="none" w:sz="0" w:space="0" w:color="auto"/>
        <w:right w:val="none" w:sz="0" w:space="0" w:color="auto"/>
      </w:divBdr>
    </w:div>
    <w:div w:id="1354649710">
      <w:bodyDiv w:val="1"/>
      <w:marLeft w:val="0"/>
      <w:marRight w:val="0"/>
      <w:marTop w:val="0"/>
      <w:marBottom w:val="0"/>
      <w:divBdr>
        <w:top w:val="none" w:sz="0" w:space="0" w:color="auto"/>
        <w:left w:val="none" w:sz="0" w:space="0" w:color="auto"/>
        <w:bottom w:val="none" w:sz="0" w:space="0" w:color="auto"/>
        <w:right w:val="none" w:sz="0" w:space="0" w:color="auto"/>
      </w:divBdr>
    </w:div>
    <w:div w:id="1515455839">
      <w:bodyDiv w:val="1"/>
      <w:marLeft w:val="0"/>
      <w:marRight w:val="0"/>
      <w:marTop w:val="0"/>
      <w:marBottom w:val="0"/>
      <w:divBdr>
        <w:top w:val="none" w:sz="0" w:space="0" w:color="auto"/>
        <w:left w:val="none" w:sz="0" w:space="0" w:color="auto"/>
        <w:bottom w:val="none" w:sz="0" w:space="0" w:color="auto"/>
        <w:right w:val="none" w:sz="0" w:space="0" w:color="auto"/>
      </w:divBdr>
    </w:div>
    <w:div w:id="1638223571">
      <w:bodyDiv w:val="1"/>
      <w:marLeft w:val="0"/>
      <w:marRight w:val="0"/>
      <w:marTop w:val="0"/>
      <w:marBottom w:val="0"/>
      <w:divBdr>
        <w:top w:val="none" w:sz="0" w:space="0" w:color="auto"/>
        <w:left w:val="none" w:sz="0" w:space="0" w:color="auto"/>
        <w:bottom w:val="none" w:sz="0" w:space="0" w:color="auto"/>
        <w:right w:val="none" w:sz="0" w:space="0" w:color="auto"/>
      </w:divBdr>
    </w:div>
    <w:div w:id="2129543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rginia\AppData\Roaming\Microsoft\Templates\Dise&#241;o%20de%20faceta.dotx" TargetMode="External"/></Relationships>
</file>

<file path=word/theme/theme1.xml><?xml version="1.0" encoding="utf-8"?>
<a:theme xmlns:a="http://schemas.openxmlformats.org/drawingml/2006/main" name="Retrospección">
  <a:themeElements>
    <a:clrScheme name="Retrospección">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ció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ción">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3B4778-46C2-4242-924D-E547DB5A7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Template>
  <TotalTime>0</TotalTime>
  <Pages>11</Pages>
  <Words>3128</Words>
  <Characters>17208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Virginia</dc:creator>
  <cp:lastModifiedBy>Virginia</cp:lastModifiedBy>
  <cp:revision>2</cp:revision>
  <cp:lastPrinted>2016-05-05T02:38:00Z</cp:lastPrinted>
  <dcterms:created xsi:type="dcterms:W3CDTF">2016-05-05T03:17:00Z</dcterms:created>
  <dcterms:modified xsi:type="dcterms:W3CDTF">2016-05-05T03:17:00Z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y fmtid="{D5CDD505-2E9C-101B-9397-08002B2CF9AE}" pid="3" name="KSOProductBuildVer">
    <vt:lpwstr>2058-10.1.0.5503</vt:lpwstr>
  </property>
</Properties>
</file>