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Historia ProA</w:t>
      </w:r>
    </w:p>
    <w:p w:rsidR="00000000" w:rsidDel="00000000" w:rsidP="00000000" w:rsidRDefault="00000000" w:rsidRPr="00000000" w14:paraId="00000002">
      <w:pPr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Fundada en Marzo del 2019  (6/3/2019)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Previamente a esto hubo una reunión de padres de los inscriptos hasta el momento y de docentes. Los días 6/7/8 de Marzo del 2029 se realizó la actividad para la ambientación de los estudiantes de 1er año ProA. La escuela se inició con 16 alumnos en 1er año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Espacios que habitó la escuela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ProA: La municipalidad cedió a modo de préstamo a la escuela PROA los siguientes lugares: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veat" w:cs="Caveat" w:eastAsia="Caveat" w:hAnsi="Caveat"/>
          <w:b w:val="1"/>
          <w:sz w:val="24"/>
          <w:szCs w:val="24"/>
          <w:rtl w:val="0"/>
        </w:rPr>
        <w:t xml:space="preserve">BALANZA DE CAMIONES : FEBRERO DEL 2019 HASTA EL 20 DE MARZO DEL 2020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sz w:val="24"/>
          <w:szCs w:val="24"/>
          <w:rtl w:val="0"/>
        </w:rPr>
        <w:t xml:space="preserve">CENTRO DE CAPACITACIÓN : FEBRERO DEL 2021 HASTA EL 13 DE JUNIO DEL 2022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sz w:val="24"/>
          <w:szCs w:val="24"/>
          <w:rtl w:val="0"/>
        </w:rPr>
        <w:t xml:space="preserve"> EDIFICIO ProA : 13 DE JUNIO HASTA EL MOMENTO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Orientación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: BACHILLER EN INFORMÁTICA CON FORMACIÓN ESPECIALIZADA EN DESARROLLO DE SOFTWARE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Contamos actualmente con un total de  124 estudiantes en los 5 cursos.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Cupo de 25 estudiantes por curso.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 currícula está conformada por asignaturas de la formación general y la formación específica, es decir las asignaturas de la especialidad, que en esta escuela comienzan desde primer año ej: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Sistemas operativos.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Base de datos.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Diseño de interfaces y usabilidad.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Entornos digitales.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Programación 1 y 2.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Robótica.</w:t>
      </w:r>
    </w:p>
    <w:p w:rsidR="00000000" w:rsidDel="00000000" w:rsidP="00000000" w:rsidRDefault="00000000" w:rsidRPr="00000000" w14:paraId="00000013">
      <w:pPr>
        <w:ind w:left="144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El programa ProA incluye de PRIMER a CUARTO año tutorías de las asignaturas de formación general que están a cargo de los docentes del espacio curricular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ProA cuenta con más de 30 docentes, equipo de gestión, personal de limpieza y personal de Paicor.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El equipo de docente cuenta con horas institucionales en donde se planifican y se abordan los proyectos que se llevarán a cabo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</w:rPr>
      </w:pPr>
      <w:bookmarkStart w:colFirst="0" w:colLast="0" w:name="_w41nchego3bw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Paicor incluido (desayuno-almuerzo-merienda)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aveat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