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Data visualization is more than just making numbers look pretty it’s about making them matter.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January 2026, I was tasked with an interesting challenge: illustrating the environmental footprint of one of South Africa’s most common staples the carrot. The goal was to create a visual education tool that tracked the impact of 1kg of carrots from the farm all the way to the table.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Because a South Africa-specific Life Cycle Assessment (LCA) didn't exist, I had to build a "best-estimate" model. This required synthesizing international data and scaling it to our local realities, like our coal-intensive energy grid and the unique irrigation needs of our semi-arid climate.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Raw data can be abstract and cold. To turn these statistics into a narrative, I designed the infographics as a Farm-to-Table Menu.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By structuring the information into "courses" from On-Farm Production and Processing to Transportation and Retail—the complex supply chain became a story anyone could follow. It transformed a technical analysis into "food for thought," allowing viewers to conceptualize the hidden resources behind every bite.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Knowing how to visualize and present data is a key skill for the modern professional. It’s the ability to take complex, fragmented information and "cook" it into something digestible, transparent, and actionable for students, business leaders, and policymakers alike.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a world of data overload, how are you turning your "raw ingredients" into a compelling story?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