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Session cache ownership</w:t>
      </w:r>
    </w:p>
    <w:p>
      <w:r>
        <w:t>Noor Haddad owns session-cache.</w:t>
      </w:r>
    </w:p>
    <w:tbl>
      <w:tblPr/>
      <w:tblGrid>
        <w:gridCol w:w="3000"/>
        <w:gridCol w:w="3000"/>
      </w:tblGrid>
      <w:tr>
        <w:tc>
          <w:p>
            <w:r>
              <w:t>Component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session-cache</w:t>
            </w:r>
          </w:p>
        </w:tc>
        <w:tc>
          <w:p>
            <w:r>
              <w:t>stable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