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A9A84" w14:textId="209093F1" w:rsidR="00AB1FDB" w:rsidRPr="00A02675" w:rsidRDefault="00AB1FDB" w:rsidP="00EB5AB7">
      <w:pPr>
        <w:spacing w:line="480" w:lineRule="auto"/>
        <w:rPr>
          <w:b/>
          <w:bCs/>
          <w:color w:val="000000" w:themeColor="text1"/>
        </w:rPr>
      </w:pPr>
      <w:r w:rsidRPr="00A02675">
        <w:rPr>
          <w:b/>
          <w:bCs/>
          <w:color w:val="000000" w:themeColor="text1"/>
        </w:rPr>
        <w:t>The Effect of Spending per Pupil on State Overweight and Obesity Rates</w:t>
      </w:r>
    </w:p>
    <w:p w14:paraId="0E88E8EE" w14:textId="4EFC3769" w:rsidR="007E68F8" w:rsidRPr="00A02675" w:rsidRDefault="007E68F8" w:rsidP="00EB5AB7">
      <w:pPr>
        <w:spacing w:line="480" w:lineRule="auto"/>
        <w:rPr>
          <w:color w:val="000000" w:themeColor="text1"/>
        </w:rPr>
      </w:pPr>
      <w:r w:rsidRPr="00A02675">
        <w:rPr>
          <w:color w:val="000000" w:themeColor="text1"/>
        </w:rPr>
        <w:t>By Giovanni Rivera, The University of Texas at Austin</w:t>
      </w:r>
    </w:p>
    <w:p w14:paraId="72947964" w14:textId="77777777" w:rsidR="007E68F8" w:rsidRPr="00A02675" w:rsidRDefault="007E68F8" w:rsidP="00EB5AB7">
      <w:pPr>
        <w:spacing w:line="480" w:lineRule="auto"/>
        <w:rPr>
          <w:color w:val="000000" w:themeColor="text1"/>
        </w:rPr>
      </w:pPr>
    </w:p>
    <w:p w14:paraId="41D1D1C5" w14:textId="3D6D439F" w:rsidR="007E68F8" w:rsidRPr="00A02675" w:rsidRDefault="007E68F8" w:rsidP="00EB5AB7">
      <w:pPr>
        <w:spacing w:line="480" w:lineRule="auto"/>
        <w:rPr>
          <w:b/>
          <w:bCs/>
          <w:color w:val="000000" w:themeColor="text1"/>
        </w:rPr>
      </w:pPr>
      <w:r w:rsidRPr="00A02675">
        <w:rPr>
          <w:b/>
          <w:bCs/>
          <w:color w:val="000000" w:themeColor="text1"/>
        </w:rPr>
        <w:t>Introduction</w:t>
      </w:r>
    </w:p>
    <w:p w14:paraId="2C0EDA67" w14:textId="77777777" w:rsidR="0056286A" w:rsidRPr="00A02675" w:rsidRDefault="0056286A" w:rsidP="0056286A">
      <w:pPr>
        <w:spacing w:line="480" w:lineRule="auto"/>
        <w:rPr>
          <w:color w:val="000000" w:themeColor="text1"/>
        </w:rPr>
      </w:pPr>
      <w:r w:rsidRPr="00A02675">
        <w:rPr>
          <w:color w:val="000000" w:themeColor="text1"/>
        </w:rPr>
        <w:t>The current obesity problem in the United States has worsened in recent years as obesity has increased, especially among men and minority groups. Obesity has risen by 7% from 2000 through 2010 (Olson. 2014). It is leading to the U.S. being one of the most obese countries in the world, ranking among the first quarter of most obese countries in the world. An estimated 41.64% of all adult males in the United States are obese as of 2022, and an estimated 20.54% of all children in the United States are obese (Obesity. 2024).</w:t>
      </w:r>
    </w:p>
    <w:p w14:paraId="50DD7BEE" w14:textId="77777777" w:rsidR="0056286A" w:rsidRPr="00A02675" w:rsidRDefault="0056286A" w:rsidP="0056286A">
      <w:pPr>
        <w:spacing w:line="480" w:lineRule="auto"/>
        <w:rPr>
          <w:color w:val="000000" w:themeColor="text1"/>
        </w:rPr>
      </w:pPr>
    </w:p>
    <w:p w14:paraId="26C934AF" w14:textId="5BE8437C" w:rsidR="00243D2D" w:rsidRPr="00A02675" w:rsidRDefault="0056286A" w:rsidP="0056286A">
      <w:pPr>
        <w:spacing w:line="480" w:lineRule="auto"/>
        <w:rPr>
          <w:color w:val="000000" w:themeColor="text1"/>
        </w:rPr>
      </w:pPr>
      <w:r w:rsidRPr="00A02675">
        <w:rPr>
          <w:color w:val="000000" w:themeColor="text1"/>
        </w:rPr>
        <w:t>The current school expenditure per pupil significantly contributes to the current norm. School funding often impacts educational resources and programs related to physical health, nutrition, and overall well-being. Public school expenditure may influence academic outcomes, health awareness, and access to healthier meal choices among students. A lower spending per pupil can lead to dietary constraints, including a smaller selection of nutritious food options through school meals and a lower understanding of what health entails.</w:t>
      </w:r>
    </w:p>
    <w:p w14:paraId="142F90FB" w14:textId="77777777" w:rsidR="0056286A" w:rsidRPr="00A02675" w:rsidRDefault="0056286A" w:rsidP="0056286A">
      <w:pPr>
        <w:spacing w:line="480" w:lineRule="auto"/>
        <w:rPr>
          <w:color w:val="000000" w:themeColor="text1"/>
        </w:rPr>
      </w:pPr>
    </w:p>
    <w:p w14:paraId="0386D981" w14:textId="77777777" w:rsidR="00102624" w:rsidRPr="00A02675" w:rsidRDefault="00102624" w:rsidP="00102624">
      <w:pPr>
        <w:spacing w:line="480" w:lineRule="auto"/>
        <w:rPr>
          <w:color w:val="000000" w:themeColor="text1"/>
        </w:rPr>
      </w:pPr>
      <w:r w:rsidRPr="00A02675">
        <w:rPr>
          <w:color w:val="000000" w:themeColor="text1"/>
        </w:rPr>
        <w:t>Furthermore, tackling the issue of overweight and obesity during childhood and adolescence is crucial since creating healthy habits early on can lead to continuing healthy habits later in life.</w:t>
      </w:r>
    </w:p>
    <w:p w14:paraId="3E469670" w14:textId="77777777" w:rsidR="00102624" w:rsidRPr="00A02675" w:rsidRDefault="00102624" w:rsidP="00102624">
      <w:pPr>
        <w:spacing w:line="480" w:lineRule="auto"/>
        <w:rPr>
          <w:color w:val="000000" w:themeColor="text1"/>
        </w:rPr>
      </w:pPr>
      <w:r w:rsidRPr="00A02675">
        <w:rPr>
          <w:color w:val="000000" w:themeColor="text1"/>
        </w:rPr>
        <w:t>In contrast, overweight and obese children are twice as likely to maintain those unhealthy habits and become overweight and obese adults (Singh et al., 2008).</w:t>
      </w:r>
    </w:p>
    <w:p w14:paraId="36415E41" w14:textId="5C442B86" w:rsidR="00AB1FDB" w:rsidRPr="00A02675" w:rsidRDefault="00102624" w:rsidP="00102624">
      <w:pPr>
        <w:spacing w:line="480" w:lineRule="auto"/>
        <w:rPr>
          <w:color w:val="000000" w:themeColor="text1"/>
        </w:rPr>
      </w:pPr>
      <w:r w:rsidRPr="00A02675">
        <w:rPr>
          <w:color w:val="000000" w:themeColor="text1"/>
        </w:rPr>
        <w:lastRenderedPageBreak/>
        <w:t>Ultimately, obesity leads to major health issues not only in childhood and adolescence but also through adulthood. The prevalence of obesity can cause major health and clinical issues, including diabetes, cardiovascular diseases, respiratory anomalies, and more (Kyrou et al., 2010). This study contributes to previous related literature by estimating the effect of public school, K through 12, spending per pupil on state-specific obesity rates.</w:t>
      </w:r>
    </w:p>
    <w:p w14:paraId="7636BBC7" w14:textId="77777777" w:rsidR="00102624" w:rsidRPr="00A02675" w:rsidRDefault="00102624" w:rsidP="00102624">
      <w:pPr>
        <w:spacing w:line="480" w:lineRule="auto"/>
        <w:rPr>
          <w:color w:val="000000" w:themeColor="text1"/>
        </w:rPr>
      </w:pPr>
    </w:p>
    <w:p w14:paraId="4A421F24" w14:textId="24211F00" w:rsidR="00AB1FDB" w:rsidRPr="00A02675" w:rsidRDefault="00AB1FDB" w:rsidP="00EB5AB7">
      <w:pPr>
        <w:spacing w:line="480" w:lineRule="auto"/>
        <w:rPr>
          <w:b/>
          <w:bCs/>
          <w:color w:val="000000" w:themeColor="text1"/>
        </w:rPr>
      </w:pPr>
      <w:r w:rsidRPr="00A02675">
        <w:rPr>
          <w:b/>
          <w:bCs/>
          <w:color w:val="000000" w:themeColor="text1"/>
        </w:rPr>
        <w:t>Literature Review</w:t>
      </w:r>
    </w:p>
    <w:p w14:paraId="5B20BB18" w14:textId="45A45FB5" w:rsidR="00AB1FDB" w:rsidRPr="00A02675" w:rsidRDefault="002E413D" w:rsidP="002E413D">
      <w:pPr>
        <w:spacing w:line="480" w:lineRule="auto"/>
        <w:rPr>
          <w:color w:val="000000" w:themeColor="text1"/>
        </w:rPr>
      </w:pPr>
      <w:r w:rsidRPr="00A02675">
        <w:rPr>
          <w:color w:val="000000" w:themeColor="text1"/>
        </w:rPr>
        <w:t>More research is needed to identify the causal effect of spending per pupil on obesity. While some literature highlights the influence of educational funding on health outcomes, the direct impact on obesity remains largely unexplored. This includes educational funding for physical education. All 50 states directly fund some sort of multicomponent physical education (Roundtable on Obesity Solutions et al. 2014). Despite this, the prevalence of obesity among children has doubled and/or tripled among most industrial countries from the 1990s through the 2010s, with up to 40% of all North American children being obese (Han et al. 2010).</w:t>
      </w:r>
    </w:p>
    <w:p w14:paraId="1808AE57" w14:textId="77777777" w:rsidR="002E413D" w:rsidRPr="00A02675" w:rsidRDefault="002E413D" w:rsidP="002E413D">
      <w:pPr>
        <w:spacing w:line="480" w:lineRule="auto"/>
        <w:rPr>
          <w:b/>
          <w:bCs/>
          <w:color w:val="000000" w:themeColor="text1"/>
        </w:rPr>
      </w:pPr>
    </w:p>
    <w:p w14:paraId="1F530A46" w14:textId="6C3204A6" w:rsidR="00AB1FDB" w:rsidRPr="00A02675" w:rsidRDefault="00AB1FDB" w:rsidP="00EB5AB7">
      <w:pPr>
        <w:spacing w:line="480" w:lineRule="auto"/>
        <w:rPr>
          <w:b/>
          <w:bCs/>
          <w:color w:val="000000" w:themeColor="text1"/>
        </w:rPr>
      </w:pPr>
      <w:r w:rsidRPr="00A02675">
        <w:rPr>
          <w:b/>
          <w:bCs/>
          <w:color w:val="000000" w:themeColor="text1"/>
        </w:rPr>
        <w:t>Empirical Model</w:t>
      </w:r>
    </w:p>
    <w:p w14:paraId="0F5AC58F" w14:textId="77777777" w:rsidR="008F32EC" w:rsidRPr="00A02675" w:rsidRDefault="008F32EC" w:rsidP="008F32EC">
      <w:pPr>
        <w:spacing w:line="480" w:lineRule="auto"/>
        <w:rPr>
          <w:color w:val="000000" w:themeColor="text1"/>
        </w:rPr>
      </w:pPr>
      <w:r w:rsidRPr="00A02675">
        <w:rPr>
          <w:color w:val="000000" w:themeColor="text1"/>
        </w:rPr>
        <w:t>This Linear Regression model is used to estimate the relationship between state obesity rates and K through 12 spending per pupil. In this research paper, the following regression model is used to estimate the relationship.</w:t>
      </w:r>
    </w:p>
    <w:p w14:paraId="2859B580" w14:textId="77777777" w:rsidR="008F32EC" w:rsidRPr="00A02675" w:rsidRDefault="008F32EC" w:rsidP="008F32EC">
      <w:pPr>
        <w:spacing w:line="480" w:lineRule="auto"/>
        <w:rPr>
          <w:color w:val="000000" w:themeColor="text1"/>
        </w:rPr>
      </w:pPr>
    </w:p>
    <w:p w14:paraId="1494ABF8" w14:textId="77777777" w:rsidR="008F32EC" w:rsidRPr="00A02675" w:rsidRDefault="008F32EC" w:rsidP="008F32EC">
      <w:pPr>
        <w:spacing w:line="480" w:lineRule="auto"/>
        <w:rPr>
          <w:color w:val="000000" w:themeColor="text1"/>
        </w:rPr>
      </w:pPr>
      <w:r w:rsidRPr="00A02675">
        <w:rPr>
          <w:color w:val="000000" w:themeColor="text1"/>
        </w:rPr>
        <w:t xml:space="preserve">Overweight </w:t>
      </w:r>
      <w:r w:rsidRPr="00A02675">
        <w:rPr>
          <w:rFonts w:ascii="Cambria Math" w:hAnsi="Cambria Math" w:cs="Cambria Math"/>
          <w:color w:val="000000" w:themeColor="text1"/>
        </w:rPr>
        <w:t>∧</w:t>
      </w:r>
      <w:r w:rsidRPr="00A02675">
        <w:rPr>
          <w:color w:val="000000" w:themeColor="text1"/>
        </w:rPr>
        <w:t xml:space="preserve"> Obesity rate = α + β1Spending per Pupil + β2Income + β3Uninsured + β4Region +u</w:t>
      </w:r>
    </w:p>
    <w:p w14:paraId="72E8D625" w14:textId="269612FA" w:rsidR="00AB1FDB" w:rsidRPr="00A02675" w:rsidRDefault="008F32EC" w:rsidP="008F32EC">
      <w:pPr>
        <w:spacing w:line="480" w:lineRule="auto"/>
        <w:rPr>
          <w:color w:val="000000" w:themeColor="text1"/>
        </w:rPr>
      </w:pPr>
      <w:r w:rsidRPr="00A02675">
        <w:rPr>
          <w:color w:val="000000" w:themeColor="text1"/>
        </w:rPr>
        <w:lastRenderedPageBreak/>
        <w:t xml:space="preserve">In the following model, the dependent variables measure the proportion of the population that is overweight and obese. The spending per pupil variable measures the amount each state spent per pupil on their K through 12 </w:t>
      </w:r>
      <w:proofErr w:type="gramStart"/>
      <w:r w:rsidRPr="00A02675">
        <w:rPr>
          <w:color w:val="000000" w:themeColor="text1"/>
        </w:rPr>
        <w:t>education</w:t>
      </w:r>
      <w:proofErr w:type="gramEnd"/>
      <w:r w:rsidRPr="00A02675">
        <w:rPr>
          <w:color w:val="000000" w:themeColor="text1"/>
        </w:rPr>
        <w:t>. The median annual income variable for each state is measured in dollars. The uninsured variable measures the proportion of the total state population without health insurance. Finally, the Midwest region is excluded to control for a geographic region.</w:t>
      </w:r>
    </w:p>
    <w:p w14:paraId="54570DFF" w14:textId="77777777" w:rsidR="008F32EC" w:rsidRPr="00A02675" w:rsidRDefault="008F32EC" w:rsidP="008F32EC">
      <w:pPr>
        <w:spacing w:line="480" w:lineRule="auto"/>
        <w:rPr>
          <w:color w:val="000000" w:themeColor="text1"/>
        </w:rPr>
      </w:pPr>
    </w:p>
    <w:p w14:paraId="774153EB" w14:textId="3AC9F54D" w:rsidR="00AB1FDB" w:rsidRPr="00A02675" w:rsidRDefault="00AB1FDB" w:rsidP="00EB5AB7">
      <w:pPr>
        <w:spacing w:line="480" w:lineRule="auto"/>
        <w:rPr>
          <w:b/>
          <w:bCs/>
          <w:color w:val="000000" w:themeColor="text1"/>
        </w:rPr>
      </w:pPr>
      <w:r w:rsidRPr="00A02675">
        <w:rPr>
          <w:b/>
          <w:bCs/>
          <w:color w:val="000000" w:themeColor="text1"/>
        </w:rPr>
        <w:t>Data</w:t>
      </w:r>
    </w:p>
    <w:p w14:paraId="5F78A1D5" w14:textId="2C441EA4" w:rsidR="00AB1FDB" w:rsidRPr="00A02675" w:rsidRDefault="00AB1FDB" w:rsidP="00EB5AB7">
      <w:pPr>
        <w:spacing w:line="480" w:lineRule="auto"/>
        <w:rPr>
          <w:rFonts w:eastAsiaTheme="minorHAnsi"/>
          <w:color w:val="000000" w:themeColor="text1"/>
        </w:rPr>
      </w:pPr>
      <w:r w:rsidRPr="00A02675">
        <w:rPr>
          <w:color w:val="000000" w:themeColor="text1"/>
        </w:rPr>
        <w:t xml:space="preserve">The data for state and overweight and obesity rates was retrieved from the publicly available data from the Kaiser Family Foundation (KFF): </w:t>
      </w:r>
      <w:hyperlink r:id="rId4" w:history="1">
        <w:r w:rsidRPr="00A02675">
          <w:rPr>
            <w:rStyle w:val="Hyperlink"/>
            <w:color w:val="000000" w:themeColor="text1"/>
          </w:rPr>
          <w:t>Distribution of Body Mass Index Among Adults | KFF</w:t>
        </w:r>
      </w:hyperlink>
    </w:p>
    <w:p w14:paraId="4F43E98A" w14:textId="31E55DF1" w:rsidR="00AB1FDB" w:rsidRPr="00A02675" w:rsidRDefault="00AB1FDB" w:rsidP="00EB5AB7">
      <w:pPr>
        <w:spacing w:line="480" w:lineRule="auto"/>
        <w:rPr>
          <w:color w:val="000000" w:themeColor="text1"/>
        </w:rPr>
      </w:pPr>
    </w:p>
    <w:p w14:paraId="4EBC6D04" w14:textId="4682F7CC" w:rsidR="00AB1FDB" w:rsidRPr="00A02675" w:rsidRDefault="00AB1FDB" w:rsidP="00EB5AB7">
      <w:pPr>
        <w:spacing w:line="480" w:lineRule="auto"/>
        <w:rPr>
          <w:color w:val="000000" w:themeColor="text1"/>
        </w:rPr>
      </w:pPr>
      <w:r w:rsidRPr="00A02675">
        <w:rPr>
          <w:color w:val="000000" w:themeColor="text1"/>
        </w:rPr>
        <w:t>The Kaiser Family Foundation</w:t>
      </w:r>
      <w:r w:rsidR="00945E7D" w:rsidRPr="00A02675">
        <w:rPr>
          <w:color w:val="000000" w:themeColor="text1"/>
        </w:rPr>
        <w:t>’s</w:t>
      </w:r>
      <w:r w:rsidRPr="00A02675">
        <w:rPr>
          <w:color w:val="000000" w:themeColor="text1"/>
        </w:rPr>
        <w:t xml:space="preserve"> overweight and obesity rates data uses body mass index (BMI) data to calculate overweight and obesity rates per state.</w:t>
      </w:r>
      <w:r w:rsidR="00243D2D" w:rsidRPr="00A02675">
        <w:rPr>
          <w:color w:val="000000" w:themeColor="text1"/>
        </w:rPr>
        <w:t xml:space="preserve"> </w:t>
      </w:r>
      <w:r w:rsidRPr="00A02675">
        <w:rPr>
          <w:color w:val="000000" w:themeColor="text1"/>
        </w:rPr>
        <w:t>These estimates are derived from the Behavioral Risk Factor Surveillance System, an ongoing telephone survey conducted with randomly selected non-institutionalized civilian adults aged 18 and older. The dependent variable includes three categories: the percentage of adults who are overweight (BMI between 25 and 29.9), obese (BMI between 30 and 39.9), and severely obese (BMI over 40).</w:t>
      </w:r>
    </w:p>
    <w:p w14:paraId="0383FEA5" w14:textId="77777777" w:rsidR="00AB1FDB" w:rsidRPr="00A02675" w:rsidRDefault="00AB1FDB" w:rsidP="00EB5AB7">
      <w:pPr>
        <w:spacing w:line="480" w:lineRule="auto"/>
        <w:rPr>
          <w:color w:val="000000" w:themeColor="text1"/>
        </w:rPr>
      </w:pPr>
    </w:p>
    <w:p w14:paraId="28EF0D4D" w14:textId="77777777" w:rsidR="00ED6E04" w:rsidRPr="00A02675" w:rsidRDefault="00ED6E04" w:rsidP="00ED6E04">
      <w:pPr>
        <w:spacing w:line="480" w:lineRule="auto"/>
        <w:rPr>
          <w:color w:val="000000" w:themeColor="text1"/>
        </w:rPr>
      </w:pPr>
      <w:r w:rsidRPr="00A02675">
        <w:rPr>
          <w:color w:val="000000" w:themeColor="text1"/>
        </w:rPr>
        <w:t xml:space="preserve">The independent variable of interest measures the spending per pupil on K through 12 </w:t>
      </w:r>
      <w:proofErr w:type="gramStart"/>
      <w:r w:rsidRPr="00A02675">
        <w:rPr>
          <w:color w:val="000000" w:themeColor="text1"/>
        </w:rPr>
        <w:t>education</w:t>
      </w:r>
      <w:proofErr w:type="gramEnd"/>
      <w:r w:rsidRPr="00A02675">
        <w:rPr>
          <w:color w:val="000000" w:themeColor="text1"/>
        </w:rPr>
        <w:t xml:space="preserve"> by state in 2022-2023. The state-level data was obtained from the National Center for Education Statistics, available at </w:t>
      </w:r>
      <w:hyperlink r:id="rId5" w:tgtFrame="_blank" w:history="1">
        <w:r w:rsidRPr="00A02675">
          <w:rPr>
            <w:rStyle w:val="Hyperlink"/>
            <w:color w:val="000000" w:themeColor="text1"/>
          </w:rPr>
          <w:t>Elementary and Secondary Education, Public School Expenditures</w:t>
        </w:r>
      </w:hyperlink>
      <w:r w:rsidRPr="00A02675">
        <w:rPr>
          <w:color w:val="000000" w:themeColor="text1"/>
        </w:rPr>
        <w:t>.</w:t>
      </w:r>
    </w:p>
    <w:p w14:paraId="75DE1B9C" w14:textId="77777777" w:rsidR="00ED6E04" w:rsidRPr="00A02675" w:rsidRDefault="00ED6E04" w:rsidP="00ED6E04">
      <w:pPr>
        <w:spacing w:line="480" w:lineRule="auto"/>
        <w:rPr>
          <w:color w:val="000000" w:themeColor="text1"/>
        </w:rPr>
      </w:pPr>
      <w:r w:rsidRPr="00A02675">
        <w:rPr>
          <w:color w:val="000000" w:themeColor="text1"/>
        </w:rPr>
        <w:lastRenderedPageBreak/>
        <w:t xml:space="preserve">Other state-level variables include annual median income and the proportion of the state population that is uninsured. These other state-level variables were acquired from the 2021-22 Kaiser Family Foundation data: </w:t>
      </w:r>
      <w:hyperlink r:id="rId6" w:tgtFrame="_blank" w:history="1">
        <w:r w:rsidRPr="00A02675">
          <w:rPr>
            <w:rStyle w:val="Hyperlink"/>
            <w:color w:val="000000" w:themeColor="text1"/>
          </w:rPr>
          <w:t>Demographics and the Economy | KFF</w:t>
        </w:r>
      </w:hyperlink>
      <w:r w:rsidRPr="00A02675">
        <w:rPr>
          <w:color w:val="000000" w:themeColor="text1"/>
        </w:rPr>
        <w:t>.</w:t>
      </w:r>
    </w:p>
    <w:p w14:paraId="3DA0E86F" w14:textId="1827D632" w:rsidR="00AB1FDB" w:rsidRPr="00A02675" w:rsidRDefault="00AB1FDB" w:rsidP="00EB5AB7">
      <w:pPr>
        <w:spacing w:line="480" w:lineRule="auto"/>
        <w:rPr>
          <w:color w:val="000000" w:themeColor="text1"/>
        </w:rPr>
      </w:pPr>
    </w:p>
    <w:p w14:paraId="26E4A20C" w14:textId="1E5C7C2D" w:rsidR="00AB1FDB" w:rsidRPr="00A02675" w:rsidRDefault="00AB1FDB" w:rsidP="00EB5AB7">
      <w:pPr>
        <w:spacing w:line="480" w:lineRule="auto"/>
        <w:rPr>
          <w:color w:val="000000" w:themeColor="text1"/>
        </w:rPr>
      </w:pPr>
      <w:r w:rsidRPr="00A02675">
        <w:rPr>
          <w:color w:val="000000" w:themeColor="text1"/>
        </w:rPr>
        <w:t>Table 1: Descriptive Statistics</w:t>
      </w:r>
    </w:p>
    <w:tbl>
      <w:tblPr>
        <w:tblStyle w:val="TableGrid"/>
        <w:tblW w:w="9634" w:type="dxa"/>
        <w:tblLook w:val="04A0" w:firstRow="1" w:lastRow="0" w:firstColumn="1" w:lastColumn="0" w:noHBand="0" w:noVBand="1"/>
      </w:tblPr>
      <w:tblGrid>
        <w:gridCol w:w="2408"/>
        <w:gridCol w:w="2408"/>
        <w:gridCol w:w="2409"/>
        <w:gridCol w:w="2409"/>
      </w:tblGrid>
      <w:tr w:rsidR="00A02675" w:rsidRPr="00A02675" w14:paraId="3A2C259E" w14:textId="77777777" w:rsidTr="00AB1FDB">
        <w:trPr>
          <w:trHeight w:val="553"/>
        </w:trPr>
        <w:tc>
          <w:tcPr>
            <w:tcW w:w="2408" w:type="dxa"/>
          </w:tcPr>
          <w:p w14:paraId="2CDDF86D" w14:textId="26A86457" w:rsidR="00AB1FDB" w:rsidRPr="00A02675" w:rsidRDefault="00AB1FDB" w:rsidP="00EB5AB7">
            <w:pPr>
              <w:spacing w:line="480" w:lineRule="auto"/>
              <w:rPr>
                <w:b/>
                <w:bCs/>
                <w:color w:val="000000" w:themeColor="text1"/>
              </w:rPr>
            </w:pPr>
            <w:r w:rsidRPr="00A02675">
              <w:rPr>
                <w:b/>
                <w:bCs/>
                <w:color w:val="000000" w:themeColor="text1"/>
              </w:rPr>
              <w:t>Variable</w:t>
            </w:r>
          </w:p>
        </w:tc>
        <w:tc>
          <w:tcPr>
            <w:tcW w:w="2408" w:type="dxa"/>
          </w:tcPr>
          <w:p w14:paraId="5A903D65" w14:textId="073EC615" w:rsidR="00AB1FDB" w:rsidRPr="00A02675" w:rsidRDefault="00AB1FDB" w:rsidP="00EB5AB7">
            <w:pPr>
              <w:spacing w:line="480" w:lineRule="auto"/>
              <w:rPr>
                <w:b/>
                <w:bCs/>
                <w:color w:val="000000" w:themeColor="text1"/>
              </w:rPr>
            </w:pPr>
            <w:r w:rsidRPr="00A02675">
              <w:rPr>
                <w:b/>
                <w:bCs/>
                <w:color w:val="000000" w:themeColor="text1"/>
              </w:rPr>
              <w:t>Mean</w:t>
            </w:r>
          </w:p>
        </w:tc>
        <w:tc>
          <w:tcPr>
            <w:tcW w:w="2409" w:type="dxa"/>
          </w:tcPr>
          <w:p w14:paraId="6A9036B0" w14:textId="10B7D146" w:rsidR="00AB1FDB" w:rsidRPr="00A02675" w:rsidRDefault="00AB1FDB" w:rsidP="00EB5AB7">
            <w:pPr>
              <w:spacing w:line="480" w:lineRule="auto"/>
              <w:rPr>
                <w:b/>
                <w:bCs/>
                <w:color w:val="000000" w:themeColor="text1"/>
              </w:rPr>
            </w:pPr>
            <w:r w:rsidRPr="00A02675">
              <w:rPr>
                <w:b/>
                <w:bCs/>
                <w:color w:val="000000" w:themeColor="text1"/>
              </w:rPr>
              <w:t>Minimum</w:t>
            </w:r>
          </w:p>
        </w:tc>
        <w:tc>
          <w:tcPr>
            <w:tcW w:w="2409" w:type="dxa"/>
          </w:tcPr>
          <w:p w14:paraId="398EE677" w14:textId="4E7965B1" w:rsidR="00AB1FDB" w:rsidRPr="00A02675" w:rsidRDefault="00AB1FDB" w:rsidP="00EB5AB7">
            <w:pPr>
              <w:spacing w:line="480" w:lineRule="auto"/>
              <w:rPr>
                <w:b/>
                <w:bCs/>
                <w:color w:val="000000" w:themeColor="text1"/>
              </w:rPr>
            </w:pPr>
            <w:r w:rsidRPr="00A02675">
              <w:rPr>
                <w:b/>
                <w:bCs/>
                <w:color w:val="000000" w:themeColor="text1"/>
              </w:rPr>
              <w:t>Maximum</w:t>
            </w:r>
          </w:p>
        </w:tc>
      </w:tr>
      <w:tr w:rsidR="00A02675" w:rsidRPr="00A02675" w14:paraId="445DE8F4" w14:textId="77777777" w:rsidTr="00AB1FDB">
        <w:trPr>
          <w:trHeight w:val="1121"/>
        </w:trPr>
        <w:tc>
          <w:tcPr>
            <w:tcW w:w="2408" w:type="dxa"/>
          </w:tcPr>
          <w:p w14:paraId="4AABF5B1" w14:textId="6B92E008" w:rsidR="00AB1FDB" w:rsidRPr="00A02675" w:rsidRDefault="00AB1FDB" w:rsidP="00EB5AB7">
            <w:pPr>
              <w:spacing w:line="480" w:lineRule="auto"/>
              <w:rPr>
                <w:b/>
                <w:bCs/>
                <w:color w:val="000000" w:themeColor="text1"/>
              </w:rPr>
            </w:pPr>
            <w:r w:rsidRPr="00A02675">
              <w:rPr>
                <w:b/>
                <w:bCs/>
                <w:color w:val="000000" w:themeColor="text1"/>
              </w:rPr>
              <w:t>Overweight &amp; Obesity</w:t>
            </w:r>
          </w:p>
        </w:tc>
        <w:tc>
          <w:tcPr>
            <w:tcW w:w="2408" w:type="dxa"/>
          </w:tcPr>
          <w:p w14:paraId="41FD523B" w14:textId="4536A53D" w:rsidR="00AB1FDB" w:rsidRPr="00A02675" w:rsidRDefault="00AB1FDB" w:rsidP="00EB5AB7">
            <w:pPr>
              <w:spacing w:line="480" w:lineRule="auto"/>
              <w:rPr>
                <w:color w:val="000000" w:themeColor="text1"/>
              </w:rPr>
            </w:pPr>
            <w:r w:rsidRPr="00A02675">
              <w:rPr>
                <w:color w:val="000000" w:themeColor="text1"/>
              </w:rPr>
              <w:t>68.75</w:t>
            </w:r>
          </w:p>
        </w:tc>
        <w:tc>
          <w:tcPr>
            <w:tcW w:w="2409" w:type="dxa"/>
          </w:tcPr>
          <w:p w14:paraId="2E486D7D" w14:textId="5C6E0062" w:rsidR="00AB1FDB" w:rsidRPr="00A02675" w:rsidRDefault="00AB1FDB" w:rsidP="00EB5AB7">
            <w:pPr>
              <w:spacing w:line="480" w:lineRule="auto"/>
              <w:rPr>
                <w:color w:val="000000" w:themeColor="text1"/>
              </w:rPr>
            </w:pPr>
            <w:r w:rsidRPr="00A02675">
              <w:rPr>
                <w:rFonts w:eastAsiaTheme="majorEastAsia"/>
                <w:color w:val="000000" w:themeColor="text1"/>
              </w:rPr>
              <w:t>56.7</w:t>
            </w:r>
          </w:p>
        </w:tc>
        <w:tc>
          <w:tcPr>
            <w:tcW w:w="2409" w:type="dxa"/>
          </w:tcPr>
          <w:p w14:paraId="2B9D15E6" w14:textId="0E228908" w:rsidR="00AB1FDB" w:rsidRPr="00A02675" w:rsidRDefault="00AB1FDB" w:rsidP="00EB5AB7">
            <w:pPr>
              <w:spacing w:line="480" w:lineRule="auto"/>
              <w:rPr>
                <w:color w:val="000000" w:themeColor="text1"/>
              </w:rPr>
            </w:pPr>
            <w:r w:rsidRPr="00A02675">
              <w:rPr>
                <w:color w:val="000000" w:themeColor="text1"/>
              </w:rPr>
              <w:t>75</w:t>
            </w:r>
          </w:p>
        </w:tc>
      </w:tr>
      <w:tr w:rsidR="00A02675" w:rsidRPr="00A02675" w14:paraId="69A89A5F" w14:textId="77777777" w:rsidTr="00AB1FDB">
        <w:trPr>
          <w:trHeight w:val="568"/>
        </w:trPr>
        <w:tc>
          <w:tcPr>
            <w:tcW w:w="2408" w:type="dxa"/>
          </w:tcPr>
          <w:p w14:paraId="61BEAEA8" w14:textId="7051C0B6" w:rsidR="00AB1FDB" w:rsidRPr="00A02675" w:rsidRDefault="00AB1FDB" w:rsidP="00EB5AB7">
            <w:pPr>
              <w:spacing w:line="480" w:lineRule="auto"/>
              <w:rPr>
                <w:b/>
                <w:bCs/>
                <w:color w:val="000000" w:themeColor="text1"/>
              </w:rPr>
            </w:pPr>
            <w:r w:rsidRPr="00A02675">
              <w:rPr>
                <w:b/>
                <w:bCs/>
                <w:color w:val="000000" w:themeColor="text1"/>
              </w:rPr>
              <w:t>Spending per Pupil ($)</w:t>
            </w:r>
          </w:p>
        </w:tc>
        <w:tc>
          <w:tcPr>
            <w:tcW w:w="2408" w:type="dxa"/>
          </w:tcPr>
          <w:p w14:paraId="6B3F50F3" w14:textId="7645CD3D" w:rsidR="00AB1FDB" w:rsidRPr="00A02675" w:rsidRDefault="00AB1FDB" w:rsidP="00EB5AB7">
            <w:pPr>
              <w:spacing w:line="480" w:lineRule="auto"/>
              <w:rPr>
                <w:color w:val="000000" w:themeColor="text1"/>
              </w:rPr>
            </w:pPr>
            <w:r w:rsidRPr="00A02675">
              <w:rPr>
                <w:color w:val="000000" w:themeColor="text1"/>
              </w:rPr>
              <w:t>18,986.27</w:t>
            </w:r>
          </w:p>
        </w:tc>
        <w:tc>
          <w:tcPr>
            <w:tcW w:w="2409" w:type="dxa"/>
          </w:tcPr>
          <w:p w14:paraId="77116605" w14:textId="1F3F67F0" w:rsidR="00AB1FDB" w:rsidRPr="00A02675" w:rsidRDefault="00AB1FDB" w:rsidP="00EB5AB7">
            <w:pPr>
              <w:spacing w:line="480" w:lineRule="auto"/>
              <w:rPr>
                <w:color w:val="000000" w:themeColor="text1"/>
              </w:rPr>
            </w:pPr>
            <w:r w:rsidRPr="00A02675">
              <w:rPr>
                <w:color w:val="000000" w:themeColor="text1"/>
              </w:rPr>
              <w:t>11,700</w:t>
            </w:r>
          </w:p>
        </w:tc>
        <w:tc>
          <w:tcPr>
            <w:tcW w:w="2409" w:type="dxa"/>
          </w:tcPr>
          <w:p w14:paraId="7183D5A9" w14:textId="7EDB1FB7" w:rsidR="00AB1FDB" w:rsidRPr="00A02675" w:rsidRDefault="00AB1FDB" w:rsidP="00EB5AB7">
            <w:pPr>
              <w:spacing w:line="480" w:lineRule="auto"/>
              <w:rPr>
                <w:color w:val="000000" w:themeColor="text1"/>
              </w:rPr>
            </w:pPr>
            <w:r w:rsidRPr="00A02675">
              <w:rPr>
                <w:color w:val="000000" w:themeColor="text1"/>
              </w:rPr>
              <w:t>37,800</w:t>
            </w:r>
          </w:p>
        </w:tc>
      </w:tr>
      <w:tr w:rsidR="00A02675" w:rsidRPr="00A02675" w14:paraId="36FAE0C4" w14:textId="77777777" w:rsidTr="00AB1FDB">
        <w:trPr>
          <w:trHeight w:val="553"/>
        </w:trPr>
        <w:tc>
          <w:tcPr>
            <w:tcW w:w="2408" w:type="dxa"/>
          </w:tcPr>
          <w:p w14:paraId="04371099" w14:textId="4C71D176" w:rsidR="00AB1FDB" w:rsidRPr="00A02675" w:rsidRDefault="00AB1FDB" w:rsidP="00EB5AB7">
            <w:pPr>
              <w:spacing w:line="480" w:lineRule="auto"/>
              <w:rPr>
                <w:b/>
                <w:bCs/>
                <w:color w:val="000000" w:themeColor="text1"/>
              </w:rPr>
            </w:pPr>
            <w:r w:rsidRPr="00A02675">
              <w:rPr>
                <w:b/>
                <w:bCs/>
                <w:color w:val="000000" w:themeColor="text1"/>
              </w:rPr>
              <w:t>Median Income ($)</w:t>
            </w:r>
          </w:p>
        </w:tc>
        <w:tc>
          <w:tcPr>
            <w:tcW w:w="2408" w:type="dxa"/>
          </w:tcPr>
          <w:p w14:paraId="4F846824" w14:textId="1ADF6547" w:rsidR="00AB1FDB" w:rsidRPr="00A02675" w:rsidRDefault="00AB1FDB" w:rsidP="00EB5AB7">
            <w:pPr>
              <w:spacing w:line="480" w:lineRule="auto"/>
              <w:rPr>
                <w:color w:val="000000" w:themeColor="text1"/>
              </w:rPr>
            </w:pPr>
            <w:r w:rsidRPr="00A02675">
              <w:rPr>
                <w:color w:val="000000" w:themeColor="text1"/>
              </w:rPr>
              <w:t>69,439.84</w:t>
            </w:r>
          </w:p>
        </w:tc>
        <w:tc>
          <w:tcPr>
            <w:tcW w:w="2409" w:type="dxa"/>
          </w:tcPr>
          <w:p w14:paraId="259C0D83" w14:textId="00CCEA19" w:rsidR="00AB1FDB" w:rsidRPr="00A02675" w:rsidRDefault="00AB1FDB" w:rsidP="00EB5AB7">
            <w:pPr>
              <w:spacing w:line="480" w:lineRule="auto"/>
              <w:rPr>
                <w:color w:val="000000" w:themeColor="text1"/>
              </w:rPr>
            </w:pPr>
            <w:r w:rsidRPr="00A02675">
              <w:rPr>
                <w:color w:val="000000" w:themeColor="text1"/>
              </w:rPr>
              <w:t>48,716</w:t>
            </w:r>
          </w:p>
        </w:tc>
        <w:tc>
          <w:tcPr>
            <w:tcW w:w="2409" w:type="dxa"/>
          </w:tcPr>
          <w:p w14:paraId="6EBF2BA9" w14:textId="0A25C922" w:rsidR="00AB1FDB" w:rsidRPr="00A02675" w:rsidRDefault="00AB1FDB" w:rsidP="00EB5AB7">
            <w:pPr>
              <w:spacing w:line="480" w:lineRule="auto"/>
              <w:rPr>
                <w:color w:val="000000" w:themeColor="text1"/>
              </w:rPr>
            </w:pPr>
            <w:r w:rsidRPr="00A02675">
              <w:rPr>
                <w:color w:val="000000" w:themeColor="text1"/>
              </w:rPr>
              <w:t>90,203</w:t>
            </w:r>
          </w:p>
        </w:tc>
      </w:tr>
      <w:tr w:rsidR="00A02675" w:rsidRPr="00A02675" w14:paraId="02638C4A" w14:textId="77777777" w:rsidTr="00AB1FDB">
        <w:trPr>
          <w:trHeight w:val="553"/>
        </w:trPr>
        <w:tc>
          <w:tcPr>
            <w:tcW w:w="2408" w:type="dxa"/>
          </w:tcPr>
          <w:p w14:paraId="518D881C" w14:textId="73F67990" w:rsidR="00AB1FDB" w:rsidRPr="00A02675" w:rsidRDefault="00AB1FDB" w:rsidP="00EB5AB7">
            <w:pPr>
              <w:spacing w:line="480" w:lineRule="auto"/>
              <w:rPr>
                <w:b/>
                <w:bCs/>
                <w:color w:val="000000" w:themeColor="text1"/>
              </w:rPr>
            </w:pPr>
            <w:r w:rsidRPr="00A02675">
              <w:rPr>
                <w:b/>
                <w:bCs/>
                <w:color w:val="000000" w:themeColor="text1"/>
              </w:rPr>
              <w:t>Uninsured (%)</w:t>
            </w:r>
          </w:p>
        </w:tc>
        <w:tc>
          <w:tcPr>
            <w:tcW w:w="2408" w:type="dxa"/>
          </w:tcPr>
          <w:p w14:paraId="3DAB69E5" w14:textId="2D597554" w:rsidR="00AB1FDB" w:rsidRPr="00A02675" w:rsidRDefault="00AB1FDB" w:rsidP="00EB5AB7">
            <w:pPr>
              <w:spacing w:line="480" w:lineRule="auto"/>
              <w:rPr>
                <w:color w:val="000000" w:themeColor="text1"/>
              </w:rPr>
            </w:pPr>
            <w:r w:rsidRPr="00A02675">
              <w:rPr>
                <w:color w:val="000000" w:themeColor="text1"/>
              </w:rPr>
              <w:t>7.29</w:t>
            </w:r>
          </w:p>
        </w:tc>
        <w:tc>
          <w:tcPr>
            <w:tcW w:w="2409" w:type="dxa"/>
          </w:tcPr>
          <w:p w14:paraId="740A5A38" w14:textId="0A29A89F" w:rsidR="00AB1FDB" w:rsidRPr="00A02675" w:rsidRDefault="00AB1FDB" w:rsidP="00EB5AB7">
            <w:pPr>
              <w:spacing w:line="480" w:lineRule="auto"/>
              <w:rPr>
                <w:color w:val="000000" w:themeColor="text1"/>
              </w:rPr>
            </w:pPr>
            <w:r w:rsidRPr="00A02675">
              <w:rPr>
                <w:rFonts w:eastAsiaTheme="majorEastAsia"/>
                <w:color w:val="000000" w:themeColor="text1"/>
              </w:rPr>
              <w:t>2.4</w:t>
            </w:r>
          </w:p>
        </w:tc>
        <w:tc>
          <w:tcPr>
            <w:tcW w:w="2409" w:type="dxa"/>
          </w:tcPr>
          <w:p w14:paraId="4C3402FD" w14:textId="0D0A92A3" w:rsidR="00AB1FDB" w:rsidRPr="00A02675" w:rsidRDefault="00AB1FDB" w:rsidP="00EB5AB7">
            <w:pPr>
              <w:spacing w:line="480" w:lineRule="auto"/>
              <w:rPr>
                <w:color w:val="000000" w:themeColor="text1"/>
              </w:rPr>
            </w:pPr>
            <w:r w:rsidRPr="00A02675">
              <w:rPr>
                <w:color w:val="000000" w:themeColor="text1"/>
              </w:rPr>
              <w:t>16.6</w:t>
            </w:r>
          </w:p>
        </w:tc>
      </w:tr>
      <w:tr w:rsidR="00A02675" w:rsidRPr="00A02675" w14:paraId="78401009" w14:textId="77777777" w:rsidTr="00AB1FDB">
        <w:trPr>
          <w:trHeight w:val="568"/>
        </w:trPr>
        <w:tc>
          <w:tcPr>
            <w:tcW w:w="2408" w:type="dxa"/>
          </w:tcPr>
          <w:p w14:paraId="4009A755" w14:textId="64DEF9B0" w:rsidR="00AB1FDB" w:rsidRPr="00A02675" w:rsidRDefault="00AB1FDB" w:rsidP="00EB5AB7">
            <w:pPr>
              <w:spacing w:line="480" w:lineRule="auto"/>
              <w:rPr>
                <w:b/>
                <w:bCs/>
                <w:color w:val="000000" w:themeColor="text1"/>
              </w:rPr>
            </w:pPr>
            <w:r w:rsidRPr="00A02675">
              <w:rPr>
                <w:b/>
                <w:bCs/>
                <w:color w:val="000000" w:themeColor="text1"/>
              </w:rPr>
              <w:t>West</w:t>
            </w:r>
          </w:p>
        </w:tc>
        <w:tc>
          <w:tcPr>
            <w:tcW w:w="2408" w:type="dxa"/>
          </w:tcPr>
          <w:p w14:paraId="4D65476A" w14:textId="67441DB2" w:rsidR="00AB1FDB" w:rsidRPr="00A02675" w:rsidRDefault="00AB1FDB" w:rsidP="00EB5AB7">
            <w:pPr>
              <w:spacing w:line="480" w:lineRule="auto"/>
              <w:rPr>
                <w:color w:val="000000" w:themeColor="text1"/>
              </w:rPr>
            </w:pPr>
            <w:r w:rsidRPr="00A02675">
              <w:rPr>
                <w:color w:val="000000" w:themeColor="text1"/>
              </w:rPr>
              <w:t>0.25</w:t>
            </w:r>
          </w:p>
        </w:tc>
        <w:tc>
          <w:tcPr>
            <w:tcW w:w="2409" w:type="dxa"/>
          </w:tcPr>
          <w:p w14:paraId="41718EB1" w14:textId="031186AC" w:rsidR="00AB1FDB" w:rsidRPr="00A02675" w:rsidRDefault="00AB1FDB" w:rsidP="00EB5AB7">
            <w:pPr>
              <w:spacing w:line="480" w:lineRule="auto"/>
              <w:rPr>
                <w:color w:val="000000" w:themeColor="text1"/>
              </w:rPr>
            </w:pPr>
            <w:r w:rsidRPr="00A02675">
              <w:rPr>
                <w:color w:val="000000" w:themeColor="text1"/>
              </w:rPr>
              <w:t>0</w:t>
            </w:r>
          </w:p>
        </w:tc>
        <w:tc>
          <w:tcPr>
            <w:tcW w:w="2409" w:type="dxa"/>
          </w:tcPr>
          <w:p w14:paraId="3C7BE655" w14:textId="69A84177" w:rsidR="00AB1FDB" w:rsidRPr="00A02675" w:rsidRDefault="00AB1FDB" w:rsidP="00EB5AB7">
            <w:pPr>
              <w:spacing w:line="480" w:lineRule="auto"/>
              <w:rPr>
                <w:color w:val="000000" w:themeColor="text1"/>
              </w:rPr>
            </w:pPr>
            <w:r w:rsidRPr="00A02675">
              <w:rPr>
                <w:color w:val="000000" w:themeColor="text1"/>
              </w:rPr>
              <w:t>1</w:t>
            </w:r>
          </w:p>
        </w:tc>
      </w:tr>
      <w:tr w:rsidR="00A02675" w:rsidRPr="00A02675" w14:paraId="6A84F12B" w14:textId="77777777" w:rsidTr="00AB1FDB">
        <w:trPr>
          <w:trHeight w:val="553"/>
        </w:trPr>
        <w:tc>
          <w:tcPr>
            <w:tcW w:w="2408" w:type="dxa"/>
          </w:tcPr>
          <w:p w14:paraId="4CB41C36" w14:textId="41454DBA" w:rsidR="00AB1FDB" w:rsidRPr="00A02675" w:rsidRDefault="00AB1FDB" w:rsidP="00EB5AB7">
            <w:pPr>
              <w:spacing w:line="480" w:lineRule="auto"/>
              <w:rPr>
                <w:b/>
                <w:bCs/>
                <w:color w:val="000000" w:themeColor="text1"/>
              </w:rPr>
            </w:pPr>
            <w:r w:rsidRPr="00A02675">
              <w:rPr>
                <w:b/>
                <w:bCs/>
                <w:color w:val="000000" w:themeColor="text1"/>
              </w:rPr>
              <w:t>South</w:t>
            </w:r>
          </w:p>
        </w:tc>
        <w:tc>
          <w:tcPr>
            <w:tcW w:w="2408" w:type="dxa"/>
          </w:tcPr>
          <w:p w14:paraId="34AB0F85" w14:textId="1C7822A6" w:rsidR="00AB1FDB" w:rsidRPr="00A02675" w:rsidRDefault="00AB1FDB" w:rsidP="00EB5AB7">
            <w:pPr>
              <w:spacing w:line="480" w:lineRule="auto"/>
              <w:rPr>
                <w:color w:val="000000" w:themeColor="text1"/>
              </w:rPr>
            </w:pPr>
            <w:r w:rsidRPr="00A02675">
              <w:rPr>
                <w:color w:val="000000" w:themeColor="text1"/>
              </w:rPr>
              <w:t>0.33</w:t>
            </w:r>
          </w:p>
        </w:tc>
        <w:tc>
          <w:tcPr>
            <w:tcW w:w="2409" w:type="dxa"/>
          </w:tcPr>
          <w:p w14:paraId="217F3B3C" w14:textId="3300B24F" w:rsidR="00AB1FDB" w:rsidRPr="00A02675" w:rsidRDefault="00AB1FDB" w:rsidP="00EB5AB7">
            <w:pPr>
              <w:spacing w:line="480" w:lineRule="auto"/>
              <w:rPr>
                <w:color w:val="000000" w:themeColor="text1"/>
              </w:rPr>
            </w:pPr>
            <w:r w:rsidRPr="00A02675">
              <w:rPr>
                <w:color w:val="000000" w:themeColor="text1"/>
              </w:rPr>
              <w:t>0</w:t>
            </w:r>
          </w:p>
        </w:tc>
        <w:tc>
          <w:tcPr>
            <w:tcW w:w="2409" w:type="dxa"/>
          </w:tcPr>
          <w:p w14:paraId="29101F13" w14:textId="76E472A8" w:rsidR="00AB1FDB" w:rsidRPr="00A02675" w:rsidRDefault="00AB1FDB" w:rsidP="00EB5AB7">
            <w:pPr>
              <w:spacing w:line="480" w:lineRule="auto"/>
              <w:rPr>
                <w:color w:val="000000" w:themeColor="text1"/>
              </w:rPr>
            </w:pPr>
            <w:r w:rsidRPr="00A02675">
              <w:rPr>
                <w:color w:val="000000" w:themeColor="text1"/>
              </w:rPr>
              <w:t>1</w:t>
            </w:r>
          </w:p>
        </w:tc>
      </w:tr>
      <w:tr w:rsidR="00A02675" w:rsidRPr="00A02675" w14:paraId="23B10C9D" w14:textId="77777777" w:rsidTr="00AB1FDB">
        <w:trPr>
          <w:trHeight w:val="568"/>
        </w:trPr>
        <w:tc>
          <w:tcPr>
            <w:tcW w:w="2408" w:type="dxa"/>
          </w:tcPr>
          <w:p w14:paraId="0924F396" w14:textId="2133F89C" w:rsidR="00AB1FDB" w:rsidRPr="00A02675" w:rsidRDefault="00AB1FDB" w:rsidP="00EB5AB7">
            <w:pPr>
              <w:spacing w:line="480" w:lineRule="auto"/>
              <w:rPr>
                <w:b/>
                <w:bCs/>
                <w:color w:val="000000" w:themeColor="text1"/>
              </w:rPr>
            </w:pPr>
            <w:r w:rsidRPr="00A02675">
              <w:rPr>
                <w:b/>
                <w:bCs/>
                <w:color w:val="000000" w:themeColor="text1"/>
              </w:rPr>
              <w:t>Midwest</w:t>
            </w:r>
          </w:p>
        </w:tc>
        <w:tc>
          <w:tcPr>
            <w:tcW w:w="2408" w:type="dxa"/>
          </w:tcPr>
          <w:p w14:paraId="69A189B9" w14:textId="017BC682" w:rsidR="00AB1FDB" w:rsidRPr="00A02675" w:rsidRDefault="00AB1FDB" w:rsidP="00EB5AB7">
            <w:pPr>
              <w:spacing w:line="480" w:lineRule="auto"/>
              <w:rPr>
                <w:color w:val="000000" w:themeColor="text1"/>
              </w:rPr>
            </w:pPr>
            <w:r w:rsidRPr="00A02675">
              <w:rPr>
                <w:color w:val="000000" w:themeColor="text1"/>
              </w:rPr>
              <w:t>0.24</w:t>
            </w:r>
          </w:p>
        </w:tc>
        <w:tc>
          <w:tcPr>
            <w:tcW w:w="2409" w:type="dxa"/>
          </w:tcPr>
          <w:p w14:paraId="752D5BF0" w14:textId="3CC55299" w:rsidR="00AB1FDB" w:rsidRPr="00A02675" w:rsidRDefault="00AB1FDB" w:rsidP="00EB5AB7">
            <w:pPr>
              <w:spacing w:line="480" w:lineRule="auto"/>
              <w:rPr>
                <w:color w:val="000000" w:themeColor="text1"/>
              </w:rPr>
            </w:pPr>
            <w:r w:rsidRPr="00A02675">
              <w:rPr>
                <w:color w:val="000000" w:themeColor="text1"/>
              </w:rPr>
              <w:t>0</w:t>
            </w:r>
          </w:p>
        </w:tc>
        <w:tc>
          <w:tcPr>
            <w:tcW w:w="2409" w:type="dxa"/>
          </w:tcPr>
          <w:p w14:paraId="682D0F4E" w14:textId="350F7D9C" w:rsidR="00AB1FDB" w:rsidRPr="00A02675" w:rsidRDefault="00AB1FDB" w:rsidP="00EB5AB7">
            <w:pPr>
              <w:spacing w:line="480" w:lineRule="auto"/>
              <w:rPr>
                <w:color w:val="000000" w:themeColor="text1"/>
              </w:rPr>
            </w:pPr>
            <w:r w:rsidRPr="00A02675">
              <w:rPr>
                <w:color w:val="000000" w:themeColor="text1"/>
              </w:rPr>
              <w:t>1</w:t>
            </w:r>
          </w:p>
        </w:tc>
      </w:tr>
      <w:tr w:rsidR="00AB1FDB" w:rsidRPr="00A02675" w14:paraId="26033A65" w14:textId="77777777" w:rsidTr="00AB1FDB">
        <w:trPr>
          <w:trHeight w:val="553"/>
        </w:trPr>
        <w:tc>
          <w:tcPr>
            <w:tcW w:w="2408" w:type="dxa"/>
          </w:tcPr>
          <w:p w14:paraId="5A3D9E61" w14:textId="2E0BD346" w:rsidR="00AB1FDB" w:rsidRPr="00A02675" w:rsidRDefault="00AB1FDB" w:rsidP="00EB5AB7">
            <w:pPr>
              <w:spacing w:line="480" w:lineRule="auto"/>
              <w:rPr>
                <w:b/>
                <w:bCs/>
                <w:color w:val="000000" w:themeColor="text1"/>
              </w:rPr>
            </w:pPr>
            <w:r w:rsidRPr="00A02675">
              <w:rPr>
                <w:b/>
                <w:bCs/>
                <w:color w:val="000000" w:themeColor="text1"/>
              </w:rPr>
              <w:t>Northeast</w:t>
            </w:r>
          </w:p>
        </w:tc>
        <w:tc>
          <w:tcPr>
            <w:tcW w:w="2408" w:type="dxa"/>
          </w:tcPr>
          <w:p w14:paraId="08F1C3B0" w14:textId="321B1C9A" w:rsidR="00AB1FDB" w:rsidRPr="00A02675" w:rsidRDefault="00AB1FDB" w:rsidP="00EB5AB7">
            <w:pPr>
              <w:spacing w:line="480" w:lineRule="auto"/>
              <w:rPr>
                <w:color w:val="000000" w:themeColor="text1"/>
              </w:rPr>
            </w:pPr>
            <w:r w:rsidRPr="00A02675">
              <w:rPr>
                <w:color w:val="000000" w:themeColor="text1"/>
              </w:rPr>
              <w:t>0.18</w:t>
            </w:r>
          </w:p>
        </w:tc>
        <w:tc>
          <w:tcPr>
            <w:tcW w:w="2409" w:type="dxa"/>
          </w:tcPr>
          <w:p w14:paraId="3DECDF40" w14:textId="78FE8B03" w:rsidR="00AB1FDB" w:rsidRPr="00A02675" w:rsidRDefault="00AB1FDB" w:rsidP="00EB5AB7">
            <w:pPr>
              <w:spacing w:line="480" w:lineRule="auto"/>
              <w:rPr>
                <w:color w:val="000000" w:themeColor="text1"/>
              </w:rPr>
            </w:pPr>
            <w:r w:rsidRPr="00A02675">
              <w:rPr>
                <w:color w:val="000000" w:themeColor="text1"/>
              </w:rPr>
              <w:t>0</w:t>
            </w:r>
          </w:p>
        </w:tc>
        <w:tc>
          <w:tcPr>
            <w:tcW w:w="2409" w:type="dxa"/>
          </w:tcPr>
          <w:p w14:paraId="433D6973" w14:textId="2E5296C6" w:rsidR="00AB1FDB" w:rsidRPr="00A02675" w:rsidRDefault="00AB1FDB" w:rsidP="00EB5AB7">
            <w:pPr>
              <w:spacing w:line="480" w:lineRule="auto"/>
              <w:rPr>
                <w:color w:val="000000" w:themeColor="text1"/>
              </w:rPr>
            </w:pPr>
            <w:r w:rsidRPr="00A02675">
              <w:rPr>
                <w:color w:val="000000" w:themeColor="text1"/>
              </w:rPr>
              <w:t>1</w:t>
            </w:r>
          </w:p>
        </w:tc>
      </w:tr>
    </w:tbl>
    <w:p w14:paraId="1E54BAF0" w14:textId="77777777" w:rsidR="00AB1FDB" w:rsidRPr="00A02675" w:rsidRDefault="00AB1FDB" w:rsidP="00EB5AB7">
      <w:pPr>
        <w:spacing w:line="480" w:lineRule="auto"/>
        <w:rPr>
          <w:b/>
          <w:bCs/>
          <w:color w:val="000000" w:themeColor="text1"/>
        </w:rPr>
      </w:pPr>
    </w:p>
    <w:p w14:paraId="7B2444F1" w14:textId="42E72F38" w:rsidR="00E80A48" w:rsidRPr="00A02675" w:rsidRDefault="00E80A48" w:rsidP="00EB5AB7">
      <w:pPr>
        <w:spacing w:line="480" w:lineRule="auto"/>
        <w:rPr>
          <w:color w:val="000000" w:themeColor="text1"/>
        </w:rPr>
      </w:pPr>
      <w:r w:rsidRPr="00A02675">
        <w:rPr>
          <w:color w:val="000000" w:themeColor="text1"/>
        </w:rPr>
        <w:t>Table 1 demonstrates the mean and the variance between the independent variable, spending per pupil, and the dependent variables. The mean Overweight and Obesity percentage is 68.75%, with a minimum value of 56.7% in the District of Columbia and a maximum value of 75% in West Virginia. The mean Spending per Pupil in dollars is $18,986, with a minimum expenditure value of $11,700 by the state of Idaho and a maximum expenditure value of $37,800 by the District of Columbia.</w:t>
      </w:r>
    </w:p>
    <w:p w14:paraId="7172639C" w14:textId="3B00836F" w:rsidR="00AB1FDB" w:rsidRPr="00A02675" w:rsidRDefault="00AB1FDB" w:rsidP="00EB5AB7">
      <w:pPr>
        <w:spacing w:line="480" w:lineRule="auto"/>
        <w:rPr>
          <w:b/>
          <w:bCs/>
          <w:color w:val="000000" w:themeColor="text1"/>
        </w:rPr>
      </w:pPr>
      <w:r w:rsidRPr="00A02675">
        <w:rPr>
          <w:b/>
          <w:bCs/>
          <w:color w:val="000000" w:themeColor="text1"/>
        </w:rPr>
        <w:lastRenderedPageBreak/>
        <w:t>Empirical Results</w:t>
      </w:r>
    </w:p>
    <w:p w14:paraId="3F6E0A1C" w14:textId="0B9A5C5F" w:rsidR="009B5E24" w:rsidRPr="00A02675" w:rsidRDefault="006F02A2" w:rsidP="00EB5AB7">
      <w:pPr>
        <w:spacing w:line="480" w:lineRule="auto"/>
        <w:rPr>
          <w:color w:val="000000" w:themeColor="text1"/>
        </w:rPr>
      </w:pPr>
      <w:r w:rsidRPr="00A02675">
        <w:rPr>
          <w:color w:val="000000" w:themeColor="text1"/>
        </w:rPr>
        <w:t>The regression results from Table 2 demonstrate that as spending per pupil increases by $1,000, state overweight and obesity decreases by 0.21% (p-value&lt;0.05). The spending per pupil data was modified by dividing each observation by 1000 to determine the effect of an additional $1,000 instead of an additional $1 in expenditure. Ultimately, this demonstrates that spending per pupil significantly affects state overweight and obesity rates. Higher spending per pupil leads to lower obesity rates.</w:t>
      </w:r>
    </w:p>
    <w:p w14:paraId="3AEB0BAA" w14:textId="77777777" w:rsidR="006F02A2" w:rsidRPr="00A02675" w:rsidRDefault="006F02A2" w:rsidP="00EB5AB7">
      <w:pPr>
        <w:spacing w:line="480" w:lineRule="auto"/>
        <w:rPr>
          <w:color w:val="000000" w:themeColor="text1"/>
        </w:rPr>
      </w:pPr>
    </w:p>
    <w:p w14:paraId="58AAEB96" w14:textId="4CFCB29F" w:rsidR="00AB1FDB" w:rsidRPr="00A02675" w:rsidRDefault="00AB1FDB" w:rsidP="00EB5AB7">
      <w:pPr>
        <w:spacing w:line="480" w:lineRule="auto"/>
        <w:rPr>
          <w:color w:val="000000" w:themeColor="text1"/>
        </w:rPr>
      </w:pPr>
      <w:r w:rsidRPr="00A02675">
        <w:rPr>
          <w:color w:val="000000" w:themeColor="text1"/>
        </w:rPr>
        <w:t>Table 2. Regression Results</w:t>
      </w:r>
    </w:p>
    <w:p w14:paraId="3F9D68C8" w14:textId="790B452D" w:rsidR="00AB1FDB" w:rsidRPr="00A02675" w:rsidRDefault="00AB1FDB" w:rsidP="00EB5AB7">
      <w:pPr>
        <w:spacing w:line="480" w:lineRule="auto"/>
        <w:jc w:val="center"/>
        <w:rPr>
          <w:b/>
          <w:bCs/>
          <w:color w:val="000000" w:themeColor="text1"/>
        </w:rPr>
      </w:pPr>
      <w:r w:rsidRPr="00A02675">
        <w:rPr>
          <w:b/>
          <w:bCs/>
          <w:noProof/>
          <w:color w:val="000000" w:themeColor="text1"/>
        </w:rPr>
        <w:drawing>
          <wp:inline distT="0" distB="0" distL="0" distR="0" wp14:anchorId="4069B746" wp14:editId="77C6D038">
            <wp:extent cx="5943600" cy="3642360"/>
            <wp:effectExtent l="0" t="0" r="0" b="2540"/>
            <wp:docPr id="1819384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84077" name="Picture 1" descr="A screenshot of a computer&#10;&#10;Description automatically generated"/>
                    <pic:cNvPicPr/>
                  </pic:nvPicPr>
                  <pic:blipFill>
                    <a:blip r:embed="rId7"/>
                    <a:stretch>
                      <a:fillRect/>
                    </a:stretch>
                  </pic:blipFill>
                  <pic:spPr>
                    <a:xfrm>
                      <a:off x="0" y="0"/>
                      <a:ext cx="5943600" cy="3642360"/>
                    </a:xfrm>
                    <a:prstGeom prst="rect">
                      <a:avLst/>
                    </a:prstGeom>
                  </pic:spPr>
                </pic:pic>
              </a:graphicData>
            </a:graphic>
          </wp:inline>
        </w:drawing>
      </w:r>
    </w:p>
    <w:p w14:paraId="67674434" w14:textId="666B4307" w:rsidR="00AB1FDB" w:rsidRPr="00A02675" w:rsidRDefault="00BD10EC" w:rsidP="00EB5AB7">
      <w:pPr>
        <w:spacing w:line="480" w:lineRule="auto"/>
        <w:rPr>
          <w:color w:val="000000" w:themeColor="text1"/>
        </w:rPr>
      </w:pPr>
      <w:r w:rsidRPr="00A02675">
        <w:rPr>
          <w:color w:val="000000" w:themeColor="text1"/>
        </w:rPr>
        <w:t>Other variables, such as West, South, and Northeast, which are regions, are important determinants of obesity rates. The empirical results demonstrate that West, South, and Northeast regions have lower overweight and obesity rates than Midwestern states (p&lt;0.01).</w:t>
      </w:r>
    </w:p>
    <w:p w14:paraId="256FC125" w14:textId="77777777" w:rsidR="00BD10EC" w:rsidRPr="00A02675" w:rsidRDefault="00BD10EC" w:rsidP="00EB5AB7">
      <w:pPr>
        <w:spacing w:line="480" w:lineRule="auto"/>
        <w:rPr>
          <w:b/>
          <w:bCs/>
          <w:color w:val="000000" w:themeColor="text1"/>
        </w:rPr>
      </w:pPr>
    </w:p>
    <w:p w14:paraId="485FD582" w14:textId="23483D98" w:rsidR="00AB1FDB" w:rsidRPr="00A02675" w:rsidRDefault="00AB1FDB" w:rsidP="00EB5AB7">
      <w:pPr>
        <w:spacing w:line="480" w:lineRule="auto"/>
        <w:rPr>
          <w:b/>
          <w:bCs/>
          <w:color w:val="000000" w:themeColor="text1"/>
        </w:rPr>
      </w:pPr>
      <w:r w:rsidRPr="00A02675">
        <w:rPr>
          <w:b/>
          <w:bCs/>
          <w:color w:val="000000" w:themeColor="text1"/>
        </w:rPr>
        <w:lastRenderedPageBreak/>
        <w:t>Alternative Specifications</w:t>
      </w:r>
    </w:p>
    <w:p w14:paraId="3E713214" w14:textId="44C7CC21" w:rsidR="00AB1FDB" w:rsidRPr="00A02675" w:rsidRDefault="000E75AC" w:rsidP="00EB5AB7">
      <w:pPr>
        <w:spacing w:line="480" w:lineRule="auto"/>
        <w:rPr>
          <w:color w:val="000000" w:themeColor="text1"/>
        </w:rPr>
      </w:pPr>
      <w:r w:rsidRPr="00A02675">
        <w:rPr>
          <w:color w:val="000000" w:themeColor="text1"/>
        </w:rPr>
        <w:t>The results shown in Table 2 may vary depending on how unhealthy weight is defined and the fact that the data is self-reported. To address this, the model was re-run using 2022 obesity rates as the dependent variable, using the CDC’s Behavioral Risk Factor Surveillance System data. The effect of spending per pupil remained positive and statistically significant (p-value &lt; 0.05), reinforcing the confidence that the findings are robust to changes in the definition of unhealthy weight and alternative data sources.</w:t>
      </w:r>
    </w:p>
    <w:p w14:paraId="6C3D8DAB" w14:textId="77777777" w:rsidR="000E75AC" w:rsidRPr="00A02675" w:rsidRDefault="000E75AC" w:rsidP="00EB5AB7">
      <w:pPr>
        <w:spacing w:line="480" w:lineRule="auto"/>
        <w:rPr>
          <w:color w:val="000000" w:themeColor="text1"/>
        </w:rPr>
      </w:pPr>
    </w:p>
    <w:p w14:paraId="3E7E97C8" w14:textId="1138F764" w:rsidR="00AB1FDB" w:rsidRPr="00A02675" w:rsidRDefault="00AB1FDB" w:rsidP="00EB5AB7">
      <w:pPr>
        <w:spacing w:line="480" w:lineRule="auto"/>
        <w:rPr>
          <w:b/>
          <w:bCs/>
          <w:color w:val="000000" w:themeColor="text1"/>
        </w:rPr>
      </w:pPr>
      <w:r w:rsidRPr="00A02675">
        <w:rPr>
          <w:b/>
          <w:bCs/>
          <w:color w:val="000000" w:themeColor="text1"/>
        </w:rPr>
        <w:t>Conclusions and Policy Implications</w:t>
      </w:r>
    </w:p>
    <w:p w14:paraId="46727B2C" w14:textId="77777777" w:rsidR="007E11CF" w:rsidRPr="00A02675" w:rsidRDefault="007E11CF" w:rsidP="007E11CF">
      <w:pPr>
        <w:spacing w:line="480" w:lineRule="auto"/>
        <w:rPr>
          <w:color w:val="000000" w:themeColor="text1"/>
        </w:rPr>
      </w:pPr>
      <w:r w:rsidRPr="00A02675">
        <w:rPr>
          <w:color w:val="000000" w:themeColor="text1"/>
        </w:rPr>
        <w:t>The empirical results demonstrate the potential impact of increasing spending per pupil on reducing overweight and obesity rates. This suggests that targeted expenditure, such as investing in healthier school meal options and enhancing health and wellness education funding, can significantly influence overweight and obesity rates per state. Notably, funding healthier school meal options emerges as a direct and effective strategy, enabling schools to provide nutritious, balanced meals that foster healthier eating habits among students.</w:t>
      </w:r>
    </w:p>
    <w:p w14:paraId="30EC1B21" w14:textId="77777777" w:rsidR="007E11CF" w:rsidRPr="00A02675" w:rsidRDefault="007E11CF" w:rsidP="007E11CF">
      <w:pPr>
        <w:spacing w:line="480" w:lineRule="auto"/>
        <w:rPr>
          <w:color w:val="000000" w:themeColor="text1"/>
        </w:rPr>
      </w:pPr>
    </w:p>
    <w:p w14:paraId="2C33BDA6" w14:textId="77777777" w:rsidR="00C77808" w:rsidRPr="00A02675" w:rsidRDefault="007E11CF" w:rsidP="00C77808">
      <w:pPr>
        <w:spacing w:line="480" w:lineRule="auto"/>
        <w:rPr>
          <w:color w:val="000000" w:themeColor="text1"/>
        </w:rPr>
      </w:pPr>
      <w:r w:rsidRPr="00A02675">
        <w:rPr>
          <w:color w:val="000000" w:themeColor="text1"/>
        </w:rPr>
        <w:t>Significant limitations arise from this study, primarily involving the state obesity rates since obesity rates are calculated with self-reported BMI data. This highlights significant concerns relating to error and bias in the results. Additionally, the data does not account for the diet or energy expenditure habits of the surveyed individuals. These lifestyle factors may correlate with spending per pupil. The results might overestimate or underestimate the impact that spending per pupil has on obesity rates.</w:t>
      </w:r>
    </w:p>
    <w:p w14:paraId="35AB29F3" w14:textId="1A7F9996" w:rsidR="00AB1FDB" w:rsidRPr="00A02675" w:rsidRDefault="005B7AA3" w:rsidP="00C77808">
      <w:pPr>
        <w:spacing w:line="480" w:lineRule="auto"/>
        <w:rPr>
          <w:color w:val="000000" w:themeColor="text1"/>
        </w:rPr>
      </w:pPr>
      <w:r w:rsidRPr="00A02675">
        <w:rPr>
          <w:color w:val="000000" w:themeColor="text1"/>
          <w:shd w:val="clear" w:color="auto" w:fill="FFFFFF"/>
        </w:rPr>
        <w:lastRenderedPageBreak/>
        <w:t xml:space="preserve">Han, J. C., Lawlor, D. A., &amp; Kimm, S. Y. (2010). Childhood obesity. </w:t>
      </w:r>
      <w:r w:rsidRPr="00A02675">
        <w:rPr>
          <w:i/>
          <w:iCs/>
          <w:color w:val="000000" w:themeColor="text1"/>
          <w:shd w:val="clear" w:color="auto" w:fill="FFFFFF"/>
        </w:rPr>
        <w:t>The Lancet</w:t>
      </w:r>
      <w:r w:rsidRPr="00A02675">
        <w:rPr>
          <w:color w:val="000000" w:themeColor="text1"/>
          <w:shd w:val="clear" w:color="auto" w:fill="FFFFFF"/>
        </w:rPr>
        <w:t xml:space="preserve">, </w:t>
      </w:r>
      <w:r w:rsidRPr="00A02675">
        <w:rPr>
          <w:i/>
          <w:iCs/>
          <w:color w:val="000000" w:themeColor="text1"/>
          <w:shd w:val="clear" w:color="auto" w:fill="FFFFFF"/>
        </w:rPr>
        <w:t>375</w:t>
      </w:r>
      <w:r w:rsidRPr="00A02675">
        <w:rPr>
          <w:color w:val="000000" w:themeColor="text1"/>
          <w:shd w:val="clear" w:color="auto" w:fill="FFFFFF"/>
        </w:rPr>
        <w:t xml:space="preserve">(9727), 1737–1748. </w:t>
      </w:r>
      <w:hyperlink r:id="rId8" w:history="1">
        <w:r w:rsidRPr="00A02675">
          <w:rPr>
            <w:rStyle w:val="Hyperlink"/>
            <w:color w:val="000000" w:themeColor="text1"/>
            <w:shd w:val="clear" w:color="auto" w:fill="FFFFFF"/>
          </w:rPr>
          <w:t>https://doi.org/10.1016/s0140-6736(10)60171-7</w:t>
        </w:r>
      </w:hyperlink>
    </w:p>
    <w:p w14:paraId="076DBB39" w14:textId="77777777" w:rsidR="00BA2DD6" w:rsidRPr="00A02675" w:rsidRDefault="00BA2DD6" w:rsidP="00EB5AB7">
      <w:pPr>
        <w:pStyle w:val="NormalWeb"/>
        <w:spacing w:before="0" w:beforeAutospacing="0" w:after="0" w:afterAutospacing="0" w:line="480" w:lineRule="auto"/>
        <w:rPr>
          <w:color w:val="000000" w:themeColor="text1"/>
          <w:shd w:val="clear" w:color="auto" w:fill="FFFFFF"/>
        </w:rPr>
      </w:pPr>
    </w:p>
    <w:p w14:paraId="03E2E6D8" w14:textId="49B031A7" w:rsidR="008F6702" w:rsidRPr="00A02675" w:rsidRDefault="008F6702" w:rsidP="00EB5AB7">
      <w:pPr>
        <w:pStyle w:val="NormalWeb"/>
        <w:spacing w:before="0" w:beforeAutospacing="0" w:after="0" w:afterAutospacing="0" w:line="480" w:lineRule="auto"/>
        <w:rPr>
          <w:color w:val="000000" w:themeColor="text1"/>
          <w:shd w:val="clear" w:color="auto" w:fill="FFFFFF"/>
        </w:rPr>
      </w:pPr>
      <w:r w:rsidRPr="00A02675">
        <w:rPr>
          <w:color w:val="000000" w:themeColor="text1"/>
          <w:shd w:val="clear" w:color="auto" w:fill="FFFFFF"/>
        </w:rPr>
        <w:t xml:space="preserve">Kyrou, Ioannis, &amp; </w:t>
      </w:r>
      <w:proofErr w:type="spellStart"/>
      <w:r w:rsidRPr="00A02675">
        <w:rPr>
          <w:color w:val="000000" w:themeColor="text1"/>
          <w:shd w:val="clear" w:color="auto" w:fill="FFFFFF"/>
        </w:rPr>
        <w:t>Weickert</w:t>
      </w:r>
      <w:proofErr w:type="spellEnd"/>
      <w:r w:rsidRPr="00A02675">
        <w:rPr>
          <w:color w:val="000000" w:themeColor="text1"/>
          <w:shd w:val="clear" w:color="auto" w:fill="FFFFFF"/>
        </w:rPr>
        <w:t xml:space="preserve">, Martin O. (2010). </w:t>
      </w:r>
      <w:r w:rsidRPr="00A02675">
        <w:rPr>
          <w:i/>
          <w:iCs/>
          <w:color w:val="000000" w:themeColor="text1"/>
          <w:shd w:val="clear" w:color="auto" w:fill="FFFFFF"/>
        </w:rPr>
        <w:t>Clinical problems caused by obesity</w:t>
      </w:r>
      <w:r w:rsidRPr="00A02675">
        <w:rPr>
          <w:color w:val="000000" w:themeColor="text1"/>
          <w:shd w:val="clear" w:color="auto" w:fill="FFFFFF"/>
        </w:rPr>
        <w:t>. MDText.com, Inc.</w:t>
      </w:r>
    </w:p>
    <w:p w14:paraId="25A88F6D" w14:textId="77777777" w:rsidR="00BA2DD6" w:rsidRPr="00A02675" w:rsidRDefault="00BA2DD6" w:rsidP="00EB5AB7">
      <w:pPr>
        <w:spacing w:line="480" w:lineRule="auto"/>
        <w:rPr>
          <w:color w:val="000000" w:themeColor="text1"/>
        </w:rPr>
      </w:pPr>
    </w:p>
    <w:p w14:paraId="3E78E773" w14:textId="0CFB7447" w:rsidR="00AB1FDB" w:rsidRPr="00A02675" w:rsidRDefault="00AB1FDB" w:rsidP="00EB5AB7">
      <w:pPr>
        <w:spacing w:line="480" w:lineRule="auto"/>
        <w:rPr>
          <w:color w:val="000000" w:themeColor="text1"/>
        </w:rPr>
      </w:pPr>
      <w:r w:rsidRPr="00A02675">
        <w:rPr>
          <w:color w:val="000000" w:themeColor="text1"/>
        </w:rPr>
        <w:t>Olson, S. (Ed.). (2014). </w:t>
      </w:r>
      <w:r w:rsidRPr="00A02675">
        <w:rPr>
          <w:i/>
          <w:iCs/>
          <w:color w:val="000000" w:themeColor="text1"/>
        </w:rPr>
        <w:t xml:space="preserve">The current state of obesity solutions in the </w:t>
      </w:r>
      <w:proofErr w:type="gramStart"/>
      <w:r w:rsidRPr="00A02675">
        <w:rPr>
          <w:i/>
          <w:iCs/>
          <w:color w:val="000000" w:themeColor="text1"/>
        </w:rPr>
        <w:t>united states</w:t>
      </w:r>
      <w:proofErr w:type="gramEnd"/>
      <w:r w:rsidRPr="00A02675">
        <w:rPr>
          <w:i/>
          <w:iCs/>
          <w:color w:val="000000" w:themeColor="text1"/>
        </w:rPr>
        <w:t>: Workshop summary</w:t>
      </w:r>
      <w:r w:rsidRPr="00A02675">
        <w:rPr>
          <w:color w:val="000000" w:themeColor="text1"/>
        </w:rPr>
        <w:t>. National Academies Press: 6-7</w:t>
      </w:r>
    </w:p>
    <w:p w14:paraId="1E8A2202" w14:textId="77777777" w:rsidR="00BA2DD6" w:rsidRPr="00A02675" w:rsidRDefault="00BA2DD6" w:rsidP="00EB5AB7">
      <w:pPr>
        <w:spacing w:line="480" w:lineRule="auto"/>
        <w:rPr>
          <w:color w:val="000000" w:themeColor="text1"/>
        </w:rPr>
      </w:pPr>
    </w:p>
    <w:p w14:paraId="28A33869" w14:textId="77777777" w:rsidR="00A02675" w:rsidRPr="00A02675" w:rsidRDefault="008223D4" w:rsidP="00EB5AB7">
      <w:pPr>
        <w:spacing w:line="480" w:lineRule="auto"/>
        <w:rPr>
          <w:color w:val="000000" w:themeColor="text1"/>
        </w:rPr>
      </w:pPr>
      <w:r w:rsidRPr="00A02675">
        <w:rPr>
          <w:color w:val="000000" w:themeColor="text1"/>
        </w:rPr>
        <w:t xml:space="preserve">Obesity, W. (2024). </w:t>
      </w:r>
      <w:r w:rsidRPr="00A02675">
        <w:rPr>
          <w:i/>
          <w:iCs/>
          <w:color w:val="000000" w:themeColor="text1"/>
        </w:rPr>
        <w:t>Ranking (% obesity by country)</w:t>
      </w:r>
      <w:r w:rsidRPr="00A02675">
        <w:rPr>
          <w:color w:val="000000" w:themeColor="text1"/>
        </w:rPr>
        <w:t xml:space="preserve">. World Obesity Federation Global Obesity Observatory. </w:t>
      </w:r>
    </w:p>
    <w:p w14:paraId="5ECDC0C9" w14:textId="47F589EC" w:rsidR="00A02675" w:rsidRPr="00A02675" w:rsidRDefault="00A02675" w:rsidP="00EB5AB7">
      <w:pPr>
        <w:spacing w:line="480" w:lineRule="auto"/>
        <w:rPr>
          <w:color w:val="000000" w:themeColor="text1"/>
        </w:rPr>
      </w:pPr>
      <w:hyperlink r:id="rId9" w:history="1">
        <w:r w:rsidRPr="00A02675">
          <w:rPr>
            <w:rStyle w:val="Hyperlink"/>
            <w:color w:val="000000" w:themeColor="text1"/>
          </w:rPr>
          <w:t>https://data.worldobesity.org/rankings/</w:t>
        </w:r>
      </w:hyperlink>
    </w:p>
    <w:p w14:paraId="786E779D" w14:textId="6289A10D" w:rsidR="00AB1FDB" w:rsidRPr="00A02675" w:rsidRDefault="008223D4" w:rsidP="00EB5AB7">
      <w:pPr>
        <w:spacing w:line="480" w:lineRule="auto"/>
        <w:rPr>
          <w:color w:val="000000" w:themeColor="text1"/>
        </w:rPr>
      </w:pPr>
      <w:r w:rsidRPr="00A02675">
        <w:rPr>
          <w:color w:val="000000" w:themeColor="text1"/>
        </w:rPr>
        <w:t xml:space="preserve"> </w:t>
      </w:r>
    </w:p>
    <w:p w14:paraId="405BEAE2" w14:textId="5F670714" w:rsidR="00A02675" w:rsidRPr="00A02675" w:rsidRDefault="00AB1FDB" w:rsidP="00EB5AB7">
      <w:pPr>
        <w:spacing w:line="480" w:lineRule="auto"/>
        <w:rPr>
          <w:color w:val="000000" w:themeColor="text1"/>
        </w:rPr>
      </w:pPr>
      <w:r w:rsidRPr="00A02675">
        <w:rPr>
          <w:i/>
          <w:iCs/>
          <w:color w:val="000000" w:themeColor="text1"/>
        </w:rPr>
        <w:t>Public School Expenditures</w:t>
      </w:r>
      <w:r w:rsidRPr="00A02675">
        <w:rPr>
          <w:color w:val="000000" w:themeColor="text1"/>
        </w:rPr>
        <w:t xml:space="preserve">. Coe - Public School Expenditures. (2024, May). </w:t>
      </w:r>
      <w:hyperlink r:id="rId10" w:history="1">
        <w:r w:rsidR="00A02675" w:rsidRPr="00A02675">
          <w:rPr>
            <w:rStyle w:val="Hyperlink"/>
            <w:color w:val="000000" w:themeColor="text1"/>
          </w:rPr>
          <w:t>https://nces.ed.gov/programs/coe/indicator/cmb/public-school-expenditure</w:t>
        </w:r>
      </w:hyperlink>
    </w:p>
    <w:p w14:paraId="59C7E3E7" w14:textId="6E044506" w:rsidR="00DF7004" w:rsidRPr="00A02675" w:rsidRDefault="00AB1FDB" w:rsidP="00EB5AB7">
      <w:pPr>
        <w:spacing w:line="480" w:lineRule="auto"/>
        <w:rPr>
          <w:color w:val="000000" w:themeColor="text1"/>
        </w:rPr>
      </w:pPr>
      <w:r w:rsidRPr="00A02675">
        <w:rPr>
          <w:color w:val="000000" w:themeColor="text1"/>
        </w:rPr>
        <w:t xml:space="preserve"> </w:t>
      </w:r>
    </w:p>
    <w:p w14:paraId="73EB0209" w14:textId="18554047" w:rsidR="00DF7004" w:rsidRPr="00A02675" w:rsidRDefault="00DF7004" w:rsidP="00EB5AB7">
      <w:pPr>
        <w:spacing w:line="480" w:lineRule="auto"/>
        <w:rPr>
          <w:color w:val="000000" w:themeColor="text1"/>
        </w:rPr>
      </w:pPr>
      <w:r w:rsidRPr="00A02675">
        <w:rPr>
          <w:color w:val="000000" w:themeColor="text1"/>
        </w:rPr>
        <w:t>Roundtable on Obesity Solutions, Food and Nutrition Board, &amp; Institute of Medicine. (2014). </w:t>
      </w:r>
      <w:r w:rsidRPr="00A02675">
        <w:rPr>
          <w:i/>
          <w:iCs/>
          <w:color w:val="000000" w:themeColor="text1"/>
        </w:rPr>
        <w:t>The Current State of Obesity Solutions in the United States: Workshop Summary</w:t>
      </w:r>
      <w:r w:rsidRPr="00A02675">
        <w:rPr>
          <w:color w:val="000000" w:themeColor="text1"/>
        </w:rPr>
        <w:t>. National Academies Press (US).</w:t>
      </w:r>
    </w:p>
    <w:p w14:paraId="706F29CF" w14:textId="77777777" w:rsidR="008E137B" w:rsidRPr="00A02675" w:rsidRDefault="008E137B" w:rsidP="00EB5AB7">
      <w:pPr>
        <w:spacing w:line="480" w:lineRule="auto"/>
        <w:rPr>
          <w:color w:val="000000" w:themeColor="text1"/>
        </w:rPr>
      </w:pPr>
    </w:p>
    <w:p w14:paraId="4EFF1EB9" w14:textId="77777777" w:rsidR="001600E1" w:rsidRPr="00A02675" w:rsidRDefault="00AB1FDB" w:rsidP="00EB5AB7">
      <w:pPr>
        <w:spacing w:line="480" w:lineRule="auto"/>
        <w:rPr>
          <w:color w:val="000000" w:themeColor="text1"/>
        </w:rPr>
      </w:pPr>
      <w:r w:rsidRPr="00A02675">
        <w:rPr>
          <w:color w:val="000000" w:themeColor="text1"/>
        </w:rPr>
        <w:t xml:space="preserve">Singh, A. S., Mulder, C., </w:t>
      </w:r>
      <w:proofErr w:type="spellStart"/>
      <w:r w:rsidRPr="00A02675">
        <w:rPr>
          <w:color w:val="000000" w:themeColor="text1"/>
        </w:rPr>
        <w:t>Twisk</w:t>
      </w:r>
      <w:proofErr w:type="spellEnd"/>
      <w:r w:rsidRPr="00A02675">
        <w:rPr>
          <w:color w:val="000000" w:themeColor="text1"/>
        </w:rPr>
        <w:t xml:space="preserve">, J. W., Van </w:t>
      </w:r>
      <w:proofErr w:type="spellStart"/>
      <w:r w:rsidRPr="00A02675">
        <w:rPr>
          <w:color w:val="000000" w:themeColor="text1"/>
        </w:rPr>
        <w:t>Mechelen</w:t>
      </w:r>
      <w:proofErr w:type="spellEnd"/>
      <w:r w:rsidRPr="00A02675">
        <w:rPr>
          <w:color w:val="000000" w:themeColor="text1"/>
        </w:rPr>
        <w:t xml:space="preserve">, W., &amp; </w:t>
      </w:r>
      <w:proofErr w:type="spellStart"/>
      <w:r w:rsidRPr="00A02675">
        <w:rPr>
          <w:color w:val="000000" w:themeColor="text1"/>
        </w:rPr>
        <w:t>Chinapaw</w:t>
      </w:r>
      <w:proofErr w:type="spellEnd"/>
      <w:r w:rsidRPr="00A02675">
        <w:rPr>
          <w:color w:val="000000" w:themeColor="text1"/>
        </w:rPr>
        <w:t xml:space="preserve">, M. J. (2008). Tracking of childhood overweight into adulthood: A systematic review of the literature. </w:t>
      </w:r>
      <w:r w:rsidRPr="00A02675">
        <w:rPr>
          <w:i/>
          <w:iCs/>
          <w:color w:val="000000" w:themeColor="text1"/>
        </w:rPr>
        <w:t>Obesity Reviews</w:t>
      </w:r>
      <w:r w:rsidRPr="00A02675">
        <w:rPr>
          <w:color w:val="000000" w:themeColor="text1"/>
        </w:rPr>
        <w:t xml:space="preserve">, </w:t>
      </w:r>
      <w:r w:rsidRPr="00A02675">
        <w:rPr>
          <w:i/>
          <w:iCs/>
          <w:color w:val="000000" w:themeColor="text1"/>
        </w:rPr>
        <w:t>9</w:t>
      </w:r>
      <w:r w:rsidRPr="00A02675">
        <w:rPr>
          <w:color w:val="000000" w:themeColor="text1"/>
        </w:rPr>
        <w:t xml:space="preserve">(5), 474–488. </w:t>
      </w:r>
    </w:p>
    <w:p w14:paraId="46962B16" w14:textId="75CB05D1" w:rsidR="001600E1" w:rsidRPr="00A02675" w:rsidRDefault="001600E1" w:rsidP="00EB5AB7">
      <w:pPr>
        <w:spacing w:line="480" w:lineRule="auto"/>
        <w:rPr>
          <w:color w:val="000000" w:themeColor="text1"/>
        </w:rPr>
      </w:pPr>
      <w:hyperlink r:id="rId11" w:history="1">
        <w:r w:rsidRPr="00A02675">
          <w:rPr>
            <w:rStyle w:val="Hyperlink"/>
            <w:color w:val="000000" w:themeColor="text1"/>
          </w:rPr>
          <w:t>https://doi.org/10.1111/j.1467-789x.2008.00475.x</w:t>
        </w:r>
      </w:hyperlink>
    </w:p>
    <w:p w14:paraId="7AE216EA" w14:textId="77777777" w:rsidR="007E68F8" w:rsidRPr="00A02675" w:rsidRDefault="007E68F8">
      <w:pPr>
        <w:rPr>
          <w:color w:val="000000" w:themeColor="text1"/>
        </w:rPr>
      </w:pPr>
    </w:p>
    <w:sectPr w:rsidR="007E68F8" w:rsidRPr="00A0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F8"/>
    <w:rsid w:val="00022664"/>
    <w:rsid w:val="0005128D"/>
    <w:rsid w:val="00081A31"/>
    <w:rsid w:val="000E65D8"/>
    <w:rsid w:val="000E75AC"/>
    <w:rsid w:val="000F51EC"/>
    <w:rsid w:val="00102624"/>
    <w:rsid w:val="001600E1"/>
    <w:rsid w:val="00164289"/>
    <w:rsid w:val="001D2903"/>
    <w:rsid w:val="001E2269"/>
    <w:rsid w:val="00213925"/>
    <w:rsid w:val="0022160D"/>
    <w:rsid w:val="00243D2D"/>
    <w:rsid w:val="00254844"/>
    <w:rsid w:val="002610D8"/>
    <w:rsid w:val="002A697F"/>
    <w:rsid w:val="002E0ED7"/>
    <w:rsid w:val="002E413D"/>
    <w:rsid w:val="003116FC"/>
    <w:rsid w:val="0036423F"/>
    <w:rsid w:val="003865AB"/>
    <w:rsid w:val="003C7E05"/>
    <w:rsid w:val="00411F8D"/>
    <w:rsid w:val="004A2795"/>
    <w:rsid w:val="004D25D3"/>
    <w:rsid w:val="00552910"/>
    <w:rsid w:val="00552F64"/>
    <w:rsid w:val="0056286A"/>
    <w:rsid w:val="00581A58"/>
    <w:rsid w:val="005827E9"/>
    <w:rsid w:val="00595F94"/>
    <w:rsid w:val="005B6332"/>
    <w:rsid w:val="005B7AA3"/>
    <w:rsid w:val="00604A00"/>
    <w:rsid w:val="00623C74"/>
    <w:rsid w:val="0065619E"/>
    <w:rsid w:val="00657B15"/>
    <w:rsid w:val="006A27BB"/>
    <w:rsid w:val="006E7F16"/>
    <w:rsid w:val="006F02A2"/>
    <w:rsid w:val="007903E2"/>
    <w:rsid w:val="007E11CF"/>
    <w:rsid w:val="007E60A6"/>
    <w:rsid w:val="007E68F8"/>
    <w:rsid w:val="008223D4"/>
    <w:rsid w:val="00897341"/>
    <w:rsid w:val="008C261E"/>
    <w:rsid w:val="008E137B"/>
    <w:rsid w:val="008F32EC"/>
    <w:rsid w:val="008F6702"/>
    <w:rsid w:val="009420F3"/>
    <w:rsid w:val="00945E7D"/>
    <w:rsid w:val="009B5E24"/>
    <w:rsid w:val="00A02675"/>
    <w:rsid w:val="00A40C95"/>
    <w:rsid w:val="00A731ED"/>
    <w:rsid w:val="00A94622"/>
    <w:rsid w:val="00AB1FDB"/>
    <w:rsid w:val="00AB20C6"/>
    <w:rsid w:val="00AD76F9"/>
    <w:rsid w:val="00AE4E17"/>
    <w:rsid w:val="00B7637E"/>
    <w:rsid w:val="00BA2DD6"/>
    <w:rsid w:val="00BA4CA3"/>
    <w:rsid w:val="00BD10EC"/>
    <w:rsid w:val="00C07461"/>
    <w:rsid w:val="00C27520"/>
    <w:rsid w:val="00C53C7D"/>
    <w:rsid w:val="00C635E5"/>
    <w:rsid w:val="00C77808"/>
    <w:rsid w:val="00C822B1"/>
    <w:rsid w:val="00D07544"/>
    <w:rsid w:val="00D75046"/>
    <w:rsid w:val="00D81A61"/>
    <w:rsid w:val="00D91D96"/>
    <w:rsid w:val="00DC3DDD"/>
    <w:rsid w:val="00DF7004"/>
    <w:rsid w:val="00E020BB"/>
    <w:rsid w:val="00E80A48"/>
    <w:rsid w:val="00E855AF"/>
    <w:rsid w:val="00EB5AB7"/>
    <w:rsid w:val="00ED4B54"/>
    <w:rsid w:val="00ED6E04"/>
    <w:rsid w:val="00EE1CE8"/>
    <w:rsid w:val="00F67399"/>
    <w:rsid w:val="00FB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24B6B"/>
  <w15:chartTrackingRefBased/>
  <w15:docId w15:val="{F2086DA6-3297-A948-ADBF-B2F0DB04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ED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68F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E68F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68F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68F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E68F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E68F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E68F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E68F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E68F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8F8"/>
    <w:rPr>
      <w:rFonts w:eastAsiaTheme="majorEastAsia" w:cstheme="majorBidi"/>
      <w:color w:val="272727" w:themeColor="text1" w:themeTint="D8"/>
    </w:rPr>
  </w:style>
  <w:style w:type="paragraph" w:styleId="Title">
    <w:name w:val="Title"/>
    <w:basedOn w:val="Normal"/>
    <w:next w:val="Normal"/>
    <w:link w:val="TitleChar"/>
    <w:uiPriority w:val="10"/>
    <w:qFormat/>
    <w:rsid w:val="007E68F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6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8F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6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8F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E68F8"/>
    <w:rPr>
      <w:i/>
      <w:iCs/>
      <w:color w:val="404040" w:themeColor="text1" w:themeTint="BF"/>
    </w:rPr>
  </w:style>
  <w:style w:type="paragraph" w:styleId="ListParagraph">
    <w:name w:val="List Paragraph"/>
    <w:basedOn w:val="Normal"/>
    <w:uiPriority w:val="34"/>
    <w:qFormat/>
    <w:rsid w:val="007E68F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E68F8"/>
    <w:rPr>
      <w:i/>
      <w:iCs/>
      <w:color w:val="0F4761" w:themeColor="accent1" w:themeShade="BF"/>
    </w:rPr>
  </w:style>
  <w:style w:type="paragraph" w:styleId="IntenseQuote">
    <w:name w:val="Intense Quote"/>
    <w:basedOn w:val="Normal"/>
    <w:next w:val="Normal"/>
    <w:link w:val="IntenseQuoteChar"/>
    <w:uiPriority w:val="30"/>
    <w:qFormat/>
    <w:rsid w:val="007E68F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E68F8"/>
    <w:rPr>
      <w:i/>
      <w:iCs/>
      <w:color w:val="0F4761" w:themeColor="accent1" w:themeShade="BF"/>
    </w:rPr>
  </w:style>
  <w:style w:type="character" w:styleId="IntenseReference">
    <w:name w:val="Intense Reference"/>
    <w:basedOn w:val="DefaultParagraphFont"/>
    <w:uiPriority w:val="32"/>
    <w:qFormat/>
    <w:rsid w:val="007E68F8"/>
    <w:rPr>
      <w:b/>
      <w:bCs/>
      <w:smallCaps/>
      <w:color w:val="0F4761" w:themeColor="accent1" w:themeShade="BF"/>
      <w:spacing w:val="5"/>
    </w:rPr>
  </w:style>
  <w:style w:type="table" w:styleId="TableGrid">
    <w:name w:val="Table Grid"/>
    <w:basedOn w:val="TableNormal"/>
    <w:uiPriority w:val="39"/>
    <w:rsid w:val="00AB1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1FDB"/>
    <w:rPr>
      <w:color w:val="467886" w:themeColor="hyperlink"/>
      <w:u w:val="single"/>
    </w:rPr>
  </w:style>
  <w:style w:type="character" w:styleId="UnresolvedMention">
    <w:name w:val="Unresolved Mention"/>
    <w:basedOn w:val="DefaultParagraphFont"/>
    <w:uiPriority w:val="99"/>
    <w:semiHidden/>
    <w:unhideWhenUsed/>
    <w:rsid w:val="00AB1FDB"/>
    <w:rPr>
      <w:color w:val="605E5C"/>
      <w:shd w:val="clear" w:color="auto" w:fill="E1DFDD"/>
    </w:rPr>
  </w:style>
  <w:style w:type="character" w:styleId="FollowedHyperlink">
    <w:name w:val="FollowedHyperlink"/>
    <w:basedOn w:val="DefaultParagraphFont"/>
    <w:uiPriority w:val="99"/>
    <w:semiHidden/>
    <w:unhideWhenUsed/>
    <w:rsid w:val="00AB1FDB"/>
    <w:rPr>
      <w:color w:val="96607D" w:themeColor="followedHyperlink"/>
      <w:u w:val="single"/>
    </w:rPr>
  </w:style>
  <w:style w:type="paragraph" w:styleId="NormalWeb">
    <w:name w:val="Normal (Web)"/>
    <w:basedOn w:val="Normal"/>
    <w:uiPriority w:val="99"/>
    <w:unhideWhenUsed/>
    <w:rsid w:val="002E0E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2710">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75930231">
      <w:bodyDiv w:val="1"/>
      <w:marLeft w:val="0"/>
      <w:marRight w:val="0"/>
      <w:marTop w:val="0"/>
      <w:marBottom w:val="0"/>
      <w:divBdr>
        <w:top w:val="none" w:sz="0" w:space="0" w:color="auto"/>
        <w:left w:val="none" w:sz="0" w:space="0" w:color="auto"/>
        <w:bottom w:val="none" w:sz="0" w:space="0" w:color="auto"/>
        <w:right w:val="none" w:sz="0" w:space="0" w:color="auto"/>
      </w:divBdr>
    </w:div>
    <w:div w:id="311449651">
      <w:bodyDiv w:val="1"/>
      <w:marLeft w:val="0"/>
      <w:marRight w:val="0"/>
      <w:marTop w:val="0"/>
      <w:marBottom w:val="0"/>
      <w:divBdr>
        <w:top w:val="none" w:sz="0" w:space="0" w:color="auto"/>
        <w:left w:val="none" w:sz="0" w:space="0" w:color="auto"/>
        <w:bottom w:val="none" w:sz="0" w:space="0" w:color="auto"/>
        <w:right w:val="none" w:sz="0" w:space="0" w:color="auto"/>
      </w:divBdr>
    </w:div>
    <w:div w:id="317072584">
      <w:bodyDiv w:val="1"/>
      <w:marLeft w:val="0"/>
      <w:marRight w:val="0"/>
      <w:marTop w:val="0"/>
      <w:marBottom w:val="0"/>
      <w:divBdr>
        <w:top w:val="none" w:sz="0" w:space="0" w:color="auto"/>
        <w:left w:val="none" w:sz="0" w:space="0" w:color="auto"/>
        <w:bottom w:val="none" w:sz="0" w:space="0" w:color="auto"/>
        <w:right w:val="none" w:sz="0" w:space="0" w:color="auto"/>
      </w:divBdr>
    </w:div>
    <w:div w:id="371007075">
      <w:bodyDiv w:val="1"/>
      <w:marLeft w:val="0"/>
      <w:marRight w:val="0"/>
      <w:marTop w:val="0"/>
      <w:marBottom w:val="0"/>
      <w:divBdr>
        <w:top w:val="none" w:sz="0" w:space="0" w:color="auto"/>
        <w:left w:val="none" w:sz="0" w:space="0" w:color="auto"/>
        <w:bottom w:val="none" w:sz="0" w:space="0" w:color="auto"/>
        <w:right w:val="none" w:sz="0" w:space="0" w:color="auto"/>
      </w:divBdr>
    </w:div>
    <w:div w:id="567960565">
      <w:bodyDiv w:val="1"/>
      <w:marLeft w:val="0"/>
      <w:marRight w:val="0"/>
      <w:marTop w:val="0"/>
      <w:marBottom w:val="0"/>
      <w:divBdr>
        <w:top w:val="none" w:sz="0" w:space="0" w:color="auto"/>
        <w:left w:val="none" w:sz="0" w:space="0" w:color="auto"/>
        <w:bottom w:val="none" w:sz="0" w:space="0" w:color="auto"/>
        <w:right w:val="none" w:sz="0" w:space="0" w:color="auto"/>
      </w:divBdr>
    </w:div>
    <w:div w:id="1263611901">
      <w:bodyDiv w:val="1"/>
      <w:marLeft w:val="0"/>
      <w:marRight w:val="0"/>
      <w:marTop w:val="0"/>
      <w:marBottom w:val="0"/>
      <w:divBdr>
        <w:top w:val="none" w:sz="0" w:space="0" w:color="auto"/>
        <w:left w:val="none" w:sz="0" w:space="0" w:color="auto"/>
        <w:bottom w:val="none" w:sz="0" w:space="0" w:color="auto"/>
        <w:right w:val="none" w:sz="0" w:space="0" w:color="auto"/>
      </w:divBdr>
    </w:div>
    <w:div w:id="1264461211">
      <w:bodyDiv w:val="1"/>
      <w:marLeft w:val="0"/>
      <w:marRight w:val="0"/>
      <w:marTop w:val="0"/>
      <w:marBottom w:val="0"/>
      <w:divBdr>
        <w:top w:val="none" w:sz="0" w:space="0" w:color="auto"/>
        <w:left w:val="none" w:sz="0" w:space="0" w:color="auto"/>
        <w:bottom w:val="none" w:sz="0" w:space="0" w:color="auto"/>
        <w:right w:val="none" w:sz="0" w:space="0" w:color="auto"/>
      </w:divBdr>
    </w:div>
    <w:div w:id="1270620905">
      <w:bodyDiv w:val="1"/>
      <w:marLeft w:val="0"/>
      <w:marRight w:val="0"/>
      <w:marTop w:val="0"/>
      <w:marBottom w:val="0"/>
      <w:divBdr>
        <w:top w:val="none" w:sz="0" w:space="0" w:color="auto"/>
        <w:left w:val="none" w:sz="0" w:space="0" w:color="auto"/>
        <w:bottom w:val="none" w:sz="0" w:space="0" w:color="auto"/>
        <w:right w:val="none" w:sz="0" w:space="0" w:color="auto"/>
      </w:divBdr>
    </w:div>
    <w:div w:id="1370253803">
      <w:bodyDiv w:val="1"/>
      <w:marLeft w:val="0"/>
      <w:marRight w:val="0"/>
      <w:marTop w:val="0"/>
      <w:marBottom w:val="0"/>
      <w:divBdr>
        <w:top w:val="none" w:sz="0" w:space="0" w:color="auto"/>
        <w:left w:val="none" w:sz="0" w:space="0" w:color="auto"/>
        <w:bottom w:val="none" w:sz="0" w:space="0" w:color="auto"/>
        <w:right w:val="none" w:sz="0" w:space="0" w:color="auto"/>
      </w:divBdr>
    </w:div>
    <w:div w:id="1381444299">
      <w:bodyDiv w:val="1"/>
      <w:marLeft w:val="0"/>
      <w:marRight w:val="0"/>
      <w:marTop w:val="0"/>
      <w:marBottom w:val="0"/>
      <w:divBdr>
        <w:top w:val="none" w:sz="0" w:space="0" w:color="auto"/>
        <w:left w:val="none" w:sz="0" w:space="0" w:color="auto"/>
        <w:bottom w:val="none" w:sz="0" w:space="0" w:color="auto"/>
        <w:right w:val="none" w:sz="0" w:space="0" w:color="auto"/>
      </w:divBdr>
    </w:div>
    <w:div w:id="1542403262">
      <w:bodyDiv w:val="1"/>
      <w:marLeft w:val="0"/>
      <w:marRight w:val="0"/>
      <w:marTop w:val="0"/>
      <w:marBottom w:val="0"/>
      <w:divBdr>
        <w:top w:val="none" w:sz="0" w:space="0" w:color="auto"/>
        <w:left w:val="none" w:sz="0" w:space="0" w:color="auto"/>
        <w:bottom w:val="none" w:sz="0" w:space="0" w:color="auto"/>
        <w:right w:val="none" w:sz="0" w:space="0" w:color="auto"/>
      </w:divBdr>
    </w:div>
    <w:div w:id="1549026109">
      <w:bodyDiv w:val="1"/>
      <w:marLeft w:val="0"/>
      <w:marRight w:val="0"/>
      <w:marTop w:val="0"/>
      <w:marBottom w:val="0"/>
      <w:divBdr>
        <w:top w:val="none" w:sz="0" w:space="0" w:color="auto"/>
        <w:left w:val="none" w:sz="0" w:space="0" w:color="auto"/>
        <w:bottom w:val="none" w:sz="0" w:space="0" w:color="auto"/>
        <w:right w:val="none" w:sz="0" w:space="0" w:color="auto"/>
      </w:divBdr>
    </w:div>
    <w:div w:id="1559778266">
      <w:bodyDiv w:val="1"/>
      <w:marLeft w:val="0"/>
      <w:marRight w:val="0"/>
      <w:marTop w:val="0"/>
      <w:marBottom w:val="0"/>
      <w:divBdr>
        <w:top w:val="none" w:sz="0" w:space="0" w:color="auto"/>
        <w:left w:val="none" w:sz="0" w:space="0" w:color="auto"/>
        <w:bottom w:val="none" w:sz="0" w:space="0" w:color="auto"/>
        <w:right w:val="none" w:sz="0" w:space="0" w:color="auto"/>
      </w:divBdr>
    </w:div>
    <w:div w:id="1700004591">
      <w:bodyDiv w:val="1"/>
      <w:marLeft w:val="0"/>
      <w:marRight w:val="0"/>
      <w:marTop w:val="0"/>
      <w:marBottom w:val="0"/>
      <w:divBdr>
        <w:top w:val="none" w:sz="0" w:space="0" w:color="auto"/>
        <w:left w:val="none" w:sz="0" w:space="0" w:color="auto"/>
        <w:bottom w:val="none" w:sz="0" w:space="0" w:color="auto"/>
        <w:right w:val="none" w:sz="0" w:space="0" w:color="auto"/>
      </w:divBdr>
    </w:div>
    <w:div w:id="1722290884">
      <w:bodyDiv w:val="1"/>
      <w:marLeft w:val="0"/>
      <w:marRight w:val="0"/>
      <w:marTop w:val="0"/>
      <w:marBottom w:val="0"/>
      <w:divBdr>
        <w:top w:val="none" w:sz="0" w:space="0" w:color="auto"/>
        <w:left w:val="none" w:sz="0" w:space="0" w:color="auto"/>
        <w:bottom w:val="none" w:sz="0" w:space="0" w:color="auto"/>
        <w:right w:val="none" w:sz="0" w:space="0" w:color="auto"/>
      </w:divBdr>
    </w:div>
    <w:div w:id="1863863197">
      <w:bodyDiv w:val="1"/>
      <w:marLeft w:val="0"/>
      <w:marRight w:val="0"/>
      <w:marTop w:val="0"/>
      <w:marBottom w:val="0"/>
      <w:divBdr>
        <w:top w:val="none" w:sz="0" w:space="0" w:color="auto"/>
        <w:left w:val="none" w:sz="0" w:space="0" w:color="auto"/>
        <w:bottom w:val="none" w:sz="0" w:space="0" w:color="auto"/>
        <w:right w:val="none" w:sz="0" w:space="0" w:color="auto"/>
      </w:divBdr>
    </w:div>
    <w:div w:id="18797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0)6017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ff.org/state-category/demographics-and-the-economy/" TargetMode="External"/><Relationship Id="rId11" Type="http://schemas.openxmlformats.org/officeDocument/2006/relationships/hyperlink" Target="https://doi.org/10.1111/j.1467-789x.2008.00475.x" TargetMode="External"/><Relationship Id="rId5" Type="http://schemas.openxmlformats.org/officeDocument/2006/relationships/hyperlink" Target="https://nces.ed.gov/programs/coe/indicator/cmb/public-school-expenditure" TargetMode="External"/><Relationship Id="rId10" Type="http://schemas.openxmlformats.org/officeDocument/2006/relationships/hyperlink" Target="https://nces.ed.gov/programs/coe/indicator/cmb/public-school-expenditure" TargetMode="External"/><Relationship Id="rId4" Type="http://schemas.openxmlformats.org/officeDocument/2006/relationships/hyperlink" Target="https://www.kff.org/other/state-indicator/distribution-of-body-mass-index-among-adults/?currentTimeframe=0&amp;sortModel=%7B%22colId%22:%22Location%22,%22sort%22:%22asc%22%7D" TargetMode="External"/><Relationship Id="rId9" Type="http://schemas.openxmlformats.org/officeDocument/2006/relationships/hyperlink" Target="https://data.worldobesity.org/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Giovanni</dc:creator>
  <cp:keywords/>
  <dc:description/>
  <cp:lastModifiedBy>Rivera, Giovanni</cp:lastModifiedBy>
  <cp:revision>80</cp:revision>
  <dcterms:created xsi:type="dcterms:W3CDTF">2024-09-02T00:27:00Z</dcterms:created>
  <dcterms:modified xsi:type="dcterms:W3CDTF">2024-10-14T03:13:00Z</dcterms:modified>
</cp:coreProperties>
</file>