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6C02" w14:textId="77777777" w:rsidR="00B21172" w:rsidRDefault="00F851B9">
      <w:pPr>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PREDELECT</w:t>
      </w:r>
      <w:r>
        <w:rPr>
          <w:noProof/>
        </w:rPr>
        <mc:AlternateContent>
          <mc:Choice Requires="wps">
            <w:drawing>
              <wp:anchor distT="0" distB="0" distL="114300" distR="114300" simplePos="0" relativeHeight="251658240" behindDoc="0" locked="0" layoutInCell="1" hidden="0" allowOverlap="1" wp14:anchorId="267D656B" wp14:editId="33A8766A">
                <wp:simplePos x="0" y="0"/>
                <wp:positionH relativeFrom="column">
                  <wp:posOffset>-165099</wp:posOffset>
                </wp:positionH>
                <wp:positionV relativeFrom="paragraph">
                  <wp:posOffset>-114299</wp:posOffset>
                </wp:positionV>
                <wp:extent cx="6188075" cy="860425"/>
                <wp:effectExtent l="0" t="0" r="0" b="0"/>
                <wp:wrapNone/>
                <wp:docPr id="7" name="Rettangolo 7"/>
                <wp:cNvGraphicFramePr/>
                <a:graphic xmlns:a="http://schemas.openxmlformats.org/drawingml/2006/main">
                  <a:graphicData uri="http://schemas.microsoft.com/office/word/2010/wordprocessingShape">
                    <wps:wsp>
                      <wps:cNvSpPr/>
                      <wps:spPr>
                        <a:xfrm>
                          <a:off x="2266250" y="3364075"/>
                          <a:ext cx="6159500" cy="831850"/>
                        </a:xfrm>
                        <a:prstGeom prst="rect">
                          <a:avLst/>
                        </a:prstGeom>
                        <a:noFill/>
                        <a:ln w="28575" cap="flat" cmpd="tri">
                          <a:solidFill>
                            <a:schemeClr val="dk2"/>
                          </a:solidFill>
                          <a:prstDash val="solid"/>
                          <a:miter lim="800000"/>
                          <a:headEnd type="none" w="sm" len="sm"/>
                          <a:tailEnd type="none" w="sm" len="sm"/>
                        </a:ln>
                      </wps:spPr>
                      <wps:txbx>
                        <w:txbxContent>
                          <w:p w14:paraId="61C2169A" w14:textId="77777777" w:rsidR="00B21172" w:rsidRDefault="00B2117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7D656B" id="Rettangolo 7" o:spid="_x0000_s1026" style="position:absolute;left:0;text-align:left;margin-left:-13pt;margin-top:-9pt;width:487.25pt;height:6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ruLgIAAEsEAAAOAAAAZHJzL2Uyb0RvYy54bWysVNuO0zAQfUfiHyy/01y6vWzUdIW2FCGt&#10;oGLhA6aO01j4hu026d8zdsq2wAMSIg/OjH0yc+bMOKuHQUly4s4Lo2taTHJKuGamEfpQ069ftm+W&#10;lPgAugFpNK/pmXv6sH79atXbipemM7LhjmAQ7ave1rQLwVZZ5lnHFfiJsVzjYWucgoCuO2SNgx6j&#10;K5mVeT7PeuMa6wzj3uPuZjyk6xS/bTkLn9rW80BkTZFbSKtL6z6u2XoF1cGB7QS70IB/YKFAaEz6&#10;EmoDAcjRiT9CKcGc8aYNE2ZUZtpWMJ5qwGqK/LdqnjuwPNWC4nj7IpP/f2HZx9POEdHUdEGJBoUt&#10;+swDNuxgpCGLqE9vfYWwZ7tzF8+jGYsdWqfiG8sgQ03Lcj4vZ6jyuabT6fwuX8xGffkQCEPAvJjd&#10;z3IEMEQsp8USwRgyu0ayzof33CgSjZo67F+SFU5PPozQn5CYWJutkBL3oZKa9EhhOcOkhAGOUish&#10;oKksFhecSHG8kaKJ38RP0pDxR+nICXA8mm/lhc0vqJhvA74bQelorEqJgKMrhcJa8viM2x2H5p1u&#10;SDhbFFPj1NPIzCtKJMc7gkYiHEDIv+NQG6lRotiEUfZohWE/YJBo7k1zxg56y7YCmT6BDztwOMMF&#10;psW5xoTfj+CQhPygcXDui7sSFQq3jrt19rcOaNYZvC4sOEpG5zGk6zPK//YYTCtSZ65kLnRxYlNv&#10;L7crXolbP6Gu/4D1DwAAAP//AwBQSwMEFAAGAAgAAAAhAMU/LyrhAAAACwEAAA8AAABkcnMvZG93&#10;bnJldi54bWxMj81OwzAQhO9IvIO1SNxaJxUtaYhTIRBC5U9q2kOPbrwkEfE6ip0mvD3LCW4z2k+z&#10;M9lmsq04Y+8bRwrieQQCqXSmoUrBYf80S0D4oMno1hEq+EYPm/zyItOpcSPt8FyESnAI+VQrqEPo&#10;Uil9WaPVfu46JL59ut7qwLavpOn1yOG2lYsoWkmrG+IPte7wocbyqxisAj++HNth9/y4JfuxLV8P&#10;6+IN35W6vpru70AEnMIfDL/1uTrk3OnkBjJetApmixVvCSzihAUT65tkCeLEaHy7BJln8v+G/AcA&#10;AP//AwBQSwECLQAUAAYACAAAACEAtoM4kv4AAADhAQAAEwAAAAAAAAAAAAAAAAAAAAAAW0NvbnRl&#10;bnRfVHlwZXNdLnhtbFBLAQItABQABgAIAAAAIQA4/SH/1gAAAJQBAAALAAAAAAAAAAAAAAAAAC8B&#10;AABfcmVscy8ucmVsc1BLAQItABQABgAIAAAAIQCuqDruLgIAAEsEAAAOAAAAAAAAAAAAAAAAAC4C&#10;AABkcnMvZTJvRG9jLnhtbFBLAQItABQABgAIAAAAIQDFPy8q4QAAAAsBAAAPAAAAAAAAAAAAAAAA&#10;AIgEAABkcnMvZG93bnJldi54bWxQSwUGAAAAAAQABADzAAAAlgUAAAAA&#10;" filled="f" strokecolor="#44546a [3202]" strokeweight="2.25pt">
                <v:stroke startarrowwidth="narrow" startarrowlength="short" endarrowwidth="narrow" endarrowlength="short" linestyle="thickBetweenThin"/>
                <v:textbox inset="2.53958mm,2.53958mm,2.53958mm,2.53958mm">
                  <w:txbxContent>
                    <w:p w14:paraId="61C2169A" w14:textId="77777777" w:rsidR="00B21172" w:rsidRDefault="00B21172">
                      <w:pPr>
                        <w:spacing w:after="0" w:line="240" w:lineRule="auto"/>
                        <w:textDirection w:val="btLr"/>
                      </w:pPr>
                    </w:p>
                  </w:txbxContent>
                </v:textbox>
              </v:rect>
            </w:pict>
          </mc:Fallback>
        </mc:AlternateContent>
      </w:r>
    </w:p>
    <w:p w14:paraId="1C6C621E" w14:textId="77777777" w:rsidR="00B21172" w:rsidRDefault="00F851B9">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Proposta di software informativo per gli operatori della borsa elettrica.</w:t>
      </w:r>
    </w:p>
    <w:p w14:paraId="04FCE721"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sectPr w:rsidR="00B21172">
          <w:footerReference w:type="default" r:id="rId8"/>
          <w:pgSz w:w="11906" w:h="16838"/>
          <w:pgMar w:top="1417" w:right="1417" w:bottom="1417" w:left="1417" w:header="708" w:footer="708" w:gutter="0"/>
          <w:pgNumType w:start="1"/>
          <w:cols w:space="720"/>
        </w:sectPr>
      </w:pPr>
      <w:r>
        <w:rPr>
          <w:noProof/>
        </w:rPr>
        <mc:AlternateContent>
          <mc:Choice Requires="wps">
            <w:drawing>
              <wp:anchor distT="0" distB="0" distL="114300" distR="114300" simplePos="0" relativeHeight="251659264" behindDoc="0" locked="0" layoutInCell="1" hidden="0" allowOverlap="1" wp14:anchorId="60D3915B" wp14:editId="2F7C2986">
                <wp:simplePos x="0" y="0"/>
                <wp:positionH relativeFrom="column">
                  <wp:posOffset>-165099</wp:posOffset>
                </wp:positionH>
                <wp:positionV relativeFrom="paragraph">
                  <wp:posOffset>177800</wp:posOffset>
                </wp:positionV>
                <wp:extent cx="6188075" cy="860425"/>
                <wp:effectExtent l="0" t="0" r="0" b="0"/>
                <wp:wrapNone/>
                <wp:docPr id="8" name="Rettangolo 8"/>
                <wp:cNvGraphicFramePr/>
                <a:graphic xmlns:a="http://schemas.openxmlformats.org/drawingml/2006/main">
                  <a:graphicData uri="http://schemas.microsoft.com/office/word/2010/wordprocessingShape">
                    <wps:wsp>
                      <wps:cNvSpPr/>
                      <wps:spPr>
                        <a:xfrm>
                          <a:off x="2266250" y="3364075"/>
                          <a:ext cx="6159500" cy="831850"/>
                        </a:xfrm>
                        <a:prstGeom prst="rect">
                          <a:avLst/>
                        </a:prstGeom>
                        <a:noFill/>
                        <a:ln w="28575" cap="flat" cmpd="tri">
                          <a:solidFill>
                            <a:schemeClr val="dk2"/>
                          </a:solidFill>
                          <a:prstDash val="solid"/>
                          <a:miter lim="800000"/>
                          <a:headEnd type="none" w="sm" len="sm"/>
                          <a:tailEnd type="none" w="sm" len="sm"/>
                        </a:ln>
                      </wps:spPr>
                      <wps:txbx>
                        <w:txbxContent>
                          <w:p w14:paraId="444915B2" w14:textId="77777777" w:rsidR="00B21172" w:rsidRDefault="00B2117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0D3915B" id="Rettangolo 8" o:spid="_x0000_s1027" style="position:absolute;left:0;text-align:left;margin-left:-13pt;margin-top:14pt;width:487.25pt;height:6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EMQIAAFIEAAAOAAAAZHJzL2Uyb0RvYy54bWysVNuO0zAQfUfiHyy/01y6Ld2q6QptKUJa&#10;sRULHzB1nMbCN+zZXv6esVO2BR6QEHlwPPbJzJkzM1ncHY1mexmicrbh1ajkTFrhWmV3Df/6Zf1m&#10;xllEsC1oZ2XDTzLyu+XrV4uDn8va9U63MjByYuP84BveI/p5UUTRSwNx5Ly0dNm5YADJDLuiDXAg&#10;70YXdVlOi4MLrQ9OyBjpdDVc8mX233VS4GPXRYlMN5y4YV5DXrdpLZYLmO8C+F6JMw34BxYGlKWg&#10;L65WgMCeg/rDlVEiuOg6HAlnCtd1SsicA2VTlb9l89SDlzkXEif6F5ni/3MrPu03gam24VQoC4ZK&#10;9FkiFWzntGOzpM/BxznBnvwmnK1I25TssQsmvSkNdmx4XU+n9YRUPjV8PJ7elG8ng77yiEwQYFpN&#10;biclAQQhZuNqRmByWVw8+RDxg3SGpU3DA9Uvywr7h4gD9CckBbZurbSmc5hryw5EYTahoEwAtVKn&#10;AWlrPCWHQWU/0WnVpm/SJ7nJ5L0ObA/UHu23+szmF1SKt4LYD6B8NWRlFFLramUolzI9w3EvoX1v&#10;W4YnT2Ja6nqemEXDmZY0I7TJhBGU/juOtNGWJEpFGGRPOzxuj7loVfKVTrauPVEhoxdrRYQfIOIG&#10;ArVyRdGpvSnu92cIxEV/tNQ/t9VNTULhtRGuje21AVb0jqZGYOBsMO4xT9FQhXfP6DqVC3Qhc2ZN&#10;jZtLfB6yNBnXdkZdfgXLHwAAAP//AwBQSwMEFAAGAAgAAAAhAAy/jtPhAAAACgEAAA8AAABkcnMv&#10;ZG93bnJldi54bWxMj8FOg0AQhu8mvsNmTLy1i2gJRZbGaIypVZNiDx63MAJxd5awS8G3dzzpaTKZ&#10;L/98f76ZrREnHHznSMHVMgKBVLm6o0bB4f1xkYLwQVOtjSNU8I0eNsX5Wa6z2k20x1MZGsEh5DOt&#10;oA2hz6T0VYtW+6Xrkfj26QarA69DI+tBTxxujYyjKJFWd8QfWt3jfYvVVzlaBX56/jDj/ulhS/Zt&#10;W+0O6/IFX5W6vJjvbkEEnMMfDL/6rA4FOx3dSLUXRsEiTrhLUBCnPBlY36QrEEcmk+sVyCKX/ysU&#10;PwAAAP//AwBQSwECLQAUAAYACAAAACEAtoM4kv4AAADhAQAAEwAAAAAAAAAAAAAAAAAAAAAAW0Nv&#10;bnRlbnRfVHlwZXNdLnhtbFBLAQItABQABgAIAAAAIQA4/SH/1gAAAJQBAAALAAAAAAAAAAAAAAAA&#10;AC8BAABfcmVscy8ucmVsc1BLAQItABQABgAIAAAAIQB4c/FEMQIAAFIEAAAOAAAAAAAAAAAAAAAA&#10;AC4CAABkcnMvZTJvRG9jLnhtbFBLAQItABQABgAIAAAAIQAMv47T4QAAAAoBAAAPAAAAAAAAAAAA&#10;AAAAAIsEAABkcnMvZG93bnJldi54bWxQSwUGAAAAAAQABADzAAAAmQUAAAAA&#10;" filled="f" strokecolor="#44546a [3202]" strokeweight="2.25pt">
                <v:stroke startarrowwidth="narrow" startarrowlength="short" endarrowwidth="narrow" endarrowlength="short" linestyle="thickBetweenThin"/>
                <v:textbox inset="2.53958mm,2.53958mm,2.53958mm,2.53958mm">
                  <w:txbxContent>
                    <w:p w14:paraId="444915B2" w14:textId="77777777" w:rsidR="00B21172" w:rsidRDefault="00B21172">
                      <w:pPr>
                        <w:spacing w:after="0" w:line="240" w:lineRule="auto"/>
                        <w:textDirection w:val="btLr"/>
                      </w:pPr>
                    </w:p>
                  </w:txbxContent>
                </v:textbox>
              </v:rect>
            </w:pict>
          </mc:Fallback>
        </mc:AlternateContent>
      </w:r>
    </w:p>
    <w:p w14:paraId="753B8260"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Giorgio Nardi </w:t>
      </w:r>
    </w:p>
    <w:p w14:paraId="07058F38"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819961</w:t>
      </w:r>
    </w:p>
    <w:p w14:paraId="7B541202" w14:textId="77777777" w:rsidR="00B21172" w:rsidRDefault="0073188D">
      <w:pPr>
        <w:pBdr>
          <w:top w:val="nil"/>
          <w:left w:val="nil"/>
          <w:bottom w:val="nil"/>
          <w:right w:val="nil"/>
          <w:between w:val="nil"/>
        </w:pBdr>
        <w:spacing w:line="240" w:lineRule="auto"/>
        <w:jc w:val="both"/>
        <w:rPr>
          <w:rFonts w:ascii="Times New Roman" w:eastAsia="Times New Roman" w:hAnsi="Times New Roman" w:cs="Times New Roman"/>
          <w:color w:val="000000"/>
        </w:rPr>
      </w:pPr>
      <w:hyperlink r:id="rId9">
        <w:r w:rsidR="00F851B9">
          <w:rPr>
            <w:rFonts w:ascii="Times New Roman" w:eastAsia="Times New Roman" w:hAnsi="Times New Roman" w:cs="Times New Roman"/>
            <w:color w:val="0000FF"/>
            <w:u w:val="single"/>
          </w:rPr>
          <w:t>g.nardi1@campus.unimib.it</w:t>
        </w:r>
      </w:hyperlink>
    </w:p>
    <w:p w14:paraId="6343DF8B" w14:textId="77777777" w:rsidR="00B21172" w:rsidRDefault="00B21172">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3DE3CB69" w14:textId="77777777" w:rsidR="00B21172" w:rsidRDefault="00F851B9">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Sofia Davoli</w:t>
      </w:r>
    </w:p>
    <w:p w14:paraId="66FF54E8" w14:textId="77777777" w:rsidR="00B21172" w:rsidRDefault="00F851B9">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813479</w:t>
      </w:r>
    </w:p>
    <w:p w14:paraId="6C693958" w14:textId="77777777" w:rsidR="00B21172" w:rsidRDefault="0073188D">
      <w:pPr>
        <w:pBdr>
          <w:top w:val="nil"/>
          <w:left w:val="nil"/>
          <w:bottom w:val="nil"/>
          <w:right w:val="nil"/>
          <w:between w:val="nil"/>
        </w:pBdr>
        <w:spacing w:line="240" w:lineRule="auto"/>
        <w:jc w:val="right"/>
        <w:rPr>
          <w:rFonts w:ascii="Times New Roman" w:eastAsia="Times New Roman" w:hAnsi="Times New Roman" w:cs="Times New Roman"/>
          <w:color w:val="000000"/>
        </w:rPr>
        <w:sectPr w:rsidR="00B21172">
          <w:type w:val="continuous"/>
          <w:pgSz w:w="11906" w:h="16838"/>
          <w:pgMar w:top="1417" w:right="1417" w:bottom="1417" w:left="1417" w:header="708" w:footer="708" w:gutter="0"/>
          <w:pgNumType w:start="1"/>
          <w:cols w:num="2" w:space="720" w:equalWidth="0">
            <w:col w:w="4181" w:space="708"/>
            <w:col w:w="4181" w:space="0"/>
          </w:cols>
        </w:sectPr>
      </w:pPr>
      <w:hyperlink r:id="rId10">
        <w:r w:rsidR="00F851B9">
          <w:rPr>
            <w:rFonts w:ascii="Times New Roman" w:eastAsia="Times New Roman" w:hAnsi="Times New Roman" w:cs="Times New Roman"/>
            <w:color w:val="0000FF"/>
            <w:u w:val="single"/>
          </w:rPr>
          <w:t>s.davoli1@campus.unimib.it</w:t>
        </w:r>
      </w:hyperlink>
    </w:p>
    <w:p w14:paraId="1BC9E8D8" w14:textId="77777777" w:rsidR="00B21172" w:rsidRDefault="00B21172">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2BF67452" w14:textId="4B69F376"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INDICE:</w:t>
      </w:r>
      <w:r>
        <w:rPr>
          <w:rFonts w:ascii="Times New Roman" w:eastAsia="Times New Roman" w:hAnsi="Times New Roman" w:cs="Times New Roman"/>
          <w:color w:val="000000"/>
        </w:rPr>
        <w:t xml:space="preserve"> </w:t>
      </w:r>
    </w:p>
    <w:p w14:paraId="28D93D11" w14:textId="77777777" w:rsidR="00B21172" w:rsidRDefault="00B21172">
      <w:pPr>
        <w:pBdr>
          <w:top w:val="nil"/>
          <w:left w:val="nil"/>
          <w:bottom w:val="nil"/>
          <w:right w:val="nil"/>
          <w:between w:val="nil"/>
        </w:pBdr>
        <w:spacing w:line="240" w:lineRule="auto"/>
        <w:jc w:val="both"/>
        <w:rPr>
          <w:rFonts w:ascii="Times New Roman" w:eastAsia="Times New Roman" w:hAnsi="Times New Roman" w:cs="Times New Roman"/>
          <w:color w:val="000000"/>
          <w:u w:val="single"/>
        </w:rPr>
      </w:pPr>
    </w:p>
    <w:p w14:paraId="31086F65"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IL GME E IL MERCATO ELETTRICO ................................................................................................ 2</w:t>
      </w:r>
    </w:p>
    <w:p w14:paraId="2BA654B4" w14:textId="655E746E" w:rsidR="00B21172" w:rsidRDefault="00F851B9">
      <w:pPr>
        <w:jc w:val="both"/>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IL SERVIZIO</w:t>
      </w:r>
      <w:r>
        <w:rPr>
          <w:rFonts w:ascii="Times New Roman" w:eastAsia="Times New Roman" w:hAnsi="Times New Roman" w:cs="Times New Roman"/>
          <w:color w:val="212529"/>
        </w:rPr>
        <w:t xml:space="preserve"> </w:t>
      </w:r>
      <w:r>
        <w:rPr>
          <w:rFonts w:ascii="Times New Roman" w:eastAsia="Times New Roman" w:hAnsi="Times New Roman" w:cs="Times New Roman"/>
          <w:color w:val="000000"/>
        </w:rPr>
        <w:t>..........................................................................................................................................</w:t>
      </w:r>
      <w:r w:rsidR="00E865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3</w:t>
      </w:r>
    </w:p>
    <w:p w14:paraId="270C3D28" w14:textId="02C570A3" w:rsidR="00B21172" w:rsidRPr="00B8046C" w:rsidRDefault="00F851B9">
      <w:pPr>
        <w:jc w:val="both"/>
        <w:rPr>
          <w:rFonts w:ascii="Times New Roman" w:eastAsia="Times New Roman" w:hAnsi="Times New Roman" w:cs="Times New Roman"/>
          <w:lang w:val="en-US"/>
        </w:rPr>
      </w:pPr>
      <w:r w:rsidRPr="00B8046C">
        <w:rPr>
          <w:rFonts w:ascii="Times New Roman" w:eastAsia="Times New Roman" w:hAnsi="Times New Roman" w:cs="Times New Roman"/>
          <w:lang w:val="en-US"/>
        </w:rPr>
        <w:t>CANVAS MODEL .................................................................................................................................</w:t>
      </w:r>
      <w:r w:rsidR="00E8650D" w:rsidRPr="00B8046C">
        <w:rPr>
          <w:rFonts w:ascii="Times New Roman" w:eastAsia="Times New Roman" w:hAnsi="Times New Roman" w:cs="Times New Roman"/>
          <w:lang w:val="en-US"/>
        </w:rPr>
        <w:t>. 3</w:t>
      </w:r>
    </w:p>
    <w:p w14:paraId="6F38A73F" w14:textId="32999EBD" w:rsidR="00B21172" w:rsidRPr="00B8046C" w:rsidRDefault="00F851B9" w:rsidP="00E8650D">
      <w:pPr>
        <w:jc w:val="both"/>
        <w:rPr>
          <w:rFonts w:ascii="Times New Roman" w:eastAsia="Times New Roman" w:hAnsi="Times New Roman" w:cs="Times New Roman"/>
          <w:lang w:val="en-US"/>
        </w:rPr>
      </w:pPr>
      <w:r w:rsidRPr="00B8046C">
        <w:rPr>
          <w:rFonts w:ascii="Times New Roman" w:eastAsia="Times New Roman" w:hAnsi="Times New Roman" w:cs="Times New Roman"/>
          <w:lang w:val="en-US"/>
        </w:rPr>
        <w:t xml:space="preserve">LANDING PAGE MVP .......................................................................................................................... </w:t>
      </w:r>
      <w:r w:rsidR="00E8650D" w:rsidRPr="00B8046C">
        <w:rPr>
          <w:rFonts w:ascii="Times New Roman" w:eastAsia="Times New Roman" w:hAnsi="Times New Roman" w:cs="Times New Roman"/>
          <w:lang w:val="en-US"/>
        </w:rPr>
        <w:t>6</w:t>
      </w:r>
    </w:p>
    <w:p w14:paraId="02BB7E76" w14:textId="188490D8"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STATO DELL’ARTE ............................................................................................................................. </w:t>
      </w:r>
      <w:r w:rsidR="00E8650D">
        <w:rPr>
          <w:rFonts w:ascii="Times New Roman" w:eastAsia="Times New Roman" w:hAnsi="Times New Roman" w:cs="Times New Roman"/>
        </w:rPr>
        <w:t>8</w:t>
      </w:r>
    </w:p>
    <w:p w14:paraId="6DEF1742" w14:textId="6793EB43" w:rsidR="00B21172" w:rsidRDefault="00F851B9">
      <w:pPr>
        <w:jc w:val="both"/>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SVILUPPI FUTURI ..............................................................................................................................</w:t>
      </w:r>
      <w:r w:rsidR="00E8650D">
        <w:rPr>
          <w:rFonts w:ascii="Times New Roman" w:eastAsia="Times New Roman" w:hAnsi="Times New Roman" w:cs="Times New Roman"/>
          <w:color w:val="212529"/>
          <w:highlight w:val="white"/>
        </w:rPr>
        <w:t>.. 8</w:t>
      </w:r>
    </w:p>
    <w:p w14:paraId="085C2722" w14:textId="131E29DA" w:rsidR="00B21172" w:rsidRDefault="00F851B9">
      <w:pPr>
        <w:jc w:val="both"/>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SITOGRAFIA E BIBLIOGRAFIA .......................................................................................................</w:t>
      </w:r>
      <w:r w:rsidR="00FD33EB">
        <w:rPr>
          <w:rFonts w:ascii="Times New Roman" w:eastAsia="Times New Roman" w:hAnsi="Times New Roman" w:cs="Times New Roman"/>
          <w:color w:val="212529"/>
          <w:highlight w:val="white"/>
        </w:rPr>
        <w:t>.. 9</w:t>
      </w:r>
    </w:p>
    <w:p w14:paraId="5255F9F9" w14:textId="77777777" w:rsidR="00B21172" w:rsidRDefault="00F851B9">
      <w:pPr>
        <w:rPr>
          <w:rFonts w:ascii="Times New Roman" w:eastAsia="Times New Roman" w:hAnsi="Times New Roman" w:cs="Times New Roman"/>
          <w:color w:val="000000"/>
          <w:u w:val="single"/>
        </w:rPr>
      </w:pPr>
      <w:r>
        <w:br w:type="page"/>
      </w:r>
    </w:p>
    <w:p w14:paraId="4763AF41" w14:textId="77777777" w:rsidR="00B21172" w:rsidRPr="004A634D" w:rsidRDefault="00F851B9">
      <w:pPr>
        <w:jc w:val="both"/>
        <w:rPr>
          <w:rFonts w:ascii="Times New Roman" w:eastAsia="Times New Roman" w:hAnsi="Times New Roman" w:cs="Times New Roman"/>
          <w:b/>
          <w:bCs/>
          <w:color w:val="212529"/>
          <w:sz w:val="28"/>
          <w:szCs w:val="28"/>
          <w:highlight w:val="white"/>
          <w:u w:val="single"/>
        </w:rPr>
      </w:pPr>
      <w:r w:rsidRPr="004A634D">
        <w:rPr>
          <w:rFonts w:ascii="Times New Roman" w:eastAsia="Times New Roman" w:hAnsi="Times New Roman" w:cs="Times New Roman"/>
          <w:b/>
          <w:bCs/>
          <w:color w:val="212529"/>
          <w:sz w:val="28"/>
          <w:szCs w:val="28"/>
          <w:highlight w:val="white"/>
          <w:u w:val="single"/>
        </w:rPr>
        <w:lastRenderedPageBreak/>
        <w:t>IL GME E IL MERCATO ELETTRICO</w:t>
      </w:r>
    </w:p>
    <w:p w14:paraId="05F1D643"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Italia, il consumo di energia elettrica ricopre circa un quinto di tutti i consumi energetici. Per comprendere al meglio il meccanismo di scambio e distribuzione dell’energia all’interno del mercato elettrico è utile introdurre da subito </w:t>
      </w:r>
      <w:r w:rsidRPr="00B8046C">
        <w:rPr>
          <w:rFonts w:ascii="Times New Roman" w:eastAsia="Times New Roman" w:hAnsi="Times New Roman" w:cs="Times New Roman"/>
          <w:color w:val="000000"/>
          <w:highlight w:val="yellow"/>
        </w:rPr>
        <w:t>il GME</w:t>
      </w:r>
      <w:r w:rsidRPr="00B8046C">
        <w:rPr>
          <w:rFonts w:ascii="Times New Roman" w:eastAsia="Times New Roman" w:hAnsi="Times New Roman" w:cs="Times New Roman"/>
          <w:color w:val="000000"/>
          <w:highlight w:val="yellow"/>
          <w:vertAlign w:val="superscript"/>
        </w:rPr>
        <w:t>1</w:t>
      </w:r>
      <w:r w:rsidRPr="00B8046C">
        <w:rPr>
          <w:rFonts w:ascii="Times New Roman" w:eastAsia="Times New Roman" w:hAnsi="Times New Roman" w:cs="Times New Roman"/>
          <w:color w:val="000000"/>
          <w:highlight w:val="yellow"/>
        </w:rPr>
        <w:t xml:space="preserve"> (Gestore dei Mercati Energetici), ovvero la società italiana responsabile dell'organizzazione e della gestione del mercato elettrico</w:t>
      </w:r>
      <w:r>
        <w:rPr>
          <w:rFonts w:ascii="Times New Roman" w:eastAsia="Times New Roman" w:hAnsi="Times New Roman" w:cs="Times New Roman"/>
          <w:color w:val="000000"/>
        </w:rPr>
        <w:t xml:space="preserve">. In particolare, esso svolge il suo ruolo assieme ad alcuni enti e autorità come il Ministero dello Sviluppo Economico, il Ministero dell’Economia e delle Finanze e l’Autorità per l’energia elettrica e il gas. </w:t>
      </w:r>
      <w:r w:rsidRPr="00B8046C">
        <w:rPr>
          <w:rFonts w:ascii="Times New Roman" w:eastAsia="Times New Roman" w:hAnsi="Times New Roman" w:cs="Times New Roman"/>
          <w:color w:val="000000"/>
          <w:highlight w:val="yellow"/>
        </w:rPr>
        <w:t>La sua funzione principale è quella di gestire la borsa elettrica favorendo l’emergere di prezzi di equilibrio che consentono a produttori e grossisti di vendere e comprare energia dove c’è una maggiore convenienza economica</w:t>
      </w:r>
      <w:r>
        <w:rPr>
          <w:rFonts w:ascii="Times New Roman" w:eastAsia="Times New Roman" w:hAnsi="Times New Roman" w:cs="Times New Roman"/>
          <w:color w:val="000000"/>
        </w:rPr>
        <w:t xml:space="preserve">. </w:t>
      </w:r>
      <w:r w:rsidRPr="00B8046C">
        <w:rPr>
          <w:rFonts w:ascii="Times New Roman" w:eastAsia="Times New Roman" w:hAnsi="Times New Roman" w:cs="Times New Roman"/>
          <w:color w:val="000000"/>
          <w:highlight w:val="yellow"/>
        </w:rPr>
        <w:t>Esso svolge le sue funzioni assicurando la neutralità, la trasparenza, l’obiettività e la concorrenza tra i produttori.</w:t>
      </w:r>
      <w:r>
        <w:rPr>
          <w:rFonts w:ascii="Times New Roman" w:eastAsia="Times New Roman" w:hAnsi="Times New Roman" w:cs="Times New Roman"/>
          <w:color w:val="000000"/>
        </w:rPr>
        <w:t xml:space="preserve"> In particolare, il mercato elettrico si costituisce di attività di vendita all’ingrosso, attività di vendita al dettaglio e i cosiddetti servizi ancillari, ovvero mercati utili alla risoluzione delle congestioni e al bilanciamento del sistema. In Italia è stata introdotta la concorrenza in tutte le componenti del mercato. Inoltre</w:t>
      </w:r>
      <w:r w:rsidRPr="00B8046C">
        <w:rPr>
          <w:rFonts w:ascii="Times New Roman" w:eastAsia="Times New Roman" w:hAnsi="Times New Roman" w:cs="Times New Roman"/>
          <w:color w:val="000000"/>
          <w:highlight w:val="yellow"/>
        </w:rPr>
        <w:t>, l’energia elettrica in Italia può essere scambiata tra operatori grossisti secondo le modalità di contratti a termine, i quali vengono negoziati direttamente tra le parti e registrati, oppure sfruttando il Mercato a Pronti dell’Energia. Quest’ultimo è un insieme di mercati che permette lo scambio di energia dove il ruolo della controparte centrale è svolto dal GME</w:t>
      </w:r>
      <w:r>
        <w:rPr>
          <w:rFonts w:ascii="Times New Roman" w:eastAsia="Times New Roman" w:hAnsi="Times New Roman" w:cs="Times New Roman"/>
          <w:color w:val="000000"/>
        </w:rPr>
        <w:t xml:space="preserve">. Il Mercato a Pronti si articola in più mercati successivi tra loro, ovvero: </w:t>
      </w:r>
      <w:proofErr w:type="gramStart"/>
      <w:r w:rsidRPr="00B8046C">
        <w:rPr>
          <w:rFonts w:ascii="Times New Roman" w:eastAsia="Times New Roman" w:hAnsi="Times New Roman" w:cs="Times New Roman"/>
          <w:color w:val="000000"/>
          <w:highlight w:val="yellow"/>
        </w:rPr>
        <w:t>MGP(</w:t>
      </w:r>
      <w:proofErr w:type="gramEnd"/>
      <w:r w:rsidRPr="00B8046C">
        <w:rPr>
          <w:rFonts w:ascii="Times New Roman" w:eastAsia="Times New Roman" w:hAnsi="Times New Roman" w:cs="Times New Roman"/>
          <w:color w:val="000000"/>
          <w:highlight w:val="yellow"/>
        </w:rPr>
        <w:t xml:space="preserve">Mercato del giorno Prima), MI(Mercato </w:t>
      </w:r>
      <w:proofErr w:type="spellStart"/>
      <w:r w:rsidRPr="00B8046C">
        <w:rPr>
          <w:rFonts w:ascii="Times New Roman" w:eastAsia="Times New Roman" w:hAnsi="Times New Roman" w:cs="Times New Roman"/>
          <w:color w:val="000000"/>
          <w:highlight w:val="yellow"/>
        </w:rPr>
        <w:t>Infragiornaliero</w:t>
      </w:r>
      <w:proofErr w:type="spellEnd"/>
      <w:r w:rsidRPr="00B8046C">
        <w:rPr>
          <w:rFonts w:ascii="Times New Roman" w:eastAsia="Times New Roman" w:hAnsi="Times New Roman" w:cs="Times New Roman"/>
          <w:color w:val="000000"/>
          <w:highlight w:val="yellow"/>
        </w:rPr>
        <w:t>) e MSD(Mercato dei Servizi di Dispacciamento). L’MGP è il mercato principale</w:t>
      </w:r>
      <w:r>
        <w:rPr>
          <w:rFonts w:ascii="Times New Roman" w:eastAsia="Times New Roman" w:hAnsi="Times New Roman" w:cs="Times New Roman"/>
          <w:color w:val="000000"/>
        </w:rPr>
        <w:t>, infatti ospita la maggior parte delle transazioni di compravendita di energia elettrica. Invece, L’MI e L’MSD sono utili come strumenti di correzione attraverso i quali vengono effettuati degli scambi per mantenere bilanciato il sistema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w:t>
      </w:r>
      <w:r w:rsidRPr="00B8046C">
        <w:rPr>
          <w:rFonts w:ascii="Times New Roman" w:eastAsia="Times New Roman" w:hAnsi="Times New Roman" w:cs="Times New Roman"/>
          <w:color w:val="000000"/>
          <w:highlight w:val="yellow"/>
        </w:rPr>
        <w:t>Le caratteristiche del Mercato del Giorno Prima sono le seguenti</w:t>
      </w:r>
      <w:r>
        <w:rPr>
          <w:rFonts w:ascii="Times New Roman" w:eastAsia="Times New Roman" w:hAnsi="Times New Roman" w:cs="Times New Roman"/>
          <w:color w:val="000000"/>
        </w:rPr>
        <w:t>:</w:t>
      </w:r>
    </w:p>
    <w:p w14:paraId="29B57347" w14:textId="77777777" w:rsidR="00B21172" w:rsidRPr="00B8046C" w:rsidRDefault="00F851B9">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B8046C">
        <w:rPr>
          <w:rFonts w:ascii="Times New Roman" w:eastAsia="Times New Roman" w:hAnsi="Times New Roman" w:cs="Times New Roman"/>
          <w:color w:val="000000"/>
          <w:highlight w:val="yellow"/>
        </w:rPr>
        <w:t>La contrattazione di energia all’ingrosso avviene tramite una sessione d’asta che comincia 9 giorni prima rispetto allo scambio fisico dell’energia e si chiude un giorno prima di questo alle ore 9 del mattino</w:t>
      </w:r>
    </w:p>
    <w:p w14:paraId="31142158" w14:textId="77777777" w:rsidR="00B21172" w:rsidRPr="00B8046C" w:rsidRDefault="00F851B9">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B8046C">
        <w:rPr>
          <w:rFonts w:ascii="Times New Roman" w:eastAsia="Times New Roman" w:hAnsi="Times New Roman" w:cs="Times New Roman"/>
          <w:color w:val="000000"/>
          <w:highlight w:val="yellow"/>
        </w:rPr>
        <w:t>Vengono presentate offerte di acquisto e di vendita per punto di offerta come coppie quantità prezzo</w:t>
      </w:r>
    </w:p>
    <w:p w14:paraId="6C4FE96F" w14:textId="77777777" w:rsidR="00B21172" w:rsidRPr="00B8046C" w:rsidRDefault="00F851B9">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highlight w:val="yellow"/>
        </w:rPr>
      </w:pPr>
      <w:r w:rsidRPr="00B8046C">
        <w:rPr>
          <w:rFonts w:ascii="Times New Roman" w:eastAsia="Times New Roman" w:hAnsi="Times New Roman" w:cs="Times New Roman"/>
          <w:color w:val="000000"/>
          <w:highlight w:val="yellow"/>
        </w:rPr>
        <w:t>Si segue il sistema del prezzo marginale, ossia per tutte le offerte accettate il prezzo con cui si regola la transazione è il prezzo di equilibrio</w:t>
      </w:r>
    </w:p>
    <w:p w14:paraId="50BB3791"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B8046C">
        <w:rPr>
          <w:rFonts w:ascii="Times New Roman" w:eastAsia="Times New Roman" w:hAnsi="Times New Roman" w:cs="Times New Roman"/>
          <w:color w:val="000000"/>
          <w:highlight w:val="yellow"/>
        </w:rPr>
        <w:t>Tale prezzo viene calcolato dal GME</w:t>
      </w:r>
      <w:r>
        <w:rPr>
          <w:rFonts w:ascii="Times New Roman" w:eastAsia="Times New Roman" w:hAnsi="Times New Roman" w:cs="Times New Roman"/>
          <w:color w:val="000000"/>
        </w:rPr>
        <w:t xml:space="preserve">, il quale, dopo aver accettato le offerte di vendita e di domanda, le ordina per prezzo unitario non crescente e individua un ordine di priorità per le offerte in base all’orario di ricezione. Successivamente, </w:t>
      </w:r>
      <w:r w:rsidRPr="00B8046C">
        <w:rPr>
          <w:rFonts w:ascii="Times New Roman" w:eastAsia="Times New Roman" w:hAnsi="Times New Roman" w:cs="Times New Roman"/>
          <w:color w:val="000000"/>
          <w:highlight w:val="yellow"/>
        </w:rPr>
        <w:t>calcola rispettivamente la curva aggregata di offerta e di domanda. Infine, il GME provvede a determinare la quantità totale e il prezzo di scambio dell’energia contrattata attraverso l’intersezione tra le due curve.</w:t>
      </w:r>
      <w:r>
        <w:rPr>
          <w:rFonts w:ascii="Times New Roman" w:eastAsia="Times New Roman" w:hAnsi="Times New Roman" w:cs="Times New Roman"/>
          <w:color w:val="000000"/>
        </w:rPr>
        <w:t xml:space="preserve"> Tale prezzo di equilibrio prende il nome di </w:t>
      </w:r>
      <w:proofErr w:type="gramStart"/>
      <w:r>
        <w:rPr>
          <w:rFonts w:ascii="Times New Roman" w:eastAsia="Times New Roman" w:hAnsi="Times New Roman" w:cs="Times New Roman"/>
          <w:color w:val="000000"/>
        </w:rPr>
        <w:t>PUN(</w:t>
      </w:r>
      <w:proofErr w:type="gramEnd"/>
      <w:r>
        <w:rPr>
          <w:rFonts w:ascii="Times New Roman" w:eastAsia="Times New Roman" w:hAnsi="Times New Roman" w:cs="Times New Roman"/>
          <w:color w:val="000000"/>
        </w:rPr>
        <w:t>Prezzo Unico Nazionale).</w:t>
      </w:r>
    </w:p>
    <w:p w14:paraId="394F9369" w14:textId="77777777" w:rsidR="00B21172" w:rsidRDefault="00F851B9" w:rsidP="004A634D">
      <w:pPr>
        <w:keepNext/>
        <w:pBdr>
          <w:top w:val="nil"/>
          <w:left w:val="nil"/>
          <w:bottom w:val="nil"/>
          <w:right w:val="nil"/>
          <w:between w:val="nil"/>
        </w:pBdr>
        <w:spacing w:line="240" w:lineRule="auto"/>
        <w:jc w:val="center"/>
      </w:pPr>
      <w:r>
        <w:rPr>
          <w:rFonts w:ascii="Times New Roman" w:eastAsia="Times New Roman" w:hAnsi="Times New Roman" w:cs="Times New Roman"/>
          <w:noProof/>
          <w:color w:val="000000"/>
        </w:rPr>
        <w:drawing>
          <wp:inline distT="0" distB="0" distL="0" distR="0" wp14:anchorId="4951CEDF" wp14:editId="627A2F01">
            <wp:extent cx="3683000" cy="2254250"/>
            <wp:effectExtent l="0" t="0" r="0" b="0"/>
            <wp:docPr id="9"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11"/>
                    <a:srcRect/>
                    <a:stretch>
                      <a:fillRect/>
                    </a:stretch>
                  </pic:blipFill>
                  <pic:spPr>
                    <a:xfrm>
                      <a:off x="0" y="0"/>
                      <a:ext cx="3683000" cy="2254250"/>
                    </a:xfrm>
                    <a:prstGeom prst="rect">
                      <a:avLst/>
                    </a:prstGeom>
                    <a:ln/>
                  </pic:spPr>
                </pic:pic>
              </a:graphicData>
            </a:graphic>
          </wp:inline>
        </w:drawing>
      </w:r>
    </w:p>
    <w:p w14:paraId="3CD705E7" w14:textId="77777777" w:rsidR="00B21172" w:rsidRDefault="00F851B9" w:rsidP="004A634D">
      <w:pPr>
        <w:pBdr>
          <w:top w:val="nil"/>
          <w:left w:val="nil"/>
          <w:bottom w:val="nil"/>
          <w:right w:val="nil"/>
          <w:between w:val="nil"/>
        </w:pBdr>
        <w:spacing w:after="200" w:line="240" w:lineRule="auto"/>
        <w:jc w:val="center"/>
        <w:rPr>
          <w:i/>
          <w:color w:val="44546A"/>
          <w:sz w:val="18"/>
          <w:szCs w:val="18"/>
        </w:rPr>
      </w:pPr>
      <w:r>
        <w:rPr>
          <w:i/>
          <w:color w:val="44546A"/>
          <w:sz w:val="18"/>
          <w:szCs w:val="18"/>
        </w:rPr>
        <w:t>Figura 1: Curve aggregata di offerta e domanda, l'intersezione individua il PUN</w:t>
      </w:r>
    </w:p>
    <w:p w14:paraId="5876ECC5" w14:textId="77777777" w:rsidR="004A634D" w:rsidRDefault="004A634D">
      <w:pPr>
        <w:jc w:val="both"/>
        <w:rPr>
          <w:rFonts w:ascii="Times New Roman" w:eastAsia="Times New Roman" w:hAnsi="Times New Roman" w:cs="Times New Roman"/>
          <w:color w:val="212529"/>
          <w:highlight w:val="white"/>
          <w:u w:val="single"/>
        </w:rPr>
      </w:pPr>
    </w:p>
    <w:p w14:paraId="200A31D5" w14:textId="2890DCE4" w:rsidR="00B21172" w:rsidRPr="004A634D" w:rsidRDefault="00F851B9">
      <w:pPr>
        <w:jc w:val="both"/>
        <w:rPr>
          <w:rFonts w:ascii="Times New Roman" w:eastAsia="Times New Roman" w:hAnsi="Times New Roman" w:cs="Times New Roman"/>
          <w:b/>
          <w:bCs/>
          <w:color w:val="212529"/>
          <w:sz w:val="28"/>
          <w:szCs w:val="28"/>
          <w:highlight w:val="white"/>
          <w:u w:val="single"/>
        </w:rPr>
      </w:pPr>
      <w:r w:rsidRPr="004A634D">
        <w:rPr>
          <w:rFonts w:ascii="Times New Roman" w:eastAsia="Times New Roman" w:hAnsi="Times New Roman" w:cs="Times New Roman"/>
          <w:b/>
          <w:bCs/>
          <w:color w:val="212529"/>
          <w:sz w:val="28"/>
          <w:szCs w:val="28"/>
          <w:highlight w:val="white"/>
          <w:u w:val="single"/>
        </w:rPr>
        <w:lastRenderedPageBreak/>
        <w:t>IL SERVIZIO</w:t>
      </w:r>
    </w:p>
    <w:p w14:paraId="01A18D23" w14:textId="77777777" w:rsidR="00DB1537" w:rsidRDefault="00F851B9">
      <w:pPr>
        <w:jc w:val="both"/>
        <w:rPr>
          <w:rFonts w:ascii="Times New Roman" w:eastAsia="Times New Roman" w:hAnsi="Times New Roman" w:cs="Times New Roman"/>
        </w:rPr>
      </w:pPr>
      <w:r w:rsidRPr="00B8046C">
        <w:rPr>
          <w:rFonts w:ascii="Times New Roman" w:eastAsia="Times New Roman" w:hAnsi="Times New Roman" w:cs="Times New Roman"/>
          <w:color w:val="212529"/>
          <w:highlight w:val="yellow"/>
        </w:rPr>
        <w:t>Il servizio che si intende sviluppare consente di</w:t>
      </w:r>
      <w:r w:rsidR="00DB1537" w:rsidRPr="00B8046C">
        <w:rPr>
          <w:rFonts w:ascii="Times New Roman" w:eastAsia="Times New Roman" w:hAnsi="Times New Roman" w:cs="Times New Roman"/>
          <w:color w:val="212529"/>
          <w:highlight w:val="yellow"/>
        </w:rPr>
        <w:t xml:space="preserve"> disporre di </w:t>
      </w:r>
      <w:r w:rsidRPr="00B8046C">
        <w:rPr>
          <w:rFonts w:ascii="Times New Roman" w:eastAsia="Times New Roman" w:hAnsi="Times New Roman" w:cs="Times New Roman"/>
          <w:color w:val="212529"/>
          <w:highlight w:val="yellow"/>
        </w:rPr>
        <w:t>analisi in tempo reale e previsioni sul valore futuro del PUN. Si intende creare un software, destinato agli operatori della borsa elettrica</w:t>
      </w:r>
      <w:r w:rsidRPr="00B8046C">
        <w:rPr>
          <w:rFonts w:ascii="Times New Roman" w:eastAsia="Times New Roman" w:hAnsi="Times New Roman" w:cs="Times New Roman"/>
          <w:highlight w:val="yellow"/>
          <w:vertAlign w:val="superscript"/>
        </w:rPr>
        <w:t>3</w:t>
      </w:r>
      <w:r w:rsidRPr="00B8046C">
        <w:rPr>
          <w:rFonts w:ascii="Times New Roman" w:eastAsia="Times New Roman" w:hAnsi="Times New Roman" w:cs="Times New Roman"/>
          <w:color w:val="212529"/>
          <w:highlight w:val="yellow"/>
        </w:rPr>
        <w:t xml:space="preserve">, che possa </w:t>
      </w:r>
      <w:r w:rsidRPr="00B8046C">
        <w:rPr>
          <w:rFonts w:ascii="Times New Roman" w:eastAsia="Times New Roman" w:hAnsi="Times New Roman" w:cs="Times New Roman"/>
          <w:highlight w:val="yellow"/>
        </w:rPr>
        <w:t xml:space="preserve">assistere o semplificare le loro azioni sul mercato in modo continuo e facilmente accessibile. Si è consapevoli del fatto che la proposta sia rivolta ad un gruppo limitato di utenti dato il carattere altamente </w:t>
      </w:r>
      <w:r w:rsidR="00DB1537" w:rsidRPr="00B8046C">
        <w:rPr>
          <w:rFonts w:ascii="Times New Roman" w:eastAsia="Times New Roman" w:hAnsi="Times New Roman" w:cs="Times New Roman"/>
          <w:highlight w:val="yellow"/>
        </w:rPr>
        <w:t>specifico</w:t>
      </w:r>
      <w:r w:rsidRPr="00B8046C">
        <w:rPr>
          <w:rFonts w:ascii="Times New Roman" w:eastAsia="Times New Roman" w:hAnsi="Times New Roman" w:cs="Times New Roman"/>
          <w:highlight w:val="yellow"/>
        </w:rPr>
        <w:t>.</w:t>
      </w:r>
    </w:p>
    <w:p w14:paraId="1DE65958" w14:textId="4B0B0A93" w:rsidR="00B21172" w:rsidRDefault="00F851B9">
      <w:pPr>
        <w:jc w:val="both"/>
        <w:rPr>
          <w:rFonts w:ascii="Times New Roman" w:eastAsia="Times New Roman" w:hAnsi="Times New Roman" w:cs="Times New Roman"/>
        </w:rPr>
      </w:pPr>
      <w:r>
        <w:rPr>
          <w:rFonts w:ascii="Times New Roman" w:eastAsia="Times New Roman" w:hAnsi="Times New Roman" w:cs="Times New Roman"/>
        </w:rPr>
        <w:t>I dati delle serie storiche del PUN sono open data forniti dal GME e vengono aggiornati giornalmente dunque la risorsa primaria su cui si basa la proposta è di carattere gratuito e facilmente accessibile</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28FE542B" w14:textId="77777777" w:rsidR="00B21172" w:rsidRDefault="00F851B9">
      <w:pPr>
        <w:jc w:val="both"/>
        <w:rPr>
          <w:rFonts w:ascii="Times New Roman" w:eastAsia="Times New Roman" w:hAnsi="Times New Roman" w:cs="Times New Roman"/>
        </w:rPr>
      </w:pPr>
      <w:r>
        <w:rPr>
          <w:rFonts w:ascii="Times New Roman" w:eastAsia="Times New Roman" w:hAnsi="Times New Roman" w:cs="Times New Roman"/>
        </w:rPr>
        <w:t>Come fase preliminare si è deciso di intervistare un esperto di settore. Durante il colloquio sono stati individuati due punti fondamentali:</w:t>
      </w:r>
    </w:p>
    <w:p w14:paraId="3FEFCF3C" w14:textId="77777777" w:rsidR="00B21172" w:rsidRPr="00B8046C" w:rsidRDefault="00F851B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highlight w:val="yellow"/>
        </w:rPr>
      </w:pPr>
      <w:r w:rsidRPr="00B8046C">
        <w:rPr>
          <w:rFonts w:ascii="Times New Roman" w:eastAsia="Times New Roman" w:hAnsi="Times New Roman" w:cs="Times New Roman"/>
          <w:color w:val="000000"/>
          <w:highlight w:val="yellow"/>
        </w:rPr>
        <w:t>Gli operatori della borsa elettrica si servono di esperti del settore i quali troverebbero una soluzione ausiliare, pratica e rapida nel servizio.</w:t>
      </w:r>
    </w:p>
    <w:p w14:paraId="6DEE13ED" w14:textId="77777777" w:rsidR="00B21172" w:rsidRPr="00B8046C" w:rsidRDefault="00B21172">
      <w:pPr>
        <w:pBdr>
          <w:top w:val="nil"/>
          <w:left w:val="nil"/>
          <w:bottom w:val="nil"/>
          <w:right w:val="nil"/>
          <w:between w:val="nil"/>
        </w:pBdr>
        <w:spacing w:after="0"/>
        <w:ind w:left="410"/>
        <w:jc w:val="both"/>
        <w:rPr>
          <w:rFonts w:ascii="Times New Roman" w:eastAsia="Times New Roman" w:hAnsi="Times New Roman" w:cs="Times New Roman"/>
          <w:color w:val="000000"/>
          <w:highlight w:val="yellow"/>
        </w:rPr>
      </w:pPr>
    </w:p>
    <w:p w14:paraId="7CD4A9D0" w14:textId="77777777" w:rsidR="00DB1537" w:rsidRPr="00B8046C" w:rsidRDefault="00F851B9" w:rsidP="00DB1537">
      <w:pPr>
        <w:numPr>
          <w:ilvl w:val="0"/>
          <w:numId w:val="7"/>
        </w:numPr>
        <w:pBdr>
          <w:top w:val="nil"/>
          <w:left w:val="nil"/>
          <w:bottom w:val="nil"/>
          <w:right w:val="nil"/>
          <w:between w:val="nil"/>
        </w:pBdr>
        <w:jc w:val="both"/>
        <w:rPr>
          <w:rFonts w:ascii="Times New Roman" w:eastAsia="Times New Roman" w:hAnsi="Times New Roman" w:cs="Times New Roman"/>
          <w:color w:val="000000"/>
          <w:highlight w:val="yellow"/>
        </w:rPr>
      </w:pPr>
      <w:r w:rsidRPr="00B8046C">
        <w:rPr>
          <w:rFonts w:ascii="Times New Roman" w:eastAsia="Times New Roman" w:hAnsi="Times New Roman" w:cs="Times New Roman"/>
          <w:color w:val="000000"/>
          <w:highlight w:val="yellow"/>
        </w:rPr>
        <w:t>Attua</w:t>
      </w:r>
      <w:r w:rsidR="00DB1537" w:rsidRPr="00B8046C">
        <w:rPr>
          <w:rFonts w:ascii="Times New Roman" w:eastAsia="Times New Roman" w:hAnsi="Times New Roman" w:cs="Times New Roman"/>
          <w:color w:val="000000"/>
          <w:highlight w:val="yellow"/>
        </w:rPr>
        <w:t>l</w:t>
      </w:r>
      <w:r w:rsidRPr="00B8046C">
        <w:rPr>
          <w:rFonts w:ascii="Times New Roman" w:eastAsia="Times New Roman" w:hAnsi="Times New Roman" w:cs="Times New Roman"/>
          <w:color w:val="000000"/>
          <w:highlight w:val="yellow"/>
        </w:rPr>
        <w:t xml:space="preserve">mente in Italia esistono società di consulenza in </w:t>
      </w:r>
      <w:r w:rsidR="00DB1537" w:rsidRPr="00B8046C">
        <w:rPr>
          <w:rFonts w:ascii="Times New Roman" w:eastAsia="Times New Roman" w:hAnsi="Times New Roman" w:cs="Times New Roman"/>
          <w:color w:val="000000"/>
          <w:highlight w:val="yellow"/>
        </w:rPr>
        <w:t xml:space="preserve">che operano in </w:t>
      </w:r>
      <w:r w:rsidRPr="00B8046C">
        <w:rPr>
          <w:rFonts w:ascii="Times New Roman" w:eastAsia="Times New Roman" w:hAnsi="Times New Roman" w:cs="Times New Roman"/>
          <w:color w:val="000000"/>
          <w:highlight w:val="yellow"/>
        </w:rPr>
        <w:t xml:space="preserve">questo settore. </w:t>
      </w:r>
    </w:p>
    <w:p w14:paraId="0FCB4C2B" w14:textId="77777777" w:rsidR="00DB1537" w:rsidRDefault="00DB1537" w:rsidP="00DB1537">
      <w:pPr>
        <w:pBdr>
          <w:top w:val="nil"/>
          <w:left w:val="nil"/>
          <w:bottom w:val="nil"/>
          <w:right w:val="nil"/>
          <w:between w:val="nil"/>
        </w:pBdr>
        <w:jc w:val="both"/>
        <w:rPr>
          <w:rFonts w:ascii="Times New Roman" w:eastAsia="Times New Roman" w:hAnsi="Times New Roman" w:cs="Times New Roman"/>
          <w:b/>
          <w:bCs/>
          <w:sz w:val="28"/>
          <w:szCs w:val="28"/>
          <w:u w:val="single"/>
        </w:rPr>
      </w:pPr>
    </w:p>
    <w:p w14:paraId="49621891" w14:textId="4191C1F9" w:rsidR="004A634D" w:rsidRPr="00DB1537" w:rsidRDefault="004A634D" w:rsidP="00DB1537">
      <w:pPr>
        <w:pBdr>
          <w:top w:val="nil"/>
          <w:left w:val="nil"/>
          <w:bottom w:val="nil"/>
          <w:right w:val="nil"/>
          <w:between w:val="nil"/>
        </w:pBdr>
        <w:jc w:val="both"/>
        <w:rPr>
          <w:rFonts w:ascii="Times New Roman" w:eastAsia="Times New Roman" w:hAnsi="Times New Roman" w:cs="Times New Roman"/>
          <w:color w:val="000000"/>
        </w:rPr>
      </w:pPr>
      <w:r w:rsidRPr="00DB1537">
        <w:rPr>
          <w:rFonts w:ascii="Times New Roman" w:eastAsia="Times New Roman" w:hAnsi="Times New Roman" w:cs="Times New Roman"/>
          <w:b/>
          <w:bCs/>
          <w:sz w:val="28"/>
          <w:szCs w:val="28"/>
          <w:u w:val="single"/>
        </w:rPr>
        <w:t>BUSINESS MODEL CANVAS</w:t>
      </w:r>
    </w:p>
    <w:p w14:paraId="4343F7B5" w14:textId="37F83DA8" w:rsidR="00B21172" w:rsidRDefault="00F851B9">
      <w:pPr>
        <w:jc w:val="both"/>
        <w:rPr>
          <w:rFonts w:ascii="Times New Roman" w:eastAsia="Times New Roman" w:hAnsi="Times New Roman" w:cs="Times New Roman"/>
        </w:rPr>
      </w:pPr>
      <w:r>
        <w:rPr>
          <w:rFonts w:ascii="Times New Roman" w:eastAsia="Times New Roman" w:hAnsi="Times New Roman" w:cs="Times New Roman"/>
        </w:rPr>
        <w:t>Il Business Model Canvas consente di rappresentare visivamente il modo in cui un’azienda crea, distribuisce e cattura valore per i propri clienti. Si focalizza su 9 aspetti principali</w:t>
      </w:r>
      <w:r>
        <w:rPr>
          <w:rFonts w:ascii="Times New Roman" w:eastAsia="Times New Roman" w:hAnsi="Times New Roman" w:cs="Times New Roman"/>
          <w:vertAlign w:val="superscript"/>
        </w:rPr>
        <w:t>5</w:t>
      </w:r>
      <w:r>
        <w:rPr>
          <w:rFonts w:ascii="Times New Roman" w:eastAsia="Times New Roman" w:hAnsi="Times New Roman" w:cs="Times New Roman"/>
        </w:rPr>
        <w:t>:</w:t>
      </w:r>
    </w:p>
    <w:p w14:paraId="2182AC5A" w14:textId="40295F72" w:rsidR="00B21172" w:rsidRDefault="00505626" w:rsidP="004A634D">
      <w:pPr>
        <w:keepNext/>
        <w:jc w:val="center"/>
      </w:pPr>
      <w:r w:rsidRPr="00505626">
        <w:rPr>
          <w:noProof/>
        </w:rPr>
        <w:drawing>
          <wp:inline distT="0" distB="0" distL="0" distR="0" wp14:anchorId="386D93C5" wp14:editId="644EDAB6">
            <wp:extent cx="5760720" cy="33413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41370"/>
                    </a:xfrm>
                    <a:prstGeom prst="rect">
                      <a:avLst/>
                    </a:prstGeom>
                  </pic:spPr>
                </pic:pic>
              </a:graphicData>
            </a:graphic>
          </wp:inline>
        </w:drawing>
      </w:r>
    </w:p>
    <w:p w14:paraId="2D1ACB1E" w14:textId="32816F67" w:rsidR="00B21172" w:rsidRPr="00B8046C" w:rsidRDefault="00F851B9" w:rsidP="004A634D">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lang w:val="en-US"/>
        </w:rPr>
      </w:pPr>
      <w:proofErr w:type="spellStart"/>
      <w:r w:rsidRPr="00B8046C">
        <w:rPr>
          <w:i/>
          <w:color w:val="44546A"/>
          <w:sz w:val="18"/>
          <w:szCs w:val="18"/>
          <w:lang w:val="en-US"/>
        </w:rPr>
        <w:t>Figura</w:t>
      </w:r>
      <w:proofErr w:type="spellEnd"/>
      <w:r w:rsidRPr="00B8046C">
        <w:rPr>
          <w:i/>
          <w:color w:val="44546A"/>
          <w:sz w:val="18"/>
          <w:szCs w:val="18"/>
          <w:lang w:val="en-US"/>
        </w:rPr>
        <w:t xml:space="preserve"> 2: Business</w:t>
      </w:r>
      <w:r w:rsidR="004A634D" w:rsidRPr="00B8046C">
        <w:rPr>
          <w:i/>
          <w:color w:val="44546A"/>
          <w:sz w:val="18"/>
          <w:szCs w:val="18"/>
          <w:lang w:val="en-US"/>
        </w:rPr>
        <w:t xml:space="preserve"> Model Canvas</w:t>
      </w:r>
    </w:p>
    <w:p w14:paraId="77EF103E" w14:textId="77777777" w:rsidR="00B21172" w:rsidRPr="00B8046C" w:rsidRDefault="00B21172">
      <w:pPr>
        <w:jc w:val="both"/>
        <w:rPr>
          <w:rFonts w:ascii="Times New Roman" w:eastAsia="Times New Roman" w:hAnsi="Times New Roman" w:cs="Times New Roman"/>
          <w:lang w:val="en-US"/>
        </w:rPr>
      </w:pPr>
    </w:p>
    <w:p w14:paraId="2ACCCF6E" w14:textId="77777777" w:rsidR="004A634D" w:rsidRPr="00B8046C" w:rsidRDefault="004A634D">
      <w:pPr>
        <w:jc w:val="both"/>
        <w:rPr>
          <w:rFonts w:ascii="Times New Roman" w:eastAsia="Times New Roman" w:hAnsi="Times New Roman" w:cs="Times New Roman"/>
          <w:lang w:val="en-US"/>
        </w:rPr>
      </w:pPr>
    </w:p>
    <w:p w14:paraId="1029F11D" w14:textId="77777777" w:rsidR="004A634D" w:rsidRPr="00B8046C" w:rsidRDefault="004A634D">
      <w:pPr>
        <w:jc w:val="both"/>
        <w:rPr>
          <w:rFonts w:ascii="Times New Roman" w:eastAsia="Times New Roman" w:hAnsi="Times New Roman" w:cs="Times New Roman"/>
          <w:lang w:val="en-US"/>
        </w:rPr>
      </w:pPr>
    </w:p>
    <w:p w14:paraId="1E5C2742" w14:textId="77777777" w:rsidR="0082627A" w:rsidRPr="00B8046C" w:rsidRDefault="0082627A">
      <w:pPr>
        <w:jc w:val="both"/>
        <w:rPr>
          <w:rFonts w:ascii="Times New Roman" w:eastAsia="Times New Roman" w:hAnsi="Times New Roman" w:cs="Times New Roman"/>
          <w:b/>
          <w:bCs/>
          <w:u w:val="single"/>
          <w:lang w:val="en-US"/>
        </w:rPr>
      </w:pPr>
    </w:p>
    <w:p w14:paraId="294F0C44" w14:textId="0161C200" w:rsidR="00B21172" w:rsidRPr="00B8046C" w:rsidRDefault="00F851B9">
      <w:pPr>
        <w:jc w:val="both"/>
        <w:rPr>
          <w:rFonts w:ascii="Times New Roman" w:eastAsia="Times New Roman" w:hAnsi="Times New Roman" w:cs="Times New Roman"/>
          <w:b/>
          <w:bCs/>
          <w:u w:val="single"/>
          <w:lang w:val="en-US"/>
        </w:rPr>
      </w:pPr>
      <w:r w:rsidRPr="00B8046C">
        <w:rPr>
          <w:rFonts w:ascii="Times New Roman" w:eastAsia="Times New Roman" w:hAnsi="Times New Roman" w:cs="Times New Roman"/>
          <w:b/>
          <w:bCs/>
          <w:u w:val="single"/>
          <w:lang w:val="en-US"/>
        </w:rPr>
        <w:lastRenderedPageBreak/>
        <w:t>Value proposal</w:t>
      </w:r>
    </w:p>
    <w:p w14:paraId="58965C5A" w14:textId="77777777" w:rsidR="00B21172" w:rsidRDefault="00F851B9">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Il servizio è offerto tramite Software. Si propone di analizzare i valori del PUN per fornire previsioni di mercato. Il prodotto permette di muoversi all’interno della borsa minimizzando i costi di acquisto dell’energia elettrica. </w:t>
      </w:r>
    </w:p>
    <w:p w14:paraId="10EC6DE2" w14:textId="1D1E92BD" w:rsidR="00B21172" w:rsidRDefault="00F851B9">
      <w:pPr>
        <w:spacing w:line="240" w:lineRule="auto"/>
        <w:jc w:val="both"/>
        <w:rPr>
          <w:rFonts w:ascii="Times New Roman" w:eastAsia="Times New Roman" w:hAnsi="Times New Roman" w:cs="Times New Roman"/>
        </w:rPr>
      </w:pPr>
      <w:r>
        <w:rPr>
          <w:rFonts w:ascii="Times New Roman" w:eastAsia="Times New Roman" w:hAnsi="Times New Roman" w:cs="Times New Roman"/>
        </w:rPr>
        <w:t>L’idea è di fornire previsioni 9 passi avanti, considerando che le aste su questo mercato cominciano 9 giorni prima rispetto al giorno della vendita. Inoltre, si desidera fornire ai clienti un servizio di reportistica periodica personalizzata a seconda delle esigenze aziendali.  Questo strumento è quindi di carattere puramente informativo. Il valore aggiunto che offre è, dunque, quello della conoscenza. Questo aspetto lo rende di fatto knowle</w:t>
      </w:r>
      <w:r w:rsidR="00DB1537">
        <w:rPr>
          <w:rFonts w:ascii="Times New Roman" w:eastAsia="Times New Roman" w:hAnsi="Times New Roman" w:cs="Times New Roman"/>
        </w:rPr>
        <w:t>dg</w:t>
      </w:r>
      <w:r>
        <w:rPr>
          <w:rFonts w:ascii="Times New Roman" w:eastAsia="Times New Roman" w:hAnsi="Times New Roman" w:cs="Times New Roman"/>
        </w:rPr>
        <w:t xml:space="preserve">e intensive, ovvero un servizio ad alto contenuto di conoscenza. Tale </w:t>
      </w:r>
      <w:proofErr w:type="spellStart"/>
      <w:r>
        <w:rPr>
          <w:rFonts w:ascii="Times New Roman" w:eastAsia="Times New Roman" w:hAnsi="Times New Roman" w:cs="Times New Roman"/>
        </w:rPr>
        <w:t>informatività</w:t>
      </w:r>
      <w:proofErr w:type="spellEnd"/>
      <w:r>
        <w:rPr>
          <w:rFonts w:ascii="Times New Roman" w:eastAsia="Times New Roman" w:hAnsi="Times New Roman" w:cs="Times New Roman"/>
        </w:rPr>
        <w:t xml:space="preserve"> potrebbe risultare fondamentale per gli operatori della borsa elettrica per accompagnarli durante le loro azioni quotidiane.</w:t>
      </w:r>
    </w:p>
    <w:p w14:paraId="5770AA9B" w14:textId="77777777" w:rsidR="00DB1537" w:rsidRDefault="00DB1537">
      <w:pPr>
        <w:jc w:val="both"/>
        <w:rPr>
          <w:rFonts w:ascii="Times New Roman" w:eastAsia="Times New Roman" w:hAnsi="Times New Roman" w:cs="Times New Roman"/>
        </w:rPr>
      </w:pPr>
    </w:p>
    <w:p w14:paraId="0FCD8900" w14:textId="766D3AAB"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 xml:space="preserve">Customer </w:t>
      </w:r>
      <w:proofErr w:type="spellStart"/>
      <w:r w:rsidRPr="004A634D">
        <w:rPr>
          <w:rFonts w:ascii="Times New Roman" w:eastAsia="Times New Roman" w:hAnsi="Times New Roman" w:cs="Times New Roman"/>
          <w:b/>
          <w:bCs/>
          <w:u w:val="single"/>
        </w:rPr>
        <w:t>segment</w:t>
      </w:r>
      <w:proofErr w:type="spellEnd"/>
    </w:p>
    <w:p w14:paraId="5B0D6C69" w14:textId="531571A8" w:rsidR="00B21172" w:rsidRDefault="00F851B9">
      <w:pPr>
        <w:jc w:val="both"/>
        <w:rPr>
          <w:rFonts w:ascii="Times New Roman" w:eastAsia="Times New Roman" w:hAnsi="Times New Roman" w:cs="Times New Roman"/>
        </w:rPr>
      </w:pPr>
      <w:r>
        <w:rPr>
          <w:rFonts w:ascii="Times New Roman" w:eastAsia="Times New Roman" w:hAnsi="Times New Roman" w:cs="Times New Roman"/>
        </w:rPr>
        <w:t>La proposta è rivolta ad un ristretto gruppo di utenti.</w:t>
      </w:r>
      <w:r w:rsidR="00DB1537">
        <w:rPr>
          <w:rFonts w:ascii="Times New Roman" w:eastAsia="Times New Roman" w:hAnsi="Times New Roman" w:cs="Times New Roman"/>
        </w:rPr>
        <w:t xml:space="preserve"> </w:t>
      </w:r>
      <w:r>
        <w:rPr>
          <w:rFonts w:ascii="Times New Roman" w:eastAsia="Times New Roman" w:hAnsi="Times New Roman" w:cs="Times New Roman"/>
        </w:rPr>
        <w:t>In particolare, gli operatori della borsa sono costituiti da esperti del settore che operano per aziende come A2A energie future SPA, Edison SPA, Sorgenia SPA o eventualmente per gruppi di acquisto o consorzi.</w:t>
      </w:r>
    </w:p>
    <w:p w14:paraId="453F3E1E" w14:textId="77777777" w:rsidR="004A634D" w:rsidRPr="004A634D" w:rsidRDefault="004A634D" w:rsidP="004A634D">
      <w:pPr>
        <w:rPr>
          <w:b/>
          <w:bCs/>
          <w:u w:val="single"/>
        </w:rPr>
      </w:pPr>
    </w:p>
    <w:p w14:paraId="30179E44" w14:textId="538C7A7F" w:rsidR="00B21172" w:rsidRPr="004A634D" w:rsidRDefault="00F851B9" w:rsidP="004A634D">
      <w:pPr>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 xml:space="preserve">Customer </w:t>
      </w:r>
      <w:proofErr w:type="spellStart"/>
      <w:r w:rsidRPr="004A634D">
        <w:rPr>
          <w:rFonts w:ascii="Times New Roman" w:eastAsia="Times New Roman" w:hAnsi="Times New Roman" w:cs="Times New Roman"/>
          <w:b/>
          <w:bCs/>
          <w:u w:val="single"/>
        </w:rPr>
        <w:t>Relationship</w:t>
      </w:r>
      <w:r w:rsidR="004A634D">
        <w:rPr>
          <w:rFonts w:ascii="Times New Roman" w:eastAsia="Times New Roman" w:hAnsi="Times New Roman" w:cs="Times New Roman"/>
          <w:b/>
          <w:bCs/>
          <w:u w:val="single"/>
        </w:rPr>
        <w:t>s</w:t>
      </w:r>
      <w:proofErr w:type="spellEnd"/>
    </w:p>
    <w:p w14:paraId="151F7557" w14:textId="6AF391E7" w:rsidR="00B21172" w:rsidRDefault="00F851B9">
      <w:pPr>
        <w:jc w:val="both"/>
        <w:rPr>
          <w:rFonts w:ascii="Times New Roman" w:eastAsia="Times New Roman" w:hAnsi="Times New Roman" w:cs="Times New Roman"/>
        </w:rPr>
      </w:pPr>
      <w:r>
        <w:rPr>
          <w:rFonts w:ascii="Times New Roman" w:eastAsia="Times New Roman" w:hAnsi="Times New Roman" w:cs="Times New Roman"/>
        </w:rPr>
        <w:t>La relazione che si intende stabilire con i clienti è di carattere bivalente: consulenza e assistenza personalizzata. Il rapporto con il cliente è costruito e mantenuto tramite una relazione indiretta, nello specifico il software gli consente di avere a disposizione tutti gli strumenti per fare da sé. Inoltre, si offre l’opportunità di ricevere supporto nel momento in cui si richiede aiuto. Ad esempio, nel caso di evenienze straordinarie che influenzano il mercato, un operatore potrà rivolgersi a un addetto per ottenere previsioni più accurate. Tale aspetto è utile per costruire un valore relazionale in modo tale da favorire la fidelizzazione del consumatore.</w:t>
      </w:r>
    </w:p>
    <w:p w14:paraId="72E54DE3" w14:textId="77777777" w:rsidR="00B21172" w:rsidRDefault="00B21172">
      <w:pPr>
        <w:jc w:val="both"/>
        <w:rPr>
          <w:rFonts w:ascii="Times New Roman" w:eastAsia="Times New Roman" w:hAnsi="Times New Roman" w:cs="Times New Roman"/>
        </w:rPr>
      </w:pPr>
    </w:p>
    <w:p w14:paraId="61EA0203" w14:textId="77777777"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 xml:space="preserve">Key </w:t>
      </w:r>
      <w:proofErr w:type="spellStart"/>
      <w:r w:rsidRPr="004A634D">
        <w:rPr>
          <w:rFonts w:ascii="Times New Roman" w:eastAsia="Times New Roman" w:hAnsi="Times New Roman" w:cs="Times New Roman"/>
          <w:b/>
          <w:bCs/>
          <w:u w:val="single"/>
        </w:rPr>
        <w:t>resources</w:t>
      </w:r>
      <w:proofErr w:type="spellEnd"/>
    </w:p>
    <w:p w14:paraId="695C135D" w14:textId="29A1F299" w:rsidR="00B21172" w:rsidRDefault="00F851B9">
      <w:pPr>
        <w:jc w:val="both"/>
        <w:rPr>
          <w:rFonts w:ascii="Times New Roman" w:eastAsia="Times New Roman" w:hAnsi="Times New Roman" w:cs="Times New Roman"/>
        </w:rPr>
      </w:pPr>
      <w:r>
        <w:rPr>
          <w:rFonts w:ascii="Times New Roman" w:eastAsia="Times New Roman" w:hAnsi="Times New Roman" w:cs="Times New Roman"/>
        </w:rPr>
        <w:t>La risorsa primaria del progetto sono gli open data riguardanti le serie storiche orarie del PUN, forniti dal GME. In aggiunta, dato il carattere altamente tecnico dell’offerta si intende valutare ogni aspetto che influenza il valore del PUN e non solo il dato storico.</w:t>
      </w:r>
      <w:r w:rsidR="00DB1537">
        <w:rPr>
          <w:rFonts w:ascii="Times New Roman" w:eastAsia="Times New Roman" w:hAnsi="Times New Roman" w:cs="Times New Roman"/>
        </w:rPr>
        <w:t xml:space="preserve"> </w:t>
      </w:r>
      <w:r>
        <w:rPr>
          <w:rFonts w:ascii="Times New Roman" w:eastAsia="Times New Roman" w:hAnsi="Times New Roman" w:cs="Times New Roman"/>
        </w:rPr>
        <w:t>In particolare, si intende includere nell’analisi informazioni su aspetti come i costi di produzione dell’energia, le condizioni meteo, la condizione economica del paese, condizioni interne della rete elettrica e le normative vigenti.</w:t>
      </w:r>
      <w:r w:rsidR="004A634D">
        <w:rPr>
          <w:rFonts w:ascii="Times New Roman" w:eastAsia="Times New Roman" w:hAnsi="Times New Roman" w:cs="Times New Roman"/>
        </w:rPr>
        <w:t xml:space="preserve"> </w:t>
      </w:r>
      <w:r>
        <w:rPr>
          <w:rFonts w:ascii="Times New Roman" w:eastAsia="Times New Roman" w:hAnsi="Times New Roman" w:cs="Times New Roman"/>
        </w:rPr>
        <w:t>Inoltre</w:t>
      </w:r>
      <w:r w:rsidR="004A634D">
        <w:rPr>
          <w:rFonts w:ascii="Times New Roman" w:eastAsia="Times New Roman" w:hAnsi="Times New Roman" w:cs="Times New Roman"/>
        </w:rPr>
        <w:t>,</w:t>
      </w:r>
      <w:r>
        <w:rPr>
          <w:rFonts w:ascii="Times New Roman" w:eastAsia="Times New Roman" w:hAnsi="Times New Roman" w:cs="Times New Roman"/>
        </w:rPr>
        <w:t xml:space="preserve"> per la consulenza personalizzata sarà necessario il possesso di dati storici aziendali e l’impiego di esperti del settore.</w:t>
      </w:r>
    </w:p>
    <w:p w14:paraId="0C5FD4AB" w14:textId="77777777" w:rsidR="00B21172" w:rsidRDefault="00B21172">
      <w:pPr>
        <w:jc w:val="both"/>
        <w:rPr>
          <w:rFonts w:ascii="Times New Roman" w:eastAsia="Times New Roman" w:hAnsi="Times New Roman" w:cs="Times New Roman"/>
        </w:rPr>
      </w:pPr>
    </w:p>
    <w:p w14:paraId="536E5D97" w14:textId="0E5B3D04"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Key Partner</w:t>
      </w:r>
    </w:p>
    <w:p w14:paraId="4C094FE8" w14:textId="77777777" w:rsidR="00B21172" w:rsidRDefault="00F851B9">
      <w:pPr>
        <w:jc w:val="both"/>
        <w:rPr>
          <w:rFonts w:ascii="Times New Roman" w:eastAsia="Times New Roman" w:hAnsi="Times New Roman" w:cs="Times New Roman"/>
        </w:rPr>
      </w:pPr>
      <w:r>
        <w:rPr>
          <w:rFonts w:ascii="Times New Roman" w:eastAsia="Times New Roman" w:hAnsi="Times New Roman" w:cs="Times New Roman"/>
        </w:rPr>
        <w:t>Si intende sviluppare con il GME una partnership di tipo Joint Venture</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per ricevere informazioni aggiuntive e trasparenti di carattere generale sul mercato elettrico. Inoltre, questo rapporto di collaborazione sarebbe utile per la diffusione del </w:t>
      </w:r>
      <w:proofErr w:type="gramStart"/>
      <w:r>
        <w:rPr>
          <w:rFonts w:ascii="Times New Roman" w:eastAsia="Times New Roman" w:hAnsi="Times New Roman" w:cs="Times New Roman"/>
        </w:rPr>
        <w:t>brand</w:t>
      </w:r>
      <w:proofErr w:type="gramEnd"/>
      <w:r>
        <w:rPr>
          <w:rFonts w:ascii="Times New Roman" w:eastAsia="Times New Roman" w:hAnsi="Times New Roman" w:cs="Times New Roman"/>
        </w:rPr>
        <w:t xml:space="preserve"> in maniera più capillare tra le imprese.</w:t>
      </w:r>
    </w:p>
    <w:p w14:paraId="1C4B6042" w14:textId="77777777" w:rsidR="00B21172" w:rsidRDefault="00B21172">
      <w:pPr>
        <w:jc w:val="both"/>
        <w:rPr>
          <w:rFonts w:ascii="Times New Roman" w:eastAsia="Times New Roman" w:hAnsi="Times New Roman" w:cs="Times New Roman"/>
        </w:rPr>
      </w:pPr>
    </w:p>
    <w:p w14:paraId="050E67B5" w14:textId="77777777" w:rsidR="004A634D" w:rsidRDefault="004A634D">
      <w:pPr>
        <w:jc w:val="both"/>
        <w:rPr>
          <w:rFonts w:ascii="Times New Roman" w:eastAsia="Times New Roman" w:hAnsi="Times New Roman" w:cs="Times New Roman"/>
        </w:rPr>
      </w:pPr>
    </w:p>
    <w:p w14:paraId="70319546" w14:textId="77777777" w:rsidR="004A634D" w:rsidRDefault="004A634D">
      <w:pPr>
        <w:jc w:val="both"/>
        <w:rPr>
          <w:rFonts w:ascii="Times New Roman" w:eastAsia="Times New Roman" w:hAnsi="Times New Roman" w:cs="Times New Roman"/>
          <w:b/>
          <w:bCs/>
          <w:u w:val="single"/>
        </w:rPr>
      </w:pPr>
    </w:p>
    <w:p w14:paraId="12B889D0" w14:textId="55BA8949"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lastRenderedPageBreak/>
        <w:t>Key activities</w:t>
      </w:r>
    </w:p>
    <w:p w14:paraId="25CA522B" w14:textId="44E4B2D8" w:rsidR="00B21172" w:rsidRDefault="00F851B9">
      <w:pPr>
        <w:jc w:val="both"/>
        <w:rPr>
          <w:rFonts w:ascii="Times New Roman" w:eastAsia="Times New Roman" w:hAnsi="Times New Roman" w:cs="Times New Roman"/>
        </w:rPr>
      </w:pPr>
      <w:r>
        <w:rPr>
          <w:rFonts w:ascii="Times New Roman" w:eastAsia="Times New Roman" w:hAnsi="Times New Roman" w:cs="Times New Roman"/>
        </w:rPr>
        <w:t>Il target principale della proposta è quello di creare un Software intuitivo per ottenere informazioni sul PUN. Tra le attività chiave rientra lo sviluppo dell’infrastruttura software di questo strumento</w:t>
      </w:r>
      <w:r w:rsidR="00DB1537">
        <w:rPr>
          <w:rFonts w:ascii="Times New Roman" w:eastAsia="Times New Roman" w:hAnsi="Times New Roman" w:cs="Times New Roman"/>
        </w:rPr>
        <w:t xml:space="preserve"> </w:t>
      </w:r>
      <w:r>
        <w:rPr>
          <w:rFonts w:ascii="Times New Roman" w:eastAsia="Times New Roman" w:hAnsi="Times New Roman" w:cs="Times New Roman"/>
        </w:rPr>
        <w:t xml:space="preserve">(interfaccia grafica, interattività, </w:t>
      </w:r>
      <w:proofErr w:type="gramStart"/>
      <w:r>
        <w:rPr>
          <w:rFonts w:ascii="Times New Roman" w:eastAsia="Times New Roman" w:hAnsi="Times New Roman" w:cs="Times New Roman"/>
        </w:rPr>
        <w:t>etc...</w:t>
      </w:r>
      <w:proofErr w:type="gramEnd"/>
      <w:r>
        <w:rPr>
          <w:rFonts w:ascii="Times New Roman" w:eastAsia="Times New Roman" w:hAnsi="Times New Roman" w:cs="Times New Roman"/>
        </w:rPr>
        <w:t xml:space="preserve">). Nello specifico, questa attività sarà affidata a degli esperti in campo di programmazione. Il Software in questione, inoltre, comprende l’implementazione di algoritmi specifici per le previsioni del PUN. I dati storici relativi ai mercati elettrici sono comunemente analizzati sfruttando modelli di tipo ARIMA con sinusoidi o modelli di Machine Learning come reti neurali. Il vantaggio di questi modelli statistici è la possibilità di aggiungere variabili esterne (ad esempio usando dei </w:t>
      </w:r>
      <w:proofErr w:type="spellStart"/>
      <w:r>
        <w:rPr>
          <w:rFonts w:ascii="Times New Roman" w:eastAsia="Times New Roman" w:hAnsi="Times New Roman" w:cs="Times New Roman"/>
        </w:rPr>
        <w:t>regressori</w:t>
      </w:r>
      <w:proofErr w:type="spellEnd"/>
      <w:r>
        <w:rPr>
          <w:rFonts w:ascii="Times New Roman" w:eastAsia="Times New Roman" w:hAnsi="Times New Roman" w:cs="Times New Roman"/>
        </w:rPr>
        <w:t xml:space="preserve"> aggiuntivi). Per l’appunto, il progetto prevede di sfruttare alcuni </w:t>
      </w:r>
      <w:proofErr w:type="spellStart"/>
      <w:r>
        <w:rPr>
          <w:rFonts w:ascii="Times New Roman" w:eastAsia="Times New Roman" w:hAnsi="Times New Roman" w:cs="Times New Roman"/>
        </w:rPr>
        <w:t>predittori</w:t>
      </w:r>
      <w:proofErr w:type="spellEnd"/>
      <w:r>
        <w:rPr>
          <w:rFonts w:ascii="Times New Roman" w:eastAsia="Times New Roman" w:hAnsi="Times New Roman" w:cs="Times New Roman"/>
        </w:rPr>
        <w:t xml:space="preserve"> aggiuntivi (i costi di produzione dell’energia, le condizioni meteo, la condizione economica del paese) per ottenere stime affidabili sul valore futuro del PUN. In aggiunta, si intende inserire un’interfaccia, raggiungibile dalla pagina iniziale, in cui vengono pubblicate tutte le novità riguardo al mercato dell’energia elettrica, ad esempio le nuove normative rilasciate. </w:t>
      </w:r>
    </w:p>
    <w:p w14:paraId="5CE13CD9" w14:textId="77777777" w:rsidR="004A634D" w:rsidRDefault="00F851B9">
      <w:pPr>
        <w:jc w:val="both"/>
      </w:pPr>
      <w:r>
        <w:rPr>
          <w:rFonts w:ascii="Times New Roman" w:eastAsia="Times New Roman" w:hAnsi="Times New Roman" w:cs="Times New Roman"/>
        </w:rPr>
        <w:t>L’attività secondaria, invece, prevede la creazione di dashboard informative personalizzate e riguardanti il passato dell’azienda. Il lavoro di reportistica conferisce all’idea proposta un carattere di customizzazione che altrimenti non avrebbe. Infine, si è deciso di includere altre attività che consistono nella creazione di una banca dati contenente le risposte alle domande più frequentemente poste dagli utenti (FAQ), gestione di un indirizzo e-mail a cui rivolgersi per ricevere assistenza o per la segnalazione di problemi e attività per fornire il servizio informativo anche su altri strumenti (ad esempio un'applicazione per smartphone).</w:t>
      </w:r>
    </w:p>
    <w:p w14:paraId="31F8EBCD" w14:textId="77777777" w:rsidR="004A634D" w:rsidRDefault="004A634D">
      <w:pPr>
        <w:jc w:val="both"/>
      </w:pPr>
    </w:p>
    <w:p w14:paraId="016B9DCF" w14:textId="47E832FD" w:rsidR="00B21172" w:rsidRPr="004A634D" w:rsidRDefault="00F851B9">
      <w:pPr>
        <w:jc w:val="both"/>
        <w:rPr>
          <w:rFonts w:ascii="Times New Roman" w:eastAsia="Times New Roman" w:hAnsi="Times New Roman" w:cs="Times New Roman"/>
          <w:b/>
          <w:bCs/>
          <w:u w:val="single"/>
        </w:rPr>
      </w:pPr>
      <w:proofErr w:type="spellStart"/>
      <w:r w:rsidRPr="004A634D">
        <w:rPr>
          <w:rFonts w:ascii="Times New Roman" w:eastAsia="Times New Roman" w:hAnsi="Times New Roman" w:cs="Times New Roman"/>
          <w:b/>
          <w:bCs/>
          <w:u w:val="single"/>
        </w:rPr>
        <w:t>Channels</w:t>
      </w:r>
      <w:proofErr w:type="spellEnd"/>
    </w:p>
    <w:p w14:paraId="1891C37A" w14:textId="77777777"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La diffusione del </w:t>
      </w:r>
      <w:proofErr w:type="gramStart"/>
      <w:r>
        <w:rPr>
          <w:rFonts w:ascii="Times New Roman" w:eastAsia="Times New Roman" w:hAnsi="Times New Roman" w:cs="Times New Roman"/>
        </w:rPr>
        <w:t>brand</w:t>
      </w:r>
      <w:proofErr w:type="gramEnd"/>
      <w:r>
        <w:rPr>
          <w:rFonts w:ascii="Times New Roman" w:eastAsia="Times New Roman" w:hAnsi="Times New Roman" w:cs="Times New Roman"/>
        </w:rPr>
        <w:t xml:space="preserve"> avverrà grazie alla partnership con il GME. Tale società, infatti, essendo a conoscenza degli operatori di borsa, può avere un contatto diretto con loro (potrebbe quindi contribuire mandando delle e-mail personalizzate). In aggiunta, si provvederà all’inserimento di annunci in applicazioni di settore e sarà possibile invitare un collega al trial del Software tramite invito predisposto via mail. Nello specifico, si è scelto di sfruttare questa tipologia di advertising, </w:t>
      </w:r>
      <w:proofErr w:type="spellStart"/>
      <w:r>
        <w:rPr>
          <w:rFonts w:ascii="Times New Roman" w:eastAsia="Times New Roman" w:hAnsi="Times New Roman" w:cs="Times New Roman"/>
        </w:rPr>
        <w:t>poichè</w:t>
      </w:r>
      <w:proofErr w:type="spellEnd"/>
      <w:r>
        <w:rPr>
          <w:rFonts w:ascii="Times New Roman" w:eastAsia="Times New Roman" w:hAnsi="Times New Roman" w:cs="Times New Roman"/>
        </w:rPr>
        <w:t xml:space="preserve"> essendo il target costituito da un numero molto ristretto di utenti, l’obiettivo è quello di attrarre il cliente attraverso la sponsorizzazione dell’alta qualità e specificità del prodotto e servizio. </w:t>
      </w:r>
    </w:p>
    <w:p w14:paraId="2B04D86B" w14:textId="77777777" w:rsidR="00B21172" w:rsidRDefault="00B21172">
      <w:pPr>
        <w:jc w:val="both"/>
        <w:rPr>
          <w:rFonts w:ascii="Times New Roman" w:eastAsia="Times New Roman" w:hAnsi="Times New Roman" w:cs="Times New Roman"/>
        </w:rPr>
      </w:pPr>
    </w:p>
    <w:p w14:paraId="73EF4F95" w14:textId="77777777"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Cost</w:t>
      </w:r>
    </w:p>
    <w:p w14:paraId="3ECCECFF" w14:textId="1623D1C2"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Bisogna considerare diversi costi nell’affrontare il processo di produzione di tale servizio. In particolare, si presume che si dovrà pagare una tassa legata alla partnership col GME e alla sua attività di sponsorizzazione. Un altro costo a cui bisogna far fronte è quello relativo ai dipendenti </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 esperti di settore che contribuiscono in vari ambiti, come la creazione del software, le relazioni coi clienti e la gestione degli aspetti legali. In</w:t>
      </w:r>
      <w:r w:rsidR="00127BA6">
        <w:rPr>
          <w:rFonts w:ascii="Times New Roman" w:eastAsia="Times New Roman" w:hAnsi="Times New Roman" w:cs="Times New Roman"/>
        </w:rPr>
        <w:t>fine</w:t>
      </w:r>
      <w:r>
        <w:rPr>
          <w:rFonts w:ascii="Times New Roman" w:eastAsia="Times New Roman" w:hAnsi="Times New Roman" w:cs="Times New Roman"/>
        </w:rPr>
        <w:t xml:space="preserve">, va tenuto conto dell’affitto della struttura o ufficio dove la società avrà sede e del costo della strumentazione digitale necessaria per allestirlo, oltre al costo dell’elettricità. </w:t>
      </w:r>
    </w:p>
    <w:p w14:paraId="56ACB70C" w14:textId="77777777" w:rsidR="00B21172" w:rsidRDefault="00B21172">
      <w:pPr>
        <w:rPr>
          <w:rFonts w:ascii="Times New Roman" w:eastAsia="Times New Roman" w:hAnsi="Times New Roman" w:cs="Times New Roman"/>
        </w:rPr>
      </w:pPr>
    </w:p>
    <w:p w14:paraId="3AF71AFB" w14:textId="77777777" w:rsidR="00B21172" w:rsidRPr="004A634D" w:rsidRDefault="00F851B9">
      <w:pPr>
        <w:jc w:val="both"/>
        <w:rPr>
          <w:rFonts w:ascii="Times New Roman" w:eastAsia="Times New Roman" w:hAnsi="Times New Roman" w:cs="Times New Roman"/>
          <w:b/>
          <w:bCs/>
          <w:u w:val="single"/>
        </w:rPr>
      </w:pPr>
      <w:r w:rsidRPr="004A634D">
        <w:rPr>
          <w:rFonts w:ascii="Times New Roman" w:eastAsia="Times New Roman" w:hAnsi="Times New Roman" w:cs="Times New Roman"/>
          <w:b/>
          <w:bCs/>
          <w:u w:val="single"/>
        </w:rPr>
        <w:t>Revenues</w:t>
      </w:r>
    </w:p>
    <w:p w14:paraId="34D2DDEF" w14:textId="77777777"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I guadagni provengono dall’abbonamento all’utilizzo del software con assistenza inclusa. Inoltre, si provvede ad inserire un costo aggiuntivo ad hoc in caso di richiesta di consulenza e reportistica personalizzata. </w:t>
      </w:r>
    </w:p>
    <w:p w14:paraId="1898EFFF" w14:textId="77777777" w:rsidR="00B21172" w:rsidRDefault="00F851B9">
      <w:pPr>
        <w:jc w:val="both"/>
        <w:rPr>
          <w:rFonts w:ascii="Times New Roman" w:eastAsia="Times New Roman" w:hAnsi="Times New Roman" w:cs="Times New Roman"/>
        </w:rPr>
      </w:pPr>
      <w:r>
        <w:br w:type="page"/>
      </w:r>
    </w:p>
    <w:p w14:paraId="3E3BB8C4" w14:textId="583B650C" w:rsidR="00B21172" w:rsidRPr="004A634D" w:rsidRDefault="00F851B9">
      <w:pPr>
        <w:jc w:val="both"/>
        <w:rPr>
          <w:rFonts w:ascii="Times New Roman" w:eastAsia="Times New Roman" w:hAnsi="Times New Roman" w:cs="Times New Roman"/>
          <w:b/>
          <w:bCs/>
          <w:sz w:val="28"/>
          <w:szCs w:val="28"/>
          <w:u w:val="single"/>
        </w:rPr>
      </w:pPr>
      <w:r w:rsidRPr="004A634D">
        <w:rPr>
          <w:rFonts w:ascii="Times New Roman" w:eastAsia="Times New Roman" w:hAnsi="Times New Roman" w:cs="Times New Roman"/>
          <w:b/>
          <w:bCs/>
          <w:sz w:val="28"/>
          <w:szCs w:val="28"/>
          <w:u w:val="single"/>
        </w:rPr>
        <w:lastRenderedPageBreak/>
        <w:t>MVP</w:t>
      </w:r>
    </w:p>
    <w:p w14:paraId="7B0973FB" w14:textId="2936516A"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Il Minimum </w:t>
      </w:r>
      <w:proofErr w:type="spellStart"/>
      <w:r>
        <w:rPr>
          <w:rFonts w:ascii="Times New Roman" w:eastAsia="Times New Roman" w:hAnsi="Times New Roman" w:cs="Times New Roman"/>
          <w:color w:val="000000"/>
        </w:rPr>
        <w:t>Viable</w:t>
      </w:r>
      <w:proofErr w:type="spellEnd"/>
      <w:r>
        <w:rPr>
          <w:rFonts w:ascii="Times New Roman" w:eastAsia="Times New Roman" w:hAnsi="Times New Roman" w:cs="Times New Roman"/>
          <w:color w:val="000000"/>
        </w:rPr>
        <w:t xml:space="preserve"> Product è un prodotto reale, un sito, applicazione o servizio che viene generato con le minori spese e le caratteristiche basiche sufficienti a testarlo subito con la potenziale clientela immettendolo sul mercato e ricavandone i feedback</w:t>
      </w:r>
      <w:r w:rsidR="005C2825" w:rsidRPr="005C2825">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w:t>
      </w:r>
    </w:p>
    <w:p w14:paraId="34B36968" w14:textId="4C8F4A09"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98202D">
        <w:rPr>
          <w:rFonts w:ascii="Times New Roman" w:eastAsia="Times New Roman" w:hAnsi="Times New Roman" w:cs="Times New Roman"/>
          <w:color w:val="000000"/>
          <w:highlight w:val="yellow"/>
        </w:rPr>
        <w:t>L’MVP che si intende proporre al pubblico è di tipo Landing Page.</w:t>
      </w:r>
      <w:r>
        <w:rPr>
          <w:rFonts w:ascii="Times New Roman" w:eastAsia="Times New Roman" w:hAnsi="Times New Roman" w:cs="Times New Roman"/>
          <w:color w:val="000000"/>
        </w:rPr>
        <w:t xml:space="preserve"> In particolare, esso consiste in una pagina web che permette di costruire un ciclo di misurazione e apprendimento veloce tramite varie funzioni. </w:t>
      </w:r>
      <w:r w:rsidRPr="0098202D">
        <w:rPr>
          <w:rFonts w:ascii="Times New Roman" w:eastAsia="Times New Roman" w:hAnsi="Times New Roman" w:cs="Times New Roman"/>
          <w:color w:val="000000"/>
          <w:highlight w:val="yellow"/>
        </w:rPr>
        <w:t>La scelta di questa specifica tipologia di MVP è maturata perché, immaginando un contesto start-up, esso permette di ottenere un giusto trade-off tra qualità e velocità. Per l’appunto, tale prodotto verrebbe rilasciato prima di costruire il software vero e proprio e grazie all’utilizzo di dati esclusivamente open. L’obiettivo principale, quindi, è quello di dare un’idea del valore informativo che potrebbe generare il prodotto ultimato, ricavando</w:t>
      </w:r>
      <w:r w:rsidR="00127BA6" w:rsidRPr="0098202D">
        <w:rPr>
          <w:rFonts w:ascii="Times New Roman" w:eastAsia="Times New Roman" w:hAnsi="Times New Roman" w:cs="Times New Roman"/>
          <w:color w:val="000000"/>
          <w:highlight w:val="yellow"/>
        </w:rPr>
        <w:t xml:space="preserve"> dei </w:t>
      </w:r>
      <w:r w:rsidRPr="0098202D">
        <w:rPr>
          <w:rFonts w:ascii="Times New Roman" w:eastAsia="Times New Roman" w:hAnsi="Times New Roman" w:cs="Times New Roman"/>
          <w:color w:val="000000"/>
          <w:highlight w:val="yellow"/>
        </w:rPr>
        <w:t>feedback</w:t>
      </w:r>
      <w:r>
        <w:rPr>
          <w:rFonts w:ascii="Times New Roman" w:eastAsia="Times New Roman" w:hAnsi="Times New Roman" w:cs="Times New Roman"/>
          <w:color w:val="000000"/>
        </w:rPr>
        <w:t>.</w:t>
      </w:r>
    </w:p>
    <w:p w14:paraId="61DF931F"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Le componenti della pagina sono:</w:t>
      </w:r>
    </w:p>
    <w:p w14:paraId="591BEC05" w14:textId="77777777" w:rsidR="00B21172" w:rsidRPr="0098202D" w:rsidRDefault="00F851B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Una breve descrizione del prodotto, delle sue funzionalità e del costo</w:t>
      </w:r>
    </w:p>
    <w:p w14:paraId="1F3A5AE7" w14:textId="77777777" w:rsidR="00B21172" w:rsidRPr="0098202D" w:rsidRDefault="00F851B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Un grafico interattivo per simulare il valore informativo dello strumento</w:t>
      </w:r>
      <w:r>
        <w:rPr>
          <w:rFonts w:ascii="Times New Roman" w:eastAsia="Times New Roman" w:hAnsi="Times New Roman" w:cs="Times New Roman"/>
          <w:color w:val="000000"/>
        </w:rPr>
        <w:t xml:space="preserve"> e per ottenere importanti informazioni riguardanti l’interesse dei visitatori. </w:t>
      </w:r>
      <w:r w:rsidRPr="0098202D">
        <w:rPr>
          <w:rFonts w:ascii="Times New Roman" w:eastAsia="Times New Roman" w:hAnsi="Times New Roman" w:cs="Times New Roman"/>
          <w:color w:val="000000"/>
          <w:highlight w:val="yellow"/>
        </w:rPr>
        <w:t>Il grafico sarà realizzato in questa fase soltanto con gli open data immediatamente disponibili, prima di concordare la partnership con il GME</w:t>
      </w:r>
    </w:p>
    <w:p w14:paraId="1CBE16A7" w14:textId="77777777" w:rsidR="00B21172" w:rsidRPr="0098202D" w:rsidRDefault="00F851B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Un collegamento alla pagina Linkedin della società</w:t>
      </w:r>
    </w:p>
    <w:p w14:paraId="4377CA20" w14:textId="54F4014C" w:rsidR="00B21172" w:rsidRPr="0098202D" w:rsidRDefault="00F851B9">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La possibilità di lasciare</w:t>
      </w:r>
      <w:r w:rsidR="00127BA6" w:rsidRPr="0098202D">
        <w:rPr>
          <w:rFonts w:ascii="Times New Roman" w:eastAsia="Times New Roman" w:hAnsi="Times New Roman" w:cs="Times New Roman"/>
          <w:color w:val="000000"/>
          <w:highlight w:val="yellow"/>
        </w:rPr>
        <w:t xml:space="preserve"> il contatto </w:t>
      </w:r>
      <w:r w:rsidRPr="0098202D">
        <w:rPr>
          <w:rFonts w:ascii="Times New Roman" w:eastAsia="Times New Roman" w:hAnsi="Times New Roman" w:cs="Times New Roman"/>
          <w:color w:val="000000"/>
          <w:highlight w:val="yellow"/>
        </w:rPr>
        <w:t>e</w:t>
      </w:r>
      <w:r w:rsidR="00C85589" w:rsidRPr="0098202D">
        <w:rPr>
          <w:rFonts w:ascii="Times New Roman" w:eastAsia="Times New Roman" w:hAnsi="Times New Roman" w:cs="Times New Roman"/>
          <w:color w:val="000000"/>
          <w:highlight w:val="yellow"/>
        </w:rPr>
        <w:t>-</w:t>
      </w:r>
      <w:r w:rsidRPr="0098202D">
        <w:rPr>
          <w:rFonts w:ascii="Times New Roman" w:eastAsia="Times New Roman" w:hAnsi="Times New Roman" w:cs="Times New Roman"/>
          <w:color w:val="000000"/>
          <w:highlight w:val="yellow"/>
        </w:rPr>
        <w:t>mail per essere avvisati nel momento dell'uscita del prodotto finale</w:t>
      </w:r>
    </w:p>
    <w:p w14:paraId="65921613" w14:textId="77777777" w:rsidR="00B21172" w:rsidRDefault="00F851B9">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Molteplici informazioni sull’interesse degli utenti saranno disponibili grazie a questo prodotto. Nello specifico, </w:t>
      </w:r>
      <w:r w:rsidRPr="0098202D">
        <w:rPr>
          <w:rFonts w:ascii="Times New Roman" w:eastAsia="Times New Roman" w:hAnsi="Times New Roman" w:cs="Times New Roman"/>
          <w:color w:val="000000"/>
          <w:highlight w:val="yellow"/>
        </w:rPr>
        <w:t>le analisi si potranno focalizzare su:</w:t>
      </w:r>
    </w:p>
    <w:p w14:paraId="3065B8AF" w14:textId="77777777" w:rsidR="00B21172" w:rsidRPr="0098202D" w:rsidRDefault="00F851B9">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Il numero di visite al sito</w:t>
      </w:r>
    </w:p>
    <w:p w14:paraId="496AECFD" w14:textId="77777777" w:rsidR="00B21172" w:rsidRDefault="00F851B9">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98202D">
        <w:rPr>
          <w:rFonts w:ascii="Times New Roman" w:eastAsia="Times New Roman" w:hAnsi="Times New Roman" w:cs="Times New Roman"/>
          <w:color w:val="000000"/>
          <w:highlight w:val="yellow"/>
        </w:rPr>
        <w:t>Il numero di utenti che interagiscono con il grafico interattivo</w:t>
      </w:r>
    </w:p>
    <w:p w14:paraId="26127077" w14:textId="77777777" w:rsidR="00B21172" w:rsidRPr="0098202D" w:rsidRDefault="00F851B9">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Il numero di utenti che lasciano il loro contatto e-mail</w:t>
      </w:r>
    </w:p>
    <w:p w14:paraId="2C7154CE" w14:textId="77777777" w:rsidR="00B21172" w:rsidRPr="0098202D" w:rsidRDefault="00F851B9">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highlight w:val="yellow"/>
        </w:rPr>
      </w:pPr>
      <w:r w:rsidRPr="0098202D">
        <w:rPr>
          <w:rFonts w:ascii="Times New Roman" w:eastAsia="Times New Roman" w:hAnsi="Times New Roman" w:cs="Times New Roman"/>
          <w:color w:val="000000"/>
          <w:highlight w:val="yellow"/>
        </w:rPr>
        <w:t>Il numero di utenti che visita la pagina Linkedin</w:t>
      </w:r>
    </w:p>
    <w:p w14:paraId="12CF38EE" w14:textId="77777777" w:rsidR="00B21172" w:rsidRDefault="00B21172">
      <w:pPr>
        <w:pBdr>
          <w:top w:val="nil"/>
          <w:left w:val="nil"/>
          <w:bottom w:val="nil"/>
          <w:right w:val="nil"/>
          <w:between w:val="nil"/>
        </w:pBdr>
        <w:ind w:left="720"/>
        <w:jc w:val="both"/>
        <w:rPr>
          <w:rFonts w:ascii="Times New Roman" w:eastAsia="Times New Roman" w:hAnsi="Times New Roman" w:cs="Times New Roman"/>
          <w:color w:val="000000"/>
        </w:rPr>
      </w:pPr>
    </w:p>
    <w:p w14:paraId="32C7D0FD" w14:textId="77777777" w:rsidR="00B21172" w:rsidRDefault="00F851B9" w:rsidP="004A634D">
      <w:pPr>
        <w:keepNext/>
        <w:jc w:val="center"/>
      </w:pPr>
      <w:r>
        <w:rPr>
          <w:rFonts w:ascii="Times New Roman" w:eastAsia="Times New Roman" w:hAnsi="Times New Roman" w:cs="Times New Roman"/>
          <w:noProof/>
        </w:rPr>
        <w:drawing>
          <wp:inline distT="0" distB="0" distL="0" distR="0" wp14:anchorId="78685866" wp14:editId="56143F02">
            <wp:extent cx="5760720" cy="324040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60720" cy="3240405"/>
                    </a:xfrm>
                    <a:prstGeom prst="rect">
                      <a:avLst/>
                    </a:prstGeom>
                    <a:ln/>
                  </pic:spPr>
                </pic:pic>
              </a:graphicData>
            </a:graphic>
          </wp:inline>
        </w:drawing>
      </w:r>
    </w:p>
    <w:p w14:paraId="36A93B2C" w14:textId="77777777" w:rsidR="00B21172" w:rsidRPr="004A634D" w:rsidRDefault="00F851B9" w:rsidP="004A634D">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lang w:val="en-US"/>
        </w:rPr>
      </w:pPr>
      <w:proofErr w:type="spellStart"/>
      <w:r w:rsidRPr="004A634D">
        <w:rPr>
          <w:i/>
          <w:color w:val="44546A"/>
          <w:sz w:val="18"/>
          <w:szCs w:val="18"/>
          <w:lang w:val="en-US"/>
        </w:rPr>
        <w:t>Figura</w:t>
      </w:r>
      <w:proofErr w:type="spellEnd"/>
      <w:r w:rsidRPr="004A634D">
        <w:rPr>
          <w:i/>
          <w:color w:val="44546A"/>
          <w:sz w:val="18"/>
          <w:szCs w:val="18"/>
          <w:lang w:val="en-US"/>
        </w:rPr>
        <w:t xml:space="preserve"> 3: Landing Page MVP</w:t>
      </w:r>
    </w:p>
    <w:p w14:paraId="45225E3B" w14:textId="77777777" w:rsidR="004A634D" w:rsidRDefault="004A634D">
      <w:pPr>
        <w:spacing w:line="240" w:lineRule="auto"/>
        <w:jc w:val="both"/>
        <w:rPr>
          <w:rFonts w:ascii="Times New Roman" w:eastAsia="Times New Roman" w:hAnsi="Times New Roman" w:cs="Times New Roman"/>
          <w:u w:val="single"/>
          <w:lang w:val="en-US"/>
        </w:rPr>
      </w:pPr>
    </w:p>
    <w:p w14:paraId="154FE8D8" w14:textId="52F2BBFB" w:rsidR="00B21172" w:rsidRPr="0082627A" w:rsidRDefault="00F851B9">
      <w:pPr>
        <w:spacing w:line="240" w:lineRule="auto"/>
        <w:jc w:val="both"/>
        <w:rPr>
          <w:rFonts w:ascii="Times New Roman" w:eastAsia="Times New Roman" w:hAnsi="Times New Roman" w:cs="Times New Roman"/>
          <w:b/>
          <w:bCs/>
          <w:sz w:val="28"/>
          <w:szCs w:val="28"/>
          <w:u w:val="single"/>
          <w:lang w:val="en-US"/>
        </w:rPr>
      </w:pPr>
      <w:r w:rsidRPr="0082627A">
        <w:rPr>
          <w:rFonts w:ascii="Times New Roman" w:eastAsia="Times New Roman" w:hAnsi="Times New Roman" w:cs="Times New Roman"/>
          <w:b/>
          <w:bCs/>
          <w:sz w:val="28"/>
          <w:szCs w:val="28"/>
          <w:u w:val="single"/>
          <w:lang w:val="en-US"/>
        </w:rPr>
        <w:t>GROWTH ENGINE</w:t>
      </w:r>
    </w:p>
    <w:p w14:paraId="7E631BD7" w14:textId="730810F4" w:rsidR="00B21172" w:rsidRDefault="00F851B9">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Il motore di crescita è il meccanismo che consente la crescita di un’organizzazione o società. In particolare, </w:t>
      </w:r>
      <w:r w:rsidRPr="0098202D">
        <w:rPr>
          <w:rFonts w:ascii="Times New Roman" w:eastAsia="Times New Roman" w:hAnsi="Times New Roman" w:cs="Times New Roman"/>
          <w:highlight w:val="yellow"/>
        </w:rPr>
        <w:t xml:space="preserve">si è deciso per l’MVP iniziale di adottare la tecnica del </w:t>
      </w:r>
      <w:proofErr w:type="spellStart"/>
      <w:r w:rsidRPr="0098202D">
        <w:rPr>
          <w:rFonts w:ascii="Times New Roman" w:eastAsia="Times New Roman" w:hAnsi="Times New Roman" w:cs="Times New Roman"/>
          <w:highlight w:val="yellow"/>
        </w:rPr>
        <w:t>Paid</w:t>
      </w:r>
      <w:proofErr w:type="spellEnd"/>
      <w:r w:rsidRPr="0098202D">
        <w:rPr>
          <w:rFonts w:ascii="Times New Roman" w:eastAsia="Times New Roman" w:hAnsi="Times New Roman" w:cs="Times New Roman"/>
          <w:highlight w:val="yellow"/>
        </w:rPr>
        <w:t xml:space="preserve"> </w:t>
      </w:r>
      <w:proofErr w:type="spellStart"/>
      <w:r w:rsidRPr="0098202D">
        <w:rPr>
          <w:rFonts w:ascii="Times New Roman" w:eastAsia="Times New Roman" w:hAnsi="Times New Roman" w:cs="Times New Roman"/>
          <w:highlight w:val="yellow"/>
        </w:rPr>
        <w:t>growth</w:t>
      </w:r>
      <w:proofErr w:type="spellEnd"/>
      <w:r w:rsidRPr="0098202D">
        <w:rPr>
          <w:rFonts w:ascii="Times New Roman" w:eastAsia="Times New Roman" w:hAnsi="Times New Roman" w:cs="Times New Roman"/>
          <w:highlight w:val="yellow"/>
        </w:rPr>
        <w:t xml:space="preserve"> </w:t>
      </w:r>
      <w:proofErr w:type="spellStart"/>
      <w:r w:rsidRPr="0098202D">
        <w:rPr>
          <w:rFonts w:ascii="Times New Roman" w:eastAsia="Times New Roman" w:hAnsi="Times New Roman" w:cs="Times New Roman"/>
          <w:highlight w:val="yellow"/>
        </w:rPr>
        <w:t>engine</w:t>
      </w:r>
      <w:proofErr w:type="spellEnd"/>
      <w:r w:rsidRPr="0098202D">
        <w:rPr>
          <w:rFonts w:ascii="Times New Roman" w:eastAsia="Times New Roman" w:hAnsi="Times New Roman" w:cs="Times New Roman"/>
          <w:highlight w:val="yellow"/>
        </w:rPr>
        <w:t>.</w:t>
      </w:r>
      <w:r>
        <w:rPr>
          <w:rFonts w:ascii="Times New Roman" w:eastAsia="Times New Roman" w:hAnsi="Times New Roman" w:cs="Times New Roman"/>
        </w:rPr>
        <w:t xml:space="preserve"> In questa variante del motore di crescita si acquisiscono nuovi clienti attraverso annunci pubblicitari. </w:t>
      </w:r>
      <w:r w:rsidRPr="0098202D">
        <w:rPr>
          <w:rFonts w:ascii="Times New Roman" w:eastAsia="Times New Roman" w:hAnsi="Times New Roman" w:cs="Times New Roman"/>
          <w:highlight w:val="yellow"/>
        </w:rPr>
        <w:t>Nel caso proposto,</w:t>
      </w:r>
      <w:r>
        <w:rPr>
          <w:rFonts w:ascii="Times New Roman" w:eastAsia="Times New Roman" w:hAnsi="Times New Roman" w:cs="Times New Roman"/>
        </w:rPr>
        <w:t xml:space="preserve"> la situazione è leggermente differente. Infatti, </w:t>
      </w:r>
      <w:r w:rsidRPr="0098202D">
        <w:rPr>
          <w:rFonts w:ascii="Times New Roman" w:eastAsia="Times New Roman" w:hAnsi="Times New Roman" w:cs="Times New Roman"/>
          <w:highlight w:val="yellow"/>
        </w:rPr>
        <w:t xml:space="preserve">l’idea è quella di pagare una sponsorizzazione della Landing Page da parte del GME, anche prima di instaurare una partnership con esso. Nello specifico, l’obiettivo sarebbe quello di far contattare al GME tutti gli operatori della borsa elettrica con </w:t>
      </w:r>
      <w:proofErr w:type="gramStart"/>
      <w:r w:rsidRPr="0098202D">
        <w:rPr>
          <w:rFonts w:ascii="Times New Roman" w:eastAsia="Times New Roman" w:hAnsi="Times New Roman" w:cs="Times New Roman"/>
          <w:highlight w:val="yellow"/>
        </w:rPr>
        <w:t>un’email</w:t>
      </w:r>
      <w:proofErr w:type="gramEnd"/>
      <w:r w:rsidR="004A634D" w:rsidRPr="0098202D">
        <w:rPr>
          <w:rFonts w:ascii="Times New Roman" w:eastAsia="Times New Roman" w:hAnsi="Times New Roman" w:cs="Times New Roman"/>
          <w:highlight w:val="yellow"/>
        </w:rPr>
        <w:t xml:space="preserve"> </w:t>
      </w:r>
      <w:r w:rsidRPr="0098202D">
        <w:rPr>
          <w:rFonts w:ascii="Times New Roman" w:eastAsia="Times New Roman" w:hAnsi="Times New Roman" w:cs="Times New Roman"/>
          <w:highlight w:val="yellow"/>
        </w:rPr>
        <w:t>con all’interno un link alla pagina web</w:t>
      </w:r>
      <w:r>
        <w:rPr>
          <w:rFonts w:ascii="Times New Roman" w:eastAsia="Times New Roman" w:hAnsi="Times New Roman" w:cs="Times New Roman"/>
        </w:rPr>
        <w:t xml:space="preserve"> di </w:t>
      </w:r>
      <w:proofErr w:type="spellStart"/>
      <w:r>
        <w:rPr>
          <w:rFonts w:ascii="Times New Roman" w:eastAsia="Times New Roman" w:hAnsi="Times New Roman" w:cs="Times New Roman"/>
        </w:rPr>
        <w:t>Predelect</w:t>
      </w:r>
      <w:proofErr w:type="spellEnd"/>
      <w:r>
        <w:rPr>
          <w:rFonts w:ascii="Times New Roman" w:eastAsia="Times New Roman" w:hAnsi="Times New Roman" w:cs="Times New Roman"/>
        </w:rPr>
        <w:t xml:space="preserve">. Questa tecnica sarebbe dunque la principale fonte di distribuzione dell’MVP iniziale. </w:t>
      </w:r>
    </w:p>
    <w:p w14:paraId="3B2FFD6B" w14:textId="77777777" w:rsidR="00B21172" w:rsidRDefault="00F851B9">
      <w:pPr>
        <w:spacing w:line="240" w:lineRule="auto"/>
        <w:jc w:val="both"/>
        <w:rPr>
          <w:rFonts w:ascii="Times New Roman" w:eastAsia="Times New Roman" w:hAnsi="Times New Roman" w:cs="Times New Roman"/>
        </w:rPr>
      </w:pPr>
      <w:r>
        <w:rPr>
          <w:rFonts w:ascii="Times New Roman" w:eastAsia="Times New Roman" w:hAnsi="Times New Roman" w:cs="Times New Roman"/>
        </w:rPr>
        <w:t>A servizio avviato, invece</w:t>
      </w:r>
      <w:r w:rsidRPr="0098202D">
        <w:rPr>
          <w:rFonts w:ascii="Times New Roman" w:eastAsia="Times New Roman" w:hAnsi="Times New Roman" w:cs="Times New Roman"/>
          <w:highlight w:val="yellow"/>
        </w:rPr>
        <w:t xml:space="preserve">, l’idea è quella di concentrarsi sull’alimentazione dello </w:t>
      </w:r>
      <w:proofErr w:type="spellStart"/>
      <w:r w:rsidRPr="0098202D">
        <w:rPr>
          <w:rFonts w:ascii="Times New Roman" w:eastAsia="Times New Roman" w:hAnsi="Times New Roman" w:cs="Times New Roman"/>
          <w:highlight w:val="yellow"/>
        </w:rPr>
        <w:t>sticky</w:t>
      </w:r>
      <w:proofErr w:type="spellEnd"/>
      <w:r w:rsidRPr="0098202D">
        <w:rPr>
          <w:rFonts w:ascii="Times New Roman" w:eastAsia="Times New Roman" w:hAnsi="Times New Roman" w:cs="Times New Roman"/>
          <w:highlight w:val="yellow"/>
        </w:rPr>
        <w:t xml:space="preserve"> </w:t>
      </w:r>
      <w:proofErr w:type="spellStart"/>
      <w:r w:rsidRPr="0098202D">
        <w:rPr>
          <w:rFonts w:ascii="Times New Roman" w:eastAsia="Times New Roman" w:hAnsi="Times New Roman" w:cs="Times New Roman"/>
          <w:highlight w:val="yellow"/>
        </w:rPr>
        <w:t>engine</w:t>
      </w:r>
      <w:proofErr w:type="spellEnd"/>
      <w:r w:rsidRPr="0098202D">
        <w:rPr>
          <w:rFonts w:ascii="Times New Roman" w:eastAsia="Times New Roman" w:hAnsi="Times New Roman" w:cs="Times New Roman"/>
          <w:highlight w:val="yellow"/>
        </w:rPr>
        <w:t>, per cercare di mantenere tutti i clienti acquisiti. Il buon operato di questo motore è fondamentale, poiché, essendo la proposta destinata a un numero molto ristretto di clienti, il mantenimento di questi nel tempo è importantissimo per la buona riuscita del progetto.</w:t>
      </w:r>
      <w:r>
        <w:rPr>
          <w:rFonts w:ascii="Times New Roman" w:eastAsia="Times New Roman" w:hAnsi="Times New Roman" w:cs="Times New Roman"/>
        </w:rPr>
        <w:t> </w:t>
      </w:r>
    </w:p>
    <w:p w14:paraId="3B19C485" w14:textId="77777777" w:rsidR="00B21172" w:rsidRDefault="00B21172">
      <w:pPr>
        <w:spacing w:line="240" w:lineRule="auto"/>
        <w:jc w:val="both"/>
        <w:rPr>
          <w:rFonts w:ascii="Times New Roman" w:eastAsia="Times New Roman" w:hAnsi="Times New Roman" w:cs="Times New Roman"/>
        </w:rPr>
      </w:pPr>
    </w:p>
    <w:p w14:paraId="6694E334" w14:textId="77777777" w:rsidR="00B21172" w:rsidRPr="004A634D" w:rsidRDefault="00F851B9">
      <w:pPr>
        <w:spacing w:line="240" w:lineRule="auto"/>
        <w:jc w:val="both"/>
        <w:rPr>
          <w:rFonts w:ascii="Times New Roman" w:eastAsia="Times New Roman" w:hAnsi="Times New Roman" w:cs="Times New Roman"/>
          <w:b/>
          <w:bCs/>
          <w:sz w:val="28"/>
          <w:szCs w:val="28"/>
          <w:u w:val="single"/>
        </w:rPr>
      </w:pPr>
      <w:r w:rsidRPr="004A634D">
        <w:rPr>
          <w:rFonts w:ascii="Times New Roman" w:eastAsia="Times New Roman" w:hAnsi="Times New Roman" w:cs="Times New Roman"/>
          <w:b/>
          <w:bCs/>
          <w:sz w:val="28"/>
          <w:szCs w:val="28"/>
          <w:u w:val="single"/>
        </w:rPr>
        <w:t>VALIDATION METRICS</w:t>
      </w:r>
    </w:p>
    <w:p w14:paraId="573852B0" w14:textId="77777777" w:rsidR="00B21172" w:rsidRDefault="00F851B9">
      <w:pPr>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 evidente che risulta importante, a questo punto, identificare delle metriche che consentano la misurazione dei risultati dell’MVP. In particolare, nel caso di un Landing Page MVP, spesso vengono </w:t>
      </w:r>
      <w:r w:rsidRPr="00555AEE">
        <w:rPr>
          <w:rFonts w:ascii="Times New Roman" w:eastAsia="Times New Roman" w:hAnsi="Times New Roman" w:cs="Times New Roman"/>
          <w:highlight w:val="yellow"/>
        </w:rPr>
        <w:t>sfruttate metriche accessibili e verificabili</w:t>
      </w:r>
      <w:r>
        <w:rPr>
          <w:rFonts w:ascii="Times New Roman" w:eastAsia="Times New Roman" w:hAnsi="Times New Roman" w:cs="Times New Roman"/>
        </w:rPr>
        <w:t xml:space="preserve">. In molti casi si tratta di un numero ristretto di indici di facile comprensione. </w:t>
      </w:r>
      <w:r w:rsidRPr="00555AEE">
        <w:rPr>
          <w:rFonts w:ascii="Times New Roman" w:eastAsia="Times New Roman" w:hAnsi="Times New Roman" w:cs="Times New Roman"/>
          <w:highlight w:val="yellow"/>
        </w:rPr>
        <w:t>Si intende prendere in considerazione le seguenti metriche:</w:t>
      </w:r>
    </w:p>
    <w:p w14:paraId="26C914DD" w14:textId="2FE290EF" w:rsidR="00B21172" w:rsidRPr="00555AEE" w:rsidRDefault="00F851B9">
      <w:pPr>
        <w:numPr>
          <w:ilvl w:val="0"/>
          <w:numId w:val="6"/>
        </w:numPr>
        <w:spacing w:after="0" w:line="240" w:lineRule="auto"/>
        <w:jc w:val="both"/>
        <w:rPr>
          <w:rFonts w:ascii="Times New Roman" w:eastAsia="Times New Roman" w:hAnsi="Times New Roman" w:cs="Times New Roman"/>
          <w:highlight w:val="yellow"/>
        </w:rPr>
      </w:pPr>
      <w:r w:rsidRPr="00555AEE">
        <w:rPr>
          <w:rFonts w:ascii="Times New Roman" w:eastAsia="Times New Roman" w:hAnsi="Times New Roman" w:cs="Times New Roman"/>
          <w:highlight w:val="yellow"/>
        </w:rPr>
        <w:t>Conversion Rate: percentuale di visitatori che lasciano il loro contatto e</w:t>
      </w:r>
      <w:r w:rsidR="00C85589" w:rsidRPr="00555AEE">
        <w:rPr>
          <w:rFonts w:ascii="Times New Roman" w:eastAsia="Times New Roman" w:hAnsi="Times New Roman" w:cs="Times New Roman"/>
          <w:highlight w:val="yellow"/>
        </w:rPr>
        <w:t>-</w:t>
      </w:r>
      <w:r w:rsidRPr="00555AEE">
        <w:rPr>
          <w:rFonts w:ascii="Times New Roman" w:eastAsia="Times New Roman" w:hAnsi="Times New Roman" w:cs="Times New Roman"/>
          <w:highlight w:val="yellow"/>
        </w:rPr>
        <w:t>mail</w:t>
      </w:r>
    </w:p>
    <w:p w14:paraId="0B321D7B" w14:textId="77777777" w:rsidR="00B21172" w:rsidRPr="00555AEE" w:rsidRDefault="00F851B9">
      <w:pPr>
        <w:numPr>
          <w:ilvl w:val="0"/>
          <w:numId w:val="6"/>
        </w:numPr>
        <w:spacing w:after="0" w:line="240" w:lineRule="auto"/>
        <w:jc w:val="both"/>
        <w:rPr>
          <w:rFonts w:ascii="Times New Roman" w:eastAsia="Times New Roman" w:hAnsi="Times New Roman" w:cs="Times New Roman"/>
          <w:highlight w:val="yellow"/>
        </w:rPr>
      </w:pPr>
      <w:proofErr w:type="spellStart"/>
      <w:r w:rsidRPr="00555AEE">
        <w:rPr>
          <w:rFonts w:ascii="Times New Roman" w:eastAsia="Times New Roman" w:hAnsi="Times New Roman" w:cs="Times New Roman"/>
          <w:highlight w:val="yellow"/>
        </w:rPr>
        <w:t>Bounce</w:t>
      </w:r>
      <w:proofErr w:type="spellEnd"/>
      <w:r w:rsidRPr="00555AEE">
        <w:rPr>
          <w:rFonts w:ascii="Times New Roman" w:eastAsia="Times New Roman" w:hAnsi="Times New Roman" w:cs="Times New Roman"/>
          <w:highlight w:val="yellow"/>
        </w:rPr>
        <w:t xml:space="preserve"> Rate: percentuale di visitatori che lasciano la pagina prima di interagire col grafico</w:t>
      </w:r>
    </w:p>
    <w:p w14:paraId="1CA1BE32" w14:textId="1B2AD32C" w:rsidR="00B21172" w:rsidRPr="00555AEE" w:rsidRDefault="00F851B9">
      <w:pPr>
        <w:numPr>
          <w:ilvl w:val="0"/>
          <w:numId w:val="6"/>
        </w:numPr>
        <w:spacing w:line="240" w:lineRule="auto"/>
        <w:jc w:val="both"/>
        <w:rPr>
          <w:rFonts w:ascii="Times New Roman" w:eastAsia="Times New Roman" w:hAnsi="Times New Roman" w:cs="Times New Roman"/>
          <w:highlight w:val="yellow"/>
        </w:rPr>
      </w:pPr>
      <w:r w:rsidRPr="00555AEE">
        <w:rPr>
          <w:rFonts w:ascii="Times New Roman" w:eastAsia="Times New Roman" w:hAnsi="Times New Roman" w:cs="Times New Roman"/>
          <w:highlight w:val="yellow"/>
        </w:rPr>
        <w:t xml:space="preserve">Cost-per-click: ammontare speso per ogni </w:t>
      </w:r>
      <w:proofErr w:type="spellStart"/>
      <w:r w:rsidRPr="00555AEE">
        <w:rPr>
          <w:rFonts w:ascii="Times New Roman" w:eastAsia="Times New Roman" w:hAnsi="Times New Roman" w:cs="Times New Roman"/>
          <w:highlight w:val="yellow"/>
        </w:rPr>
        <w:t>conversion</w:t>
      </w:r>
      <w:proofErr w:type="spellEnd"/>
      <w:r w:rsidRPr="00555AEE">
        <w:rPr>
          <w:rFonts w:ascii="Times New Roman" w:eastAsia="Times New Roman" w:hAnsi="Times New Roman" w:cs="Times New Roman"/>
          <w:highlight w:val="yellow"/>
        </w:rPr>
        <w:t>.</w:t>
      </w:r>
      <w:r w:rsidR="00C85589" w:rsidRPr="00555AEE">
        <w:rPr>
          <w:rFonts w:ascii="Times New Roman" w:eastAsia="Times New Roman" w:hAnsi="Times New Roman" w:cs="Times New Roman"/>
          <w:highlight w:val="yellow"/>
        </w:rPr>
        <w:t xml:space="preserve"> </w:t>
      </w:r>
      <w:proofErr w:type="gramStart"/>
      <w:r w:rsidRPr="00555AEE">
        <w:rPr>
          <w:rFonts w:ascii="Times New Roman" w:eastAsia="Times New Roman" w:hAnsi="Times New Roman" w:cs="Times New Roman"/>
          <w:highlight w:val="yellow"/>
        </w:rPr>
        <w:t>E’</w:t>
      </w:r>
      <w:proofErr w:type="gramEnd"/>
      <w:r w:rsidRPr="00555AEE">
        <w:rPr>
          <w:rFonts w:ascii="Times New Roman" w:eastAsia="Times New Roman" w:hAnsi="Times New Roman" w:cs="Times New Roman"/>
          <w:highlight w:val="yellow"/>
        </w:rPr>
        <w:t xml:space="preserve"> un rapporto con a numeratore il costo sostenuto per creare la pagina più il costo per la sua sponsorizzazione ed a denominatore il numero di iscrizioni avvenute</w:t>
      </w:r>
    </w:p>
    <w:p w14:paraId="55E2B71E" w14:textId="77777777" w:rsidR="005C2825" w:rsidRDefault="00F851B9" w:rsidP="004A634D">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Infine, si è deciso di proporre una quarta metrica più sperimentale. </w:t>
      </w:r>
      <w:r w:rsidRPr="00555AEE">
        <w:rPr>
          <w:rFonts w:ascii="Times New Roman" w:eastAsia="Times New Roman" w:hAnsi="Times New Roman" w:cs="Times New Roman"/>
          <w:highlight w:val="yellow"/>
        </w:rPr>
        <w:t>Tale indice vede a numeratore il tempo totale passato sul grafico interattivo col cursore considerando tutti i visitatori ed a denominatore il numero totale di visitatori che interagisce col grafico. Ciò potrebbe dare un’indicazione di quanto gli utenti in cui è stata scatenata una curiosità siano effettivamente interessati al valore informativo proposto</w:t>
      </w:r>
      <w:r>
        <w:rPr>
          <w:rFonts w:ascii="Times New Roman" w:eastAsia="Times New Roman" w:hAnsi="Times New Roman" w:cs="Times New Roman"/>
        </w:rPr>
        <w:t>. </w:t>
      </w:r>
    </w:p>
    <w:p w14:paraId="5F858A18" w14:textId="77777777" w:rsidR="005C2825" w:rsidRDefault="005C2825" w:rsidP="004A634D">
      <w:pPr>
        <w:spacing w:line="240" w:lineRule="auto"/>
        <w:jc w:val="both"/>
        <w:rPr>
          <w:rFonts w:ascii="Times New Roman" w:eastAsia="Times New Roman" w:hAnsi="Times New Roman" w:cs="Times New Roman"/>
        </w:rPr>
      </w:pPr>
    </w:p>
    <w:p w14:paraId="0561D73E"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17028761"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269089AC"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6429595D"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7FE1B1CB"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02A8D4CE"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579A3906"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23876033"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6FD33734" w14:textId="77777777" w:rsidR="005C2825" w:rsidRDefault="005C2825" w:rsidP="004A634D">
      <w:pPr>
        <w:spacing w:line="240" w:lineRule="auto"/>
        <w:jc w:val="both"/>
        <w:rPr>
          <w:rFonts w:ascii="Times New Roman" w:eastAsia="Times New Roman" w:hAnsi="Times New Roman" w:cs="Times New Roman"/>
          <w:b/>
          <w:bCs/>
          <w:sz w:val="28"/>
          <w:szCs w:val="28"/>
          <w:u w:val="single"/>
        </w:rPr>
      </w:pPr>
    </w:p>
    <w:p w14:paraId="77902EE7" w14:textId="14F9ADAB" w:rsidR="00B21172" w:rsidRPr="005C2825" w:rsidRDefault="00F851B9" w:rsidP="004A634D">
      <w:pPr>
        <w:spacing w:line="240" w:lineRule="auto"/>
        <w:jc w:val="both"/>
        <w:rPr>
          <w:rFonts w:ascii="Times New Roman" w:eastAsia="Times New Roman" w:hAnsi="Times New Roman" w:cs="Times New Roman"/>
        </w:rPr>
      </w:pPr>
      <w:r w:rsidRPr="005C2825">
        <w:rPr>
          <w:rFonts w:ascii="Times New Roman" w:eastAsia="Times New Roman" w:hAnsi="Times New Roman" w:cs="Times New Roman"/>
          <w:b/>
          <w:bCs/>
          <w:sz w:val="28"/>
          <w:szCs w:val="28"/>
          <w:u w:val="single"/>
        </w:rPr>
        <w:lastRenderedPageBreak/>
        <w:t>STATO DELL’ARTE</w:t>
      </w:r>
    </w:p>
    <w:p w14:paraId="716439E5" w14:textId="0BE87089"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In </w:t>
      </w:r>
      <w:r w:rsidR="00127BA6">
        <w:rPr>
          <w:rFonts w:ascii="Times New Roman" w:eastAsia="Times New Roman" w:hAnsi="Times New Roman" w:cs="Times New Roman"/>
        </w:rPr>
        <w:t>I</w:t>
      </w:r>
      <w:r>
        <w:rPr>
          <w:rFonts w:ascii="Times New Roman" w:eastAsia="Times New Roman" w:hAnsi="Times New Roman" w:cs="Times New Roman"/>
        </w:rPr>
        <w:t>talia esistono attualmente diverse società che offrono consulenza in ambito del mercato dell’energia elettrica</w:t>
      </w:r>
      <w:r>
        <w:rPr>
          <w:rFonts w:ascii="Times New Roman" w:eastAsia="Times New Roman" w:hAnsi="Times New Roman" w:cs="Times New Roman"/>
          <w:vertAlign w:val="superscript"/>
        </w:rPr>
        <w:t>8–13</w:t>
      </w:r>
      <w:r>
        <w:rPr>
          <w:rFonts w:ascii="Times New Roman" w:eastAsia="Times New Roman" w:hAnsi="Times New Roman" w:cs="Times New Roman"/>
        </w:rPr>
        <w:t>.</w:t>
      </w:r>
    </w:p>
    <w:p w14:paraId="2D0DE846" w14:textId="47993C86" w:rsidR="00B21172" w:rsidRDefault="00F851B9">
      <w:pPr>
        <w:jc w:val="both"/>
        <w:rPr>
          <w:rFonts w:ascii="Times New Roman" w:eastAsia="Times New Roman" w:hAnsi="Times New Roman" w:cs="Times New Roman"/>
        </w:rPr>
      </w:pPr>
      <w:r>
        <w:rPr>
          <w:rFonts w:ascii="Times New Roman" w:eastAsia="Times New Roman" w:hAnsi="Times New Roman" w:cs="Times New Roman"/>
        </w:rPr>
        <w:t>Questi servizi si rivolgono principalmente ad aziende, consorzi e gruppi di acquisto</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e riguardano l’energy management (dall'approv</w:t>
      </w:r>
      <w:r w:rsidR="00C85589">
        <w:rPr>
          <w:rFonts w:ascii="Times New Roman" w:eastAsia="Times New Roman" w:hAnsi="Times New Roman" w:cs="Times New Roman"/>
        </w:rPr>
        <w:t>vi</w:t>
      </w:r>
      <w:r>
        <w:rPr>
          <w:rFonts w:ascii="Times New Roman" w:eastAsia="Times New Roman" w:hAnsi="Times New Roman" w:cs="Times New Roman"/>
        </w:rPr>
        <w:t>gionamento delle forniture energetiche all'analisi dei costi e consumi) focalizzandosi su:</w:t>
      </w:r>
    </w:p>
    <w:p w14:paraId="0994966E" w14:textId="6F31F1D6" w:rsidR="00B21172" w:rsidRDefault="00F851B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monitoraggio dell’andamento dei mercati elettrici ed elaborazioni </w:t>
      </w:r>
      <w:proofErr w:type="spellStart"/>
      <w:r>
        <w:rPr>
          <w:rFonts w:ascii="Times New Roman" w:eastAsia="Times New Roman" w:hAnsi="Times New Roman" w:cs="Times New Roman"/>
          <w:color w:val="000000"/>
        </w:rPr>
        <w:t>real</w:t>
      </w:r>
      <w:proofErr w:type="spellEnd"/>
      <w:r>
        <w:rPr>
          <w:rFonts w:ascii="Times New Roman" w:eastAsia="Times New Roman" w:hAnsi="Times New Roman" w:cs="Times New Roman"/>
          <w:color w:val="000000"/>
        </w:rPr>
        <w:t xml:space="preserve"> time dei futures per guidare le strategie di acquisto</w:t>
      </w:r>
    </w:p>
    <w:p w14:paraId="245BBB00" w14:textId="77777777" w:rsidR="00B21172" w:rsidRDefault="00F851B9">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analisi di strategie di acquisto ottimali in base al profilo aziendale e al fornitore più competitivo sul libero mercato</w:t>
      </w:r>
    </w:p>
    <w:p w14:paraId="6E21BBF3" w14:textId="60786D7C" w:rsidR="00B21172" w:rsidRDefault="00F851B9">
      <w:pPr>
        <w:numPr>
          <w:ilvl w:val="0"/>
          <w:numId w:val="1"/>
        </w:numPr>
        <w:pBdr>
          <w:top w:val="nil"/>
          <w:left w:val="nil"/>
          <w:bottom w:val="nil"/>
          <w:right w:val="nil"/>
          <w:between w:val="nil"/>
        </w:pBdr>
        <w:shd w:val="clear" w:color="auto" w:fill="FFFFFF"/>
        <w:spacing w:after="150"/>
        <w:jc w:val="both"/>
        <w:rPr>
          <w:rFonts w:ascii="Times New Roman" w:eastAsia="Times New Roman" w:hAnsi="Times New Roman" w:cs="Times New Roman"/>
          <w:color w:val="000000"/>
        </w:rPr>
      </w:pPr>
      <w:r>
        <w:rPr>
          <w:rFonts w:ascii="Times New Roman" w:eastAsia="Times New Roman" w:hAnsi="Times New Roman" w:cs="Times New Roman"/>
          <w:color w:val="000000"/>
        </w:rPr>
        <w:t>altri servizi tra cui: gestione dell’attivit</w:t>
      </w:r>
      <w:r w:rsidR="00C85589">
        <w:rPr>
          <w:rFonts w:ascii="Times New Roman" w:eastAsia="Times New Roman" w:hAnsi="Times New Roman" w:cs="Times New Roman"/>
          <w:color w:val="000000"/>
        </w:rPr>
        <w:t>à</w:t>
      </w:r>
      <w:r>
        <w:rPr>
          <w:rFonts w:ascii="Times New Roman" w:eastAsia="Times New Roman" w:hAnsi="Times New Roman" w:cs="Times New Roman"/>
          <w:color w:val="000000"/>
        </w:rPr>
        <w:t xml:space="preserve"> d</w:t>
      </w:r>
      <w:r w:rsidR="00C85589">
        <w:rPr>
          <w:rFonts w:ascii="Times New Roman" w:eastAsia="Times New Roman" w:hAnsi="Times New Roman" w:cs="Times New Roman"/>
          <w:color w:val="000000"/>
        </w:rPr>
        <w:t xml:space="preserve">i </w:t>
      </w:r>
      <w:r>
        <w:rPr>
          <w:rFonts w:ascii="Times New Roman" w:eastAsia="Times New Roman" w:hAnsi="Times New Roman" w:cs="Times New Roman"/>
          <w:color w:val="000000"/>
        </w:rPr>
        <w:t>fornitura, verifica e monitoraggio fatture, servizi finalizzati all'efficienza energetica e servizi di gestione delle pratiche.</w:t>
      </w:r>
    </w:p>
    <w:p w14:paraId="1F344806" w14:textId="77777777" w:rsidR="00B21172" w:rsidRDefault="00B21172">
      <w:pPr>
        <w:jc w:val="both"/>
        <w:rPr>
          <w:rFonts w:ascii="Times New Roman" w:eastAsia="Times New Roman" w:hAnsi="Times New Roman" w:cs="Times New Roman"/>
        </w:rPr>
      </w:pPr>
    </w:p>
    <w:p w14:paraId="33BBD3A4" w14:textId="531FB079" w:rsidR="00B21172" w:rsidRDefault="00F851B9">
      <w:pPr>
        <w:jc w:val="both"/>
        <w:rPr>
          <w:rFonts w:ascii="Times New Roman" w:eastAsia="Times New Roman" w:hAnsi="Times New Roman" w:cs="Times New Roman"/>
        </w:rPr>
      </w:pPr>
      <w:r>
        <w:rPr>
          <w:rFonts w:ascii="Times New Roman" w:eastAsia="Times New Roman" w:hAnsi="Times New Roman" w:cs="Times New Roman"/>
        </w:rPr>
        <w:t>Alcuni tra i prodotti diretti agli operatori della borsa elettrica attualmente esistenti sono:</w:t>
      </w:r>
    </w:p>
    <w:p w14:paraId="47B2FCAA" w14:textId="77777777" w:rsidR="00B21172" w:rsidRDefault="00F851B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il Power Market Monitoring &amp; Forecasting di Rie</w:t>
      </w:r>
      <w:r>
        <w:rPr>
          <w:rFonts w:ascii="Times New Roman" w:eastAsia="Times New Roman" w:hAnsi="Times New Roman" w:cs="Times New Roman"/>
          <w:color w:val="000000"/>
          <w:vertAlign w:val="superscript"/>
        </w:rPr>
        <w:t>12</w:t>
      </w:r>
      <w:r>
        <w:rPr>
          <w:rFonts w:ascii="Times New Roman" w:eastAsia="Times New Roman" w:hAnsi="Times New Roman" w:cs="Times New Roman"/>
          <w:color w:val="000000"/>
        </w:rPr>
        <w:t>, prodotto di interesse strategico di analisi, monitoraggio e previsione dei mercati elettrici. Ha periodicità mensile e può essere acquistato nella sua versione standard o in una versione personalizzata attorno alle esigenze del Cliente.</w:t>
      </w:r>
    </w:p>
    <w:p w14:paraId="3893E78A" w14:textId="77777777" w:rsidR="00B21172" w:rsidRDefault="00F851B9">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analisi in tempo reale su quotazioni futures e spot dei principali mercati energetici europei offerte ai clienti da alcune delle aziende citate</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 xml:space="preserve">. </w:t>
      </w:r>
    </w:p>
    <w:p w14:paraId="1D26748C" w14:textId="77777777"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Non esiste, tuttavia, uno strumento dedicato agli operatori della borsa elettrica che possa assistere o semplificare il loro processo decisionale in modo continuo e facilmente accessibile. </w:t>
      </w:r>
    </w:p>
    <w:p w14:paraId="6751E969" w14:textId="77777777" w:rsidR="00B21172" w:rsidRDefault="00B21172">
      <w:pPr>
        <w:jc w:val="both"/>
        <w:rPr>
          <w:rFonts w:ascii="Times New Roman" w:eastAsia="Times New Roman" w:hAnsi="Times New Roman" w:cs="Times New Roman"/>
          <w:color w:val="212529"/>
          <w:highlight w:val="white"/>
        </w:rPr>
      </w:pPr>
    </w:p>
    <w:p w14:paraId="263D96B9" w14:textId="73ABF7EE" w:rsidR="00B21172" w:rsidRPr="005C2825" w:rsidRDefault="00F851B9">
      <w:pPr>
        <w:jc w:val="both"/>
        <w:rPr>
          <w:rFonts w:ascii="Times New Roman" w:eastAsia="Times New Roman" w:hAnsi="Times New Roman" w:cs="Times New Roman"/>
          <w:b/>
          <w:bCs/>
          <w:color w:val="212529"/>
          <w:sz w:val="28"/>
          <w:szCs w:val="28"/>
          <w:highlight w:val="white"/>
        </w:rPr>
      </w:pPr>
      <w:r w:rsidRPr="005C2825">
        <w:rPr>
          <w:rFonts w:ascii="Times New Roman" w:eastAsia="Times New Roman" w:hAnsi="Times New Roman" w:cs="Times New Roman"/>
          <w:b/>
          <w:bCs/>
          <w:color w:val="212529"/>
          <w:sz w:val="28"/>
          <w:szCs w:val="28"/>
          <w:highlight w:val="white"/>
          <w:u w:val="single"/>
        </w:rPr>
        <w:t>SVILUPPI FUTURI</w:t>
      </w:r>
    </w:p>
    <w:p w14:paraId="6504BE8F" w14:textId="49F4E3BE" w:rsidR="00B21172" w:rsidRDefault="00F851B9">
      <w:pPr>
        <w:jc w:val="both"/>
        <w:rPr>
          <w:rFonts w:ascii="Times New Roman" w:eastAsia="Times New Roman" w:hAnsi="Times New Roman" w:cs="Times New Roman"/>
        </w:rPr>
      </w:pPr>
      <w:r>
        <w:rPr>
          <w:rFonts w:ascii="Times New Roman" w:eastAsia="Times New Roman" w:hAnsi="Times New Roman" w:cs="Times New Roman"/>
        </w:rPr>
        <w:t>Negli ultimi decenni si sta assistendo ad una forte spinta verso la ricerca e lo sviluppo di risorse en</w:t>
      </w:r>
      <w:r w:rsidR="005C2825">
        <w:rPr>
          <w:rFonts w:ascii="Times New Roman" w:eastAsia="Times New Roman" w:hAnsi="Times New Roman" w:cs="Times New Roman"/>
        </w:rPr>
        <w:t>e</w:t>
      </w:r>
      <w:r>
        <w:rPr>
          <w:rFonts w:ascii="Times New Roman" w:eastAsia="Times New Roman" w:hAnsi="Times New Roman" w:cs="Times New Roman"/>
        </w:rPr>
        <w:t>rgetiche rinnovabili. La sostenibilità sta diventando il principio guida per diverse politiche modiali</w:t>
      </w:r>
      <w:r>
        <w:rPr>
          <w:rFonts w:ascii="Times New Roman" w:eastAsia="Times New Roman" w:hAnsi="Times New Roman" w:cs="Times New Roman"/>
          <w:vertAlign w:val="superscript"/>
        </w:rPr>
        <w:t>14</w:t>
      </w:r>
      <w:r>
        <w:rPr>
          <w:rFonts w:ascii="Times New Roman" w:eastAsia="Times New Roman" w:hAnsi="Times New Roman" w:cs="Times New Roman"/>
        </w:rPr>
        <w:t>, Europee</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ed Italiane</w:t>
      </w:r>
      <w:r>
        <w:rPr>
          <w:rFonts w:ascii="Times New Roman" w:eastAsia="Times New Roman" w:hAnsi="Times New Roman" w:cs="Times New Roman"/>
          <w:vertAlign w:val="superscript"/>
        </w:rPr>
        <w:t>16,17</w:t>
      </w:r>
      <w:r>
        <w:rPr>
          <w:rFonts w:ascii="Times New Roman" w:eastAsia="Times New Roman" w:hAnsi="Times New Roman" w:cs="Times New Roman"/>
        </w:rPr>
        <w:t xml:space="preserve"> che hanno come obiettivo la sostenibilità basata sul «vivere bene entro i limiti del nostro pianeta»</w:t>
      </w:r>
      <w:r>
        <w:rPr>
          <w:rFonts w:ascii="Times New Roman" w:eastAsia="Times New Roman" w:hAnsi="Times New Roman" w:cs="Times New Roman"/>
          <w:vertAlign w:val="superscript"/>
        </w:rPr>
        <w:t>16</w:t>
      </w:r>
      <w:r>
        <w:rPr>
          <w:rFonts w:ascii="Times New Roman" w:eastAsia="Times New Roman" w:hAnsi="Times New Roman" w:cs="Times New Roman"/>
        </w:rPr>
        <w:t>.</w:t>
      </w:r>
    </w:p>
    <w:p w14:paraId="020F55CF" w14:textId="1AD7200A" w:rsidR="00B21172"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In </w:t>
      </w:r>
      <w:r w:rsidR="005C2825">
        <w:rPr>
          <w:rFonts w:ascii="Times New Roman" w:eastAsia="Times New Roman" w:hAnsi="Times New Roman" w:cs="Times New Roman"/>
        </w:rPr>
        <w:t>I</w:t>
      </w:r>
      <w:r>
        <w:rPr>
          <w:rFonts w:ascii="Times New Roman" w:eastAsia="Times New Roman" w:hAnsi="Times New Roman" w:cs="Times New Roman"/>
        </w:rPr>
        <w:t>talia grazie al Decreto rilancio del 19 maggio 2020</w:t>
      </w:r>
      <w:r>
        <w:rPr>
          <w:rFonts w:ascii="Times New Roman" w:eastAsia="Times New Roman" w:hAnsi="Times New Roman" w:cs="Times New Roman"/>
          <w:vertAlign w:val="superscript"/>
        </w:rPr>
        <w:t>17</w:t>
      </w:r>
      <w:r>
        <w:rPr>
          <w:rFonts w:ascii="Times New Roman" w:eastAsia="Times New Roman" w:hAnsi="Times New Roman" w:cs="Times New Roman"/>
        </w:rPr>
        <w:t xml:space="preserve"> viene proposto l’ecobonus per l’efficienza energetica e il bonus per la mobilità sostenibile alternativa al trasporto pubblico locale. Questa spinta porterà nelle vite degli italiani soluzioni di sostenibilità en</w:t>
      </w:r>
      <w:r w:rsidR="005C2825">
        <w:rPr>
          <w:rFonts w:ascii="Times New Roman" w:eastAsia="Times New Roman" w:hAnsi="Times New Roman" w:cs="Times New Roman"/>
        </w:rPr>
        <w:t>e</w:t>
      </w:r>
      <w:r>
        <w:rPr>
          <w:rFonts w:ascii="Times New Roman" w:eastAsia="Times New Roman" w:hAnsi="Times New Roman" w:cs="Times New Roman"/>
        </w:rPr>
        <w:t>rgetica basate su autoproduzione, autoconsumo di energia e su si</w:t>
      </w:r>
      <w:r w:rsidR="005C2825">
        <w:rPr>
          <w:rFonts w:ascii="Times New Roman" w:eastAsia="Times New Roman" w:hAnsi="Times New Roman" w:cs="Times New Roman"/>
        </w:rPr>
        <w:t>s</w:t>
      </w:r>
      <w:r>
        <w:rPr>
          <w:rFonts w:ascii="Times New Roman" w:eastAsia="Times New Roman" w:hAnsi="Times New Roman" w:cs="Times New Roman"/>
        </w:rPr>
        <w:t>temi di accumulo.</w:t>
      </w:r>
    </w:p>
    <w:p w14:paraId="215BA238" w14:textId="3924C829" w:rsidR="00B21172" w:rsidRDefault="00F851B9">
      <w:pPr>
        <w:jc w:val="both"/>
        <w:rPr>
          <w:rFonts w:ascii="Times New Roman" w:eastAsia="Times New Roman" w:hAnsi="Times New Roman" w:cs="Times New Roman"/>
        </w:rPr>
      </w:pPr>
      <w:r>
        <w:rPr>
          <w:rFonts w:ascii="Times New Roman" w:eastAsia="Times New Roman" w:hAnsi="Times New Roman" w:cs="Times New Roman"/>
        </w:rPr>
        <w:t>Il grande valore degli accumulatori è la capacità di immagazzinare energia, fornirla alla rete domestica o cederla alla rete pubblica. La possibilità di vendere l’energia in eccesso viene definita da due tipologie di contratti: lo scambio sul posto (SSP)</w:t>
      </w:r>
      <w:r>
        <w:rPr>
          <w:rFonts w:ascii="Times New Roman" w:eastAsia="Times New Roman" w:hAnsi="Times New Roman" w:cs="Times New Roman"/>
          <w:vertAlign w:val="superscript"/>
        </w:rPr>
        <w:t>18</w:t>
      </w:r>
      <w:r>
        <w:rPr>
          <w:rFonts w:ascii="Times New Roman" w:eastAsia="Times New Roman" w:hAnsi="Times New Roman" w:cs="Times New Roman"/>
        </w:rPr>
        <w:t xml:space="preserve"> (rimborso in bolletta per il corrispettivo di energia immessa in rete) e il ritiro dedicato (RID)</w:t>
      </w:r>
      <w:r>
        <w:rPr>
          <w:rFonts w:ascii="Times New Roman" w:eastAsia="Times New Roman" w:hAnsi="Times New Roman" w:cs="Times New Roman"/>
          <w:vertAlign w:val="superscript"/>
        </w:rPr>
        <w:t>19</w:t>
      </w:r>
      <w:r>
        <w:rPr>
          <w:rFonts w:ascii="Times New Roman" w:eastAsia="Times New Roman" w:hAnsi="Times New Roman" w:cs="Times New Roman"/>
        </w:rPr>
        <w:t xml:space="preserve"> (di vendere l’energia prodotta direttamente al GSE secondo il meccanismo dei prezzi minimi garantiti). Inoltre</w:t>
      </w:r>
      <w:r w:rsidR="005C2825">
        <w:rPr>
          <w:rFonts w:ascii="Times New Roman" w:eastAsia="Times New Roman" w:hAnsi="Times New Roman" w:cs="Times New Roman"/>
        </w:rPr>
        <w:t xml:space="preserve">, </w:t>
      </w:r>
      <w:r>
        <w:rPr>
          <w:rFonts w:ascii="Times New Roman" w:eastAsia="Times New Roman" w:hAnsi="Times New Roman" w:cs="Times New Roman"/>
        </w:rPr>
        <w:t>in diversi ambiti di ricerca i sistemi di accumulo si trasformano in soluzioni energetiche per la stabilizzazione della rete offrendo una remunerazione economica agli utenti che mettono a disposizione le batterie degli accumulatori o dei mezzi elettrici parcheggiati</w:t>
      </w:r>
      <w:r>
        <w:rPr>
          <w:rFonts w:ascii="Times New Roman" w:eastAsia="Times New Roman" w:hAnsi="Times New Roman" w:cs="Times New Roman"/>
          <w:vertAlign w:val="superscript"/>
        </w:rPr>
        <w:t>20,21</w:t>
      </w:r>
      <w:r>
        <w:rPr>
          <w:rFonts w:ascii="Times New Roman" w:eastAsia="Times New Roman" w:hAnsi="Times New Roman" w:cs="Times New Roman"/>
        </w:rPr>
        <w:t xml:space="preserve">. </w:t>
      </w:r>
    </w:p>
    <w:p w14:paraId="3F9C8825" w14:textId="77777777" w:rsidR="005C2825" w:rsidRDefault="00F851B9">
      <w:pPr>
        <w:jc w:val="both"/>
        <w:rPr>
          <w:rFonts w:ascii="Times New Roman" w:eastAsia="Times New Roman" w:hAnsi="Times New Roman" w:cs="Times New Roman"/>
        </w:rPr>
      </w:pPr>
      <w:r>
        <w:rPr>
          <w:rFonts w:ascii="Times New Roman" w:eastAsia="Times New Roman" w:hAnsi="Times New Roman" w:cs="Times New Roman"/>
        </w:rPr>
        <w:t xml:space="preserve">Il nostro prodotto potrebbe dunque entrar a far parte degli strumenti che un privato utilizza nel momento della sottoscrizione di un contratto per la vendita dell’energia autoprodotta in eccesso per poter confrontare le offerte con il reale valore del mercato elettrico. </w:t>
      </w:r>
    </w:p>
    <w:p w14:paraId="2D224470" w14:textId="506E48E9" w:rsidR="00B21172" w:rsidRPr="005C2825" w:rsidRDefault="00F851B9">
      <w:pPr>
        <w:jc w:val="both"/>
        <w:rPr>
          <w:rFonts w:ascii="Times New Roman" w:eastAsia="Times New Roman" w:hAnsi="Times New Roman" w:cs="Times New Roman"/>
          <w:b/>
          <w:bCs/>
          <w:sz w:val="28"/>
          <w:szCs w:val="28"/>
        </w:rPr>
      </w:pPr>
      <w:r w:rsidRPr="005C2825">
        <w:rPr>
          <w:rFonts w:ascii="Times New Roman" w:eastAsia="Times New Roman" w:hAnsi="Times New Roman" w:cs="Times New Roman"/>
          <w:b/>
          <w:bCs/>
          <w:color w:val="212529"/>
          <w:sz w:val="28"/>
          <w:szCs w:val="28"/>
          <w:highlight w:val="white"/>
          <w:u w:val="single"/>
        </w:rPr>
        <w:lastRenderedPageBreak/>
        <w:t>SITOGRAFIA E BIBLIOGRAFIA</w:t>
      </w:r>
    </w:p>
    <w:p w14:paraId="16A83FC0" w14:textId="77777777" w:rsidR="00B21172" w:rsidRDefault="00B21172">
      <w:pPr>
        <w:jc w:val="both"/>
        <w:rPr>
          <w:rFonts w:ascii="Times New Roman" w:eastAsia="Times New Roman" w:hAnsi="Times New Roman" w:cs="Times New Roman"/>
          <w:color w:val="212529"/>
          <w:highlight w:val="white"/>
          <w:u w:val="single"/>
        </w:rPr>
      </w:pPr>
    </w:p>
    <w:p w14:paraId="4FA27207"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t xml:space="preserve">GME - Gestore dei Mercati Energetici </w:t>
      </w:r>
      <w:proofErr w:type="spellStart"/>
      <w:r>
        <w:rPr>
          <w:rFonts w:ascii="Times New Roman" w:eastAsia="Times New Roman" w:hAnsi="Times New Roman" w:cs="Times New Roman"/>
          <w:color w:val="000000"/>
        </w:rPr>
        <w:t>SpA</w:t>
      </w:r>
      <w:proofErr w:type="spellEnd"/>
      <w:r>
        <w:rPr>
          <w:rFonts w:ascii="Times New Roman" w:eastAsia="Times New Roman" w:hAnsi="Times New Roman" w:cs="Times New Roman"/>
          <w:color w:val="000000"/>
        </w:rPr>
        <w:t xml:space="preserve"> http://www.mercatoelettrico.org/It/Default.aspx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21, 2021).</w:t>
      </w:r>
    </w:p>
    <w:p w14:paraId="25FD691C"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t xml:space="preserve">Mario </w:t>
      </w:r>
      <w:proofErr w:type="spellStart"/>
      <w:r>
        <w:rPr>
          <w:rFonts w:ascii="Times New Roman" w:eastAsia="Times New Roman" w:hAnsi="Times New Roman" w:cs="Times New Roman"/>
          <w:color w:val="000000"/>
        </w:rPr>
        <w:t>Tosques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Carlo Stagnaro - Il Mercato Dell’energia in Italia</w:t>
      </w:r>
      <w:r>
        <w:rPr>
          <w:rFonts w:ascii="Times New Roman" w:eastAsia="Times New Roman" w:hAnsi="Times New Roman" w:cs="Times New Roman"/>
          <w:color w:val="000000"/>
        </w:rPr>
        <w:t>; 2013.</w:t>
      </w:r>
    </w:p>
    <w:p w14:paraId="05B6269A"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t>GME - I mercati - Mercato elettrico - elenco operatori https://www.mercatoelettrico.org/it/mercati/mercatoelettrico/ElencoOperatori.aspx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29, 2021).</w:t>
      </w:r>
    </w:p>
    <w:p w14:paraId="37F383BD"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t>GME - Esiti dei mercati - MGP - esiti http://www.mercatoelettrico.org/It/Esiti/MGP/EsitiMgp.aspx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29, 2021).</w:t>
      </w:r>
    </w:p>
    <w:p w14:paraId="1411C06E" w14:textId="77777777" w:rsidR="00B21172" w:rsidRPr="004A634D"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lang w:val="en-US"/>
        </w:rPr>
      </w:pPr>
      <w:r w:rsidRPr="004A634D">
        <w:rPr>
          <w:rFonts w:ascii="Times New Roman" w:eastAsia="Times New Roman" w:hAnsi="Times New Roman" w:cs="Times New Roman"/>
          <w:color w:val="000000"/>
          <w:lang w:val="en-US"/>
        </w:rPr>
        <w:t xml:space="preserve">(5) </w:t>
      </w:r>
      <w:r w:rsidRPr="004A634D">
        <w:rPr>
          <w:rFonts w:ascii="Times New Roman" w:eastAsia="Times New Roman" w:hAnsi="Times New Roman" w:cs="Times New Roman"/>
          <w:color w:val="000000"/>
          <w:lang w:val="en-US"/>
        </w:rPr>
        <w:tab/>
        <w:t xml:space="preserve">Il Business Model Canvas. </w:t>
      </w:r>
      <w:r w:rsidRPr="004A634D">
        <w:rPr>
          <w:rFonts w:ascii="Times New Roman" w:eastAsia="Times New Roman" w:hAnsi="Times New Roman" w:cs="Times New Roman"/>
          <w:i/>
          <w:color w:val="000000"/>
          <w:lang w:val="en-US"/>
        </w:rPr>
        <w:t>Business Model Canvas</w:t>
      </w:r>
      <w:r w:rsidRPr="004A634D">
        <w:rPr>
          <w:rFonts w:ascii="Times New Roman" w:eastAsia="Times New Roman" w:hAnsi="Times New Roman" w:cs="Times New Roman"/>
          <w:color w:val="000000"/>
          <w:lang w:val="en-US"/>
        </w:rPr>
        <w:t>.</w:t>
      </w:r>
    </w:p>
    <w:p w14:paraId="080FFC7A" w14:textId="77777777" w:rsidR="00B21172" w:rsidRPr="004A634D"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lang w:val="en-US"/>
        </w:rPr>
      </w:pPr>
      <w:r w:rsidRPr="004A634D">
        <w:rPr>
          <w:rFonts w:ascii="Times New Roman" w:eastAsia="Times New Roman" w:hAnsi="Times New Roman" w:cs="Times New Roman"/>
          <w:color w:val="000000"/>
          <w:lang w:val="en-US"/>
        </w:rPr>
        <w:t xml:space="preserve">(6) </w:t>
      </w:r>
      <w:r w:rsidRPr="004A634D">
        <w:rPr>
          <w:rFonts w:ascii="Times New Roman" w:eastAsia="Times New Roman" w:hAnsi="Times New Roman" w:cs="Times New Roman"/>
          <w:color w:val="000000"/>
          <w:lang w:val="en-US"/>
        </w:rPr>
        <w:tab/>
        <w:t xml:space="preserve">Partner </w:t>
      </w:r>
      <w:proofErr w:type="spellStart"/>
      <w:r w:rsidRPr="004A634D">
        <w:rPr>
          <w:rFonts w:ascii="Times New Roman" w:eastAsia="Times New Roman" w:hAnsi="Times New Roman" w:cs="Times New Roman"/>
          <w:color w:val="000000"/>
          <w:lang w:val="en-US"/>
        </w:rPr>
        <w:t>chiave</w:t>
      </w:r>
      <w:proofErr w:type="spellEnd"/>
      <w:r w:rsidRPr="004A634D">
        <w:rPr>
          <w:rFonts w:ascii="Times New Roman" w:eastAsia="Times New Roman" w:hAnsi="Times New Roman" w:cs="Times New Roman"/>
          <w:color w:val="000000"/>
          <w:lang w:val="en-US"/>
        </w:rPr>
        <w:t xml:space="preserve">. </w:t>
      </w:r>
      <w:r w:rsidRPr="004A634D">
        <w:rPr>
          <w:rFonts w:ascii="Times New Roman" w:eastAsia="Times New Roman" w:hAnsi="Times New Roman" w:cs="Times New Roman"/>
          <w:i/>
          <w:color w:val="000000"/>
          <w:lang w:val="en-US"/>
        </w:rPr>
        <w:t>Business Model Canvas</w:t>
      </w:r>
      <w:r w:rsidRPr="004A634D">
        <w:rPr>
          <w:rFonts w:ascii="Times New Roman" w:eastAsia="Times New Roman" w:hAnsi="Times New Roman" w:cs="Times New Roman"/>
          <w:color w:val="000000"/>
          <w:lang w:val="en-US"/>
        </w:rPr>
        <w:t>.</w:t>
      </w:r>
    </w:p>
    <w:p w14:paraId="685596DB"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ab/>
        <w:t xml:space="preserve">Minimum </w:t>
      </w:r>
      <w:proofErr w:type="spellStart"/>
      <w:r>
        <w:rPr>
          <w:rFonts w:ascii="Times New Roman" w:eastAsia="Times New Roman" w:hAnsi="Times New Roman" w:cs="Times New Roman"/>
          <w:color w:val="000000"/>
        </w:rPr>
        <w:t>Viable</w:t>
      </w:r>
      <w:proofErr w:type="spellEnd"/>
      <w:r>
        <w:rPr>
          <w:rFonts w:ascii="Times New Roman" w:eastAsia="Times New Roman" w:hAnsi="Times New Roman" w:cs="Times New Roman"/>
          <w:color w:val="000000"/>
        </w:rPr>
        <w:t xml:space="preserve"> Product. </w:t>
      </w:r>
      <w:r>
        <w:rPr>
          <w:rFonts w:ascii="Times New Roman" w:eastAsia="Times New Roman" w:hAnsi="Times New Roman" w:cs="Times New Roman"/>
          <w:i/>
          <w:color w:val="000000"/>
        </w:rPr>
        <w:t>Wikipedia</w:t>
      </w:r>
      <w:r>
        <w:rPr>
          <w:rFonts w:ascii="Times New Roman" w:eastAsia="Times New Roman" w:hAnsi="Times New Roman" w:cs="Times New Roman"/>
          <w:color w:val="000000"/>
        </w:rPr>
        <w:t>; 2020.</w:t>
      </w:r>
    </w:p>
    <w:p w14:paraId="368934CA"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t xml:space="preserve">Consulenza acquisto energia elettrica e gas | </w:t>
      </w:r>
      <w:proofErr w:type="spellStart"/>
      <w:r>
        <w:rPr>
          <w:rFonts w:ascii="Times New Roman" w:eastAsia="Times New Roman" w:hAnsi="Times New Roman" w:cs="Times New Roman"/>
          <w:color w:val="000000"/>
        </w:rPr>
        <w:t>CogenLab</w:t>
      </w:r>
      <w:proofErr w:type="spellEnd"/>
      <w:r>
        <w:rPr>
          <w:rFonts w:ascii="Times New Roman" w:eastAsia="Times New Roman" w:hAnsi="Times New Roman" w:cs="Times New Roman"/>
          <w:color w:val="000000"/>
        </w:rPr>
        <w:t>.</w:t>
      </w:r>
    </w:p>
    <w:p w14:paraId="48BAEC12"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t xml:space="preserve">Consulenza Energetica Industriale - </w:t>
      </w:r>
      <w:proofErr w:type="spellStart"/>
      <w:r>
        <w:rPr>
          <w:rFonts w:ascii="Times New Roman" w:eastAsia="Times New Roman" w:hAnsi="Times New Roman" w:cs="Times New Roman"/>
          <w:color w:val="000000"/>
        </w:rPr>
        <w:t>Energika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srl</w:t>
      </w:r>
      <w:proofErr w:type="spellEnd"/>
      <w:r>
        <w:rPr>
          <w:rFonts w:ascii="Times New Roman" w:eastAsia="Times New Roman" w:hAnsi="Times New Roman" w:cs="Times New Roman"/>
          <w:color w:val="000000"/>
        </w:rPr>
        <w:t>.</w:t>
      </w:r>
    </w:p>
    <w:p w14:paraId="45FF3B57"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Elettroprogest</w:t>
      </w:r>
      <w:proofErr w:type="spellEnd"/>
      <w:r>
        <w:rPr>
          <w:rFonts w:ascii="Times New Roman" w:eastAsia="Times New Roman" w:hAnsi="Times New Roman" w:cs="Times New Roman"/>
          <w:color w:val="000000"/>
        </w:rPr>
        <w:t xml:space="preserve"> S.r.l. https://www.elettroprogest.it/.</w:t>
      </w:r>
    </w:p>
    <w:p w14:paraId="6B945969"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t>REF-E, ricerca e consulenza per i mercati energetici https://www.ref-e.com/it.</w:t>
      </w:r>
    </w:p>
    <w:p w14:paraId="3537050F"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t>Rie | Ricerche Industriali Energetiche.</w:t>
      </w:r>
    </w:p>
    <w:p w14:paraId="1AC9EA4A"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t>Visio Energy https://www.visioenergy.com/.</w:t>
      </w:r>
    </w:p>
    <w:p w14:paraId="4F2DEA8E" w14:textId="77777777" w:rsidR="00B21172" w:rsidRPr="004A634D"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lang w:val="en-US"/>
        </w:rPr>
      </w:pPr>
      <w:r w:rsidRPr="004A634D">
        <w:rPr>
          <w:rFonts w:ascii="Times New Roman" w:eastAsia="Times New Roman" w:hAnsi="Times New Roman" w:cs="Times New Roman"/>
          <w:color w:val="000000"/>
          <w:lang w:val="en-US"/>
        </w:rPr>
        <w:t xml:space="preserve">(14) </w:t>
      </w:r>
      <w:r w:rsidRPr="004A634D">
        <w:rPr>
          <w:rFonts w:ascii="Times New Roman" w:eastAsia="Times New Roman" w:hAnsi="Times New Roman" w:cs="Times New Roman"/>
          <w:color w:val="000000"/>
          <w:lang w:val="en-US"/>
        </w:rPr>
        <w:tab/>
        <w:t>ODD https://unric.org/it/agenda-2030/ (accessed Jan 27, 2021).</w:t>
      </w:r>
    </w:p>
    <w:p w14:paraId="2F8C22FA" w14:textId="77777777" w:rsidR="00B21172" w:rsidRPr="004A634D"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lang w:val="en-US"/>
        </w:rPr>
      </w:pPr>
      <w:r w:rsidRPr="004A634D">
        <w:rPr>
          <w:rFonts w:ascii="Times New Roman" w:eastAsia="Times New Roman" w:hAnsi="Times New Roman" w:cs="Times New Roman"/>
          <w:color w:val="000000"/>
          <w:lang w:val="en-US"/>
        </w:rPr>
        <w:t xml:space="preserve">(15) </w:t>
      </w:r>
      <w:r w:rsidRPr="004A634D">
        <w:rPr>
          <w:rFonts w:ascii="Times New Roman" w:eastAsia="Times New Roman" w:hAnsi="Times New Roman" w:cs="Times New Roman"/>
          <w:color w:val="000000"/>
          <w:lang w:val="en-US"/>
        </w:rPr>
        <w:tab/>
        <w:t>The European environment — state and outlook 2020 — European Environment Agency https://www.eea.europa.eu/publications/soer-2020 (accessed Jan 27, 2021).</w:t>
      </w:r>
    </w:p>
    <w:p w14:paraId="2E269F0C"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t>Decreto Rilancio: tutti sognano il fotovoltaico https://www.eni.com/it-IT/media/decreto-rilancio-ecobonus-fotovoltaico.html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26, 2021).</w:t>
      </w:r>
    </w:p>
    <w:p w14:paraId="1AB05B1D"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t>Gazzetta Ufficiale https://www.gazzettaufficiale.it/eli/id/2020/05/19/20G00052/sg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27, 2021).</w:t>
      </w:r>
    </w:p>
    <w:p w14:paraId="7AA43382"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t>Scambio sul posto https://www.gse.it/servizi-per-te/fotovoltaico/scambio-sul-posto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29, 2021).</w:t>
      </w:r>
    </w:p>
    <w:p w14:paraId="0859097A"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t>Ritiro dedicato https://www.gse.it/servizi-per-te/fotovoltaico/ritiro-dedicato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29, 2021).</w:t>
      </w:r>
    </w:p>
    <w:p w14:paraId="5ACD3B8D"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proofErr w:type="spellStart"/>
      <w:proofErr w:type="gramStart"/>
      <w:r>
        <w:rPr>
          <w:rFonts w:ascii="Times New Roman" w:eastAsia="Times New Roman" w:hAnsi="Times New Roman" w:cs="Times New Roman"/>
          <w:color w:val="000000"/>
        </w:rPr>
        <w:t>Danimarca,prime</w:t>
      </w:r>
      <w:proofErr w:type="spellEnd"/>
      <w:proofErr w:type="gramEnd"/>
      <w:r>
        <w:rPr>
          <w:rFonts w:ascii="Times New Roman" w:eastAsia="Times New Roman" w:hAnsi="Times New Roman" w:cs="Times New Roman"/>
          <w:color w:val="000000"/>
        </w:rPr>
        <w:t xml:space="preserve"> unità Enel interscambio rete-auto elettriche - Attualità http://www.ansa.it/canale_motori/notizie/attualita/2016/08/29/danimarcaprime-unita-enel-interscambio-rete-auto-elettriche_3707c35c-9787-43eb-b7f7-f2933680e478.html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26, 2021).</w:t>
      </w:r>
    </w:p>
    <w:p w14:paraId="0E726CD6" w14:textId="77777777" w:rsidR="00B21172" w:rsidRDefault="00F851B9">
      <w:pPr>
        <w:pBdr>
          <w:top w:val="nil"/>
          <w:left w:val="nil"/>
          <w:bottom w:val="nil"/>
          <w:right w:val="nil"/>
          <w:between w:val="nil"/>
        </w:pBdr>
        <w:tabs>
          <w:tab w:val="left" w:pos="504"/>
        </w:tabs>
        <w:spacing w:after="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t>Contribuire alla rete elettrica con la e-car: il progetto Parker | Enel X https://www.enelx.com/it/it/news-media/notizie/2019/01/contribuire-alla-rete-elettrica-con-e-car (</w:t>
      </w:r>
      <w:proofErr w:type="spellStart"/>
      <w:r>
        <w:rPr>
          <w:rFonts w:ascii="Times New Roman" w:eastAsia="Times New Roman" w:hAnsi="Times New Roman" w:cs="Times New Roman"/>
          <w:color w:val="000000"/>
        </w:rPr>
        <w:t>accessed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Jan</w:t>
      </w:r>
      <w:proofErr w:type="spellEnd"/>
      <w:r>
        <w:rPr>
          <w:rFonts w:ascii="Times New Roman" w:eastAsia="Times New Roman" w:hAnsi="Times New Roman" w:cs="Times New Roman"/>
          <w:color w:val="000000"/>
        </w:rPr>
        <w:t xml:space="preserve"> 26, 2021).</w:t>
      </w:r>
    </w:p>
    <w:p w14:paraId="56C614B3" w14:textId="77777777" w:rsidR="00B21172" w:rsidRDefault="00B21172">
      <w:pPr>
        <w:jc w:val="both"/>
        <w:rPr>
          <w:rFonts w:ascii="Times New Roman" w:eastAsia="Times New Roman" w:hAnsi="Times New Roman" w:cs="Times New Roman"/>
          <w:color w:val="212529"/>
          <w:highlight w:val="white"/>
          <w:u w:val="single"/>
        </w:rPr>
      </w:pPr>
    </w:p>
    <w:p w14:paraId="0814F165" w14:textId="77777777" w:rsidR="00B21172" w:rsidRDefault="00B21172">
      <w:pPr>
        <w:jc w:val="both"/>
        <w:rPr>
          <w:rFonts w:ascii="Times New Roman" w:eastAsia="Times New Roman" w:hAnsi="Times New Roman" w:cs="Times New Roman"/>
        </w:rPr>
      </w:pPr>
    </w:p>
    <w:sectPr w:rsidR="00B21172">
      <w:type w:val="continuous"/>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970D2" w14:textId="77777777" w:rsidR="0073188D" w:rsidRDefault="0073188D" w:rsidP="005C2825">
      <w:pPr>
        <w:spacing w:after="0" w:line="240" w:lineRule="auto"/>
      </w:pPr>
      <w:r>
        <w:separator/>
      </w:r>
    </w:p>
  </w:endnote>
  <w:endnote w:type="continuationSeparator" w:id="0">
    <w:p w14:paraId="5FBB86EA" w14:textId="77777777" w:rsidR="0073188D" w:rsidRDefault="0073188D" w:rsidP="005C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157869"/>
      <w:docPartObj>
        <w:docPartGallery w:val="Page Numbers (Bottom of Page)"/>
        <w:docPartUnique/>
      </w:docPartObj>
    </w:sdtPr>
    <w:sdtEndPr/>
    <w:sdtContent>
      <w:p w14:paraId="235A030C" w14:textId="0CF9F5B5" w:rsidR="005C2825" w:rsidRDefault="005C2825">
        <w:pPr>
          <w:pStyle w:val="Pidipagina"/>
          <w:jc w:val="right"/>
        </w:pPr>
        <w:r>
          <w:fldChar w:fldCharType="begin"/>
        </w:r>
        <w:r>
          <w:instrText>PAGE   \* MERGEFORMAT</w:instrText>
        </w:r>
        <w:r>
          <w:fldChar w:fldCharType="separate"/>
        </w:r>
        <w:r>
          <w:t>2</w:t>
        </w:r>
        <w:r>
          <w:fldChar w:fldCharType="end"/>
        </w:r>
      </w:p>
    </w:sdtContent>
  </w:sdt>
  <w:p w14:paraId="5137E38A" w14:textId="77777777" w:rsidR="005C2825" w:rsidRDefault="005C28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257CD" w14:textId="77777777" w:rsidR="0073188D" w:rsidRDefault="0073188D" w:rsidP="005C2825">
      <w:pPr>
        <w:spacing w:after="0" w:line="240" w:lineRule="auto"/>
      </w:pPr>
      <w:r>
        <w:separator/>
      </w:r>
    </w:p>
  </w:footnote>
  <w:footnote w:type="continuationSeparator" w:id="0">
    <w:p w14:paraId="76A644B3" w14:textId="77777777" w:rsidR="0073188D" w:rsidRDefault="0073188D" w:rsidP="005C2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C212B"/>
    <w:multiLevelType w:val="multilevel"/>
    <w:tmpl w:val="733E89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AB65616"/>
    <w:multiLevelType w:val="multilevel"/>
    <w:tmpl w:val="919C7604"/>
    <w:lvl w:ilvl="0">
      <w:start w:val="1"/>
      <w:numFmt w:val="bullet"/>
      <w:lvlText w:val="▪"/>
      <w:lvlJc w:val="left"/>
      <w:pPr>
        <w:ind w:left="720" w:hanging="360"/>
      </w:pPr>
      <w:rPr>
        <w:rFonts w:ascii="Noto Sans Symbols" w:eastAsia="Noto Sans Symbols" w:hAnsi="Noto Sans Symbols" w:cs="Noto Sans Symbols"/>
        <w:color w:val="21252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00B1A"/>
    <w:multiLevelType w:val="multilevel"/>
    <w:tmpl w:val="15107F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332AF4"/>
    <w:multiLevelType w:val="multilevel"/>
    <w:tmpl w:val="13D88914"/>
    <w:lvl w:ilvl="0">
      <w:start w:val="1"/>
      <w:numFmt w:val="decimal"/>
      <w:lvlText w:val="%1)"/>
      <w:lvlJc w:val="left"/>
      <w:pPr>
        <w:ind w:left="410" w:hanging="360"/>
      </w:p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4" w15:restartNumberingAfterBreak="0">
    <w:nsid w:val="59BD5EDC"/>
    <w:multiLevelType w:val="multilevel"/>
    <w:tmpl w:val="E80008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D977C10"/>
    <w:multiLevelType w:val="multilevel"/>
    <w:tmpl w:val="6D98C4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E934EC7"/>
    <w:multiLevelType w:val="multilevel"/>
    <w:tmpl w:val="C28AC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172"/>
    <w:rsid w:val="00127BA6"/>
    <w:rsid w:val="002B3435"/>
    <w:rsid w:val="002E40E1"/>
    <w:rsid w:val="00330E22"/>
    <w:rsid w:val="00385D52"/>
    <w:rsid w:val="003F7279"/>
    <w:rsid w:val="004A634D"/>
    <w:rsid w:val="00505626"/>
    <w:rsid w:val="00555AEE"/>
    <w:rsid w:val="005C2825"/>
    <w:rsid w:val="006C2376"/>
    <w:rsid w:val="0073188D"/>
    <w:rsid w:val="0082627A"/>
    <w:rsid w:val="0098202D"/>
    <w:rsid w:val="00B21172"/>
    <w:rsid w:val="00B8046C"/>
    <w:rsid w:val="00B950D8"/>
    <w:rsid w:val="00C85589"/>
    <w:rsid w:val="00DB1537"/>
    <w:rsid w:val="00E40C78"/>
    <w:rsid w:val="00E8650D"/>
    <w:rsid w:val="00F851B9"/>
    <w:rsid w:val="00FA3038"/>
    <w:rsid w:val="00FD33EB"/>
    <w:rsid w:val="00FF4A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B27D"/>
  <w15:docId w15:val="{B2B3F250-F684-42A2-B6D2-D543350D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link w:val="Titolo2Carattere"/>
    <w:uiPriority w:val="9"/>
    <w:semiHidden/>
    <w:unhideWhenUsed/>
    <w:qFormat/>
    <w:rsid w:val="00856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D0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link w:val="Titolo5Carattere"/>
    <w:uiPriority w:val="9"/>
    <w:semiHidden/>
    <w:unhideWhenUsed/>
    <w:qFormat/>
    <w:rsid w:val="00856B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5Carattere">
    <w:name w:val="Titolo 5 Carattere"/>
    <w:basedOn w:val="Carpredefinitoparagrafo"/>
    <w:link w:val="Titolo5"/>
    <w:uiPriority w:val="9"/>
    <w:rsid w:val="00856B48"/>
    <w:rPr>
      <w:rFonts w:ascii="Times New Roman" w:eastAsia="Times New Roman" w:hAnsi="Times New Roman" w:cs="Times New Roman"/>
      <w:b/>
      <w:bCs/>
      <w:sz w:val="20"/>
      <w:szCs w:val="20"/>
      <w:lang w:eastAsia="pl-PL"/>
    </w:rPr>
  </w:style>
  <w:style w:type="character" w:styleId="Enfasigrassetto">
    <w:name w:val="Strong"/>
    <w:basedOn w:val="Carpredefinitoparagrafo"/>
    <w:uiPriority w:val="22"/>
    <w:qFormat/>
    <w:rsid w:val="00856B48"/>
    <w:rPr>
      <w:b/>
      <w:bCs/>
    </w:rPr>
  </w:style>
  <w:style w:type="character" w:customStyle="1" w:styleId="Titolo2Carattere">
    <w:name w:val="Titolo 2 Carattere"/>
    <w:basedOn w:val="Carpredefinitoparagrafo"/>
    <w:link w:val="Titolo2"/>
    <w:uiPriority w:val="9"/>
    <w:semiHidden/>
    <w:rsid w:val="00856B4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56B48"/>
    <w:pPr>
      <w:ind w:left="720"/>
      <w:contextualSpacing/>
    </w:pPr>
  </w:style>
  <w:style w:type="paragraph" w:styleId="NormaleWeb">
    <w:name w:val="Normal (Web)"/>
    <w:basedOn w:val="Normale"/>
    <w:uiPriority w:val="99"/>
    <w:semiHidden/>
    <w:unhideWhenUsed/>
    <w:rsid w:val="00AB6EE6"/>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5B1333"/>
    <w:rPr>
      <w:i/>
      <w:iCs/>
    </w:rPr>
  </w:style>
  <w:style w:type="paragraph" w:styleId="Testonotaapidipagina">
    <w:name w:val="footnote text"/>
    <w:basedOn w:val="Normale"/>
    <w:link w:val="TestonotaapidipaginaCarattere"/>
    <w:uiPriority w:val="99"/>
    <w:semiHidden/>
    <w:unhideWhenUsed/>
    <w:rsid w:val="00B34B4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34B42"/>
    <w:rPr>
      <w:sz w:val="20"/>
      <w:szCs w:val="20"/>
    </w:rPr>
  </w:style>
  <w:style w:type="character" w:styleId="Rimandonotaapidipagina">
    <w:name w:val="footnote reference"/>
    <w:basedOn w:val="Carpredefinitoparagrafo"/>
    <w:uiPriority w:val="99"/>
    <w:semiHidden/>
    <w:unhideWhenUsed/>
    <w:rsid w:val="00B34B42"/>
    <w:rPr>
      <w:vertAlign w:val="superscript"/>
    </w:rPr>
  </w:style>
  <w:style w:type="character" w:customStyle="1" w:styleId="Titolo3Carattere">
    <w:name w:val="Titolo 3 Carattere"/>
    <w:basedOn w:val="Carpredefinitoparagrafo"/>
    <w:link w:val="Titolo3"/>
    <w:uiPriority w:val="9"/>
    <w:rsid w:val="00CD0A21"/>
    <w:rPr>
      <w:rFonts w:asciiTheme="majorHAnsi" w:eastAsiaTheme="majorEastAsia" w:hAnsiTheme="majorHAnsi" w:cstheme="majorBidi"/>
      <w:color w:val="1F3763" w:themeColor="accent1" w:themeShade="7F"/>
      <w:sz w:val="24"/>
      <w:szCs w:val="24"/>
    </w:rPr>
  </w:style>
  <w:style w:type="paragraph" w:styleId="Bibliografia">
    <w:name w:val="Bibliography"/>
    <w:basedOn w:val="Normale"/>
    <w:next w:val="Normale"/>
    <w:uiPriority w:val="37"/>
    <w:unhideWhenUsed/>
    <w:rsid w:val="004C3586"/>
    <w:pPr>
      <w:tabs>
        <w:tab w:val="left" w:pos="504"/>
      </w:tabs>
      <w:spacing w:after="0" w:line="240" w:lineRule="auto"/>
      <w:ind w:left="504" w:hanging="504"/>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6F0357"/>
    <w:rPr>
      <w:color w:val="0000FF"/>
      <w:u w:val="single"/>
    </w:rPr>
  </w:style>
  <w:style w:type="character" w:styleId="Menzionenonrisolta">
    <w:name w:val="Unresolved Mention"/>
    <w:basedOn w:val="Carpredefinitoparagrafo"/>
    <w:uiPriority w:val="99"/>
    <w:semiHidden/>
    <w:unhideWhenUsed/>
    <w:rsid w:val="00EB280F"/>
    <w:rPr>
      <w:color w:val="605E5C"/>
      <w:shd w:val="clear" w:color="auto" w:fill="E1DFDD"/>
    </w:rPr>
  </w:style>
  <w:style w:type="paragraph" w:styleId="Didascalia">
    <w:name w:val="caption"/>
    <w:basedOn w:val="Normale"/>
    <w:next w:val="Normale"/>
    <w:uiPriority w:val="35"/>
    <w:unhideWhenUsed/>
    <w:qFormat/>
    <w:rsid w:val="00C22972"/>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5C28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2825"/>
  </w:style>
  <w:style w:type="paragraph" w:styleId="Pidipagina">
    <w:name w:val="footer"/>
    <w:basedOn w:val="Normale"/>
    <w:link w:val="PidipaginaCarattere"/>
    <w:uiPriority w:val="99"/>
    <w:unhideWhenUsed/>
    <w:rsid w:val="005C28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2825"/>
  </w:style>
  <w:style w:type="character" w:styleId="Testosegnaposto">
    <w:name w:val="Placeholder Text"/>
    <w:basedOn w:val="Carpredefinitoparagrafo"/>
    <w:uiPriority w:val="99"/>
    <w:semiHidden/>
    <w:rsid w:val="005C2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davoli1@campus.unimib.it" TargetMode="External"/><Relationship Id="rId4" Type="http://schemas.openxmlformats.org/officeDocument/2006/relationships/settings" Target="settings.xml"/><Relationship Id="rId9" Type="http://schemas.openxmlformats.org/officeDocument/2006/relationships/hyperlink" Target="mailto:g.nardi1@campus.unimib.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oAeiyfFHJOMyvGGkCqKRE9pIFw==">AMUW2mUJFhTPNNOrMcE5eD5AJfs0wYgcWAoZqHpOOn/vpW1nQxa0kO4dSfWjg+b1ney4OuSIdzMgGaVWJ72EAvv5lxjy5UYr1jexdMYIPdnyGMJu+RkbLH8=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3260</Words>
  <Characters>18583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davoli</dc:creator>
  <cp:lastModifiedBy>Giorgio Nardi</cp:lastModifiedBy>
  <cp:revision>19</cp:revision>
  <dcterms:created xsi:type="dcterms:W3CDTF">2021-01-31T22:42:00Z</dcterms:created>
  <dcterms:modified xsi:type="dcterms:W3CDTF">2021-02-03T16:51:00Z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id="yPbBcZtv"/&gt;&lt;style id="http://www.zotero.org/styles/american-chemical-society"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