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Noto Sans"/>
          <w:b/>
          <w:color w:val="16324F"/>
          <w:sz w:val="22"/>
        </w:rPr>
        <w:t>OPEN URBAN FRAMEWORK (OUF)</w:t>
      </w:r>
    </w:p>
    <w:p>
      <w:pPr>
        <w:jc w:val="center"/>
      </w:pPr>
      <w:r>
        <w:rPr>
          <w:rFonts w:ascii="Noto Sans" w:hAnsi="Noto Sans" w:eastAsia="Noto Sans"/>
          <w:b/>
          <w:color w:val="16324F"/>
          <w:sz w:val="38"/>
        </w:rPr>
        <w:t>SYSTEM INTEGRATION &amp; DEVELOPMENT BLUEPRINT</w:t>
      </w:r>
    </w:p>
    <w:p>
      <w:pPr>
        <w:jc w:val="center"/>
      </w:pPr>
      <w:r>
        <w:rPr>
          <w:rFonts w:ascii="Noto Sans" w:hAnsi="Noto Sans" w:eastAsia="Noto Sans"/>
          <w:b w:val="0"/>
          <w:color w:val="486581"/>
          <w:sz w:val="20"/>
        </w:rPr>
        <w:t>Coherence-aligned master baseline for integration, development, acceptance and delivery</w:t>
      </w:r>
    </w:p>
    <w:p>
      <w:pPr>
        <w:jc w:val="center"/>
      </w:pPr>
      <w:r>
        <w:rPr>
          <w:rFonts w:ascii="Noto Sans" w:hAnsi="Noto Sans" w:eastAsia="Noto Sans"/>
          <w:b/>
          <w:color w:val="6B1F1F"/>
          <w:sz w:val="18"/>
        </w:rPr>
        <w:t>Versione 0.3 — Coherence Remediation Baseline — Settembre 2026</w:t>
      </w:r>
    </w:p>
    <w:p/>
    <w:tbl>
      <w:tblPr>
        <w:tblW w:type="auto" w:w="0"/>
        <w:jc w:val="center"/>
        <w:tblLayout w:type="autofit"/>
        <w:tblLook w:firstColumn="1" w:firstRow="1" w:lastColumn="0" w:lastRow="0" w:noHBand="0" w:noVBand="1" w:val="04A0"/>
      </w:tblPr>
      <w:tblGrid>
        <w:gridCol w:w="10086"/>
      </w:tblGrid>
      <w:tr>
        <w:trPr>
          <w:tblHeader w:val="true"/>
        </w:trPr>
        <w:tc>
          <w:tcPr>
            <w:tcW w:type="dxa" w:w="10086"/>
            <w:shd w:fill="EAF2F8"/>
          </w:tcPr>
          <w:p>
            <w:r>
              <w:rPr>
                <w:rFonts w:ascii="Noto Sans" w:hAnsi="Noto Sans" w:eastAsia="Noto Sans"/>
                <w:b/>
                <w:color w:val="16324F"/>
                <w:sz w:val="18"/>
              </w:rPr>
              <w:t>This document supersedes Blueprint v0.1 on cross-module hierarchy, IAM gate timing, E2E namespace, MCP implementation planning and THS Protected Operations. PET bounded-context semantics remain authoritative.</w:t>
            </w:r>
          </w:p>
        </w:tc>
      </w:tr>
    </w:tbl>
    <w:p>
      <w:pPr>
        <w:pStyle w:val="Heading1"/>
      </w:pPr>
      <w:r>
        <w:rPr>
          <w:rFonts w:ascii="Noto Sans" w:hAnsi="Noto Sans" w:eastAsia="Noto Sans"/>
        </w:rPr>
        <w:t>1. Autorità, gerarchia e artifact precedence</w:t>
      </w:r>
    </w:p>
    <w:p>
      <w:r>
        <w:rPr>
          <w:rFonts w:ascii="Noto Sans" w:hAnsi="Noto Sans" w:eastAsia="Noto Sans"/>
          <w:b w:val="0"/>
          <w:sz w:val="18"/>
        </w:rPr>
        <w:t>The purpose of v0.3 is to preserve the v0.2 L0 architecture while aligning execution-artifact references to the Reality Baseline: contracts rc3-coherence, Starter Kit v0.2.1, E2E v0.3, WBS v0.4 Semantic Aligned and Readiness v1.2. It does not reopen module architecture.</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2F5D7E"/>
            <w:vAlign w:val="center"/>
          </w:tcPr>
          <w:p>
            <w:r>
              <w:rPr>
                <w:rFonts w:ascii="Noto Sans" w:hAnsi="Noto Sans" w:eastAsia="Noto Sans"/>
                <w:b/>
                <w:color w:val="FFFFFF"/>
                <w:sz w:val="16"/>
              </w:rPr>
              <w:t>Livello</w:t>
            </w:r>
          </w:p>
        </w:tc>
        <w:tc>
          <w:tcPr>
            <w:tcW w:type="dxa" w:w="3362"/>
            <w:shd w:fill="2F5D7E"/>
            <w:vAlign w:val="center"/>
          </w:tcPr>
          <w:p>
            <w:r>
              <w:rPr>
                <w:rFonts w:ascii="Noto Sans" w:hAnsi="Noto Sans" w:eastAsia="Noto Sans"/>
                <w:b/>
                <w:color w:val="FFFFFF"/>
                <w:sz w:val="16"/>
              </w:rPr>
              <w:t>Autorità</w:t>
            </w:r>
          </w:p>
        </w:tc>
        <w:tc>
          <w:tcPr>
            <w:tcW w:type="dxa" w:w="3362"/>
            <w:shd w:fill="2F5D7E"/>
            <w:vAlign w:val="center"/>
          </w:tcPr>
          <w:p>
            <w:r>
              <w:rPr>
                <w:rFonts w:ascii="Noto Sans" w:hAnsi="Noto Sans" w:eastAsia="Noto Sans"/>
                <w:b/>
                <w:color w:val="FFFFFF"/>
                <w:sz w:val="16"/>
              </w:rPr>
              <w:t>Regola di precedenza</w:t>
            </w:r>
          </w:p>
        </w:tc>
      </w:tr>
      <w:tr>
        <w:tc>
          <w:tcPr>
            <w:tcW w:type="dxa" w:w="3362"/>
            <w:vAlign w:val="top"/>
          </w:tcPr>
          <w:p>
            <w:r>
              <w:rPr>
                <w:rFonts w:ascii="Noto Sans" w:hAnsi="Noto Sans" w:eastAsia="Noto Sans"/>
                <w:b w:val="0"/>
                <w:sz w:val="16"/>
              </w:rPr>
              <w:t>L0</w:t>
            </w:r>
          </w:p>
        </w:tc>
        <w:tc>
          <w:tcPr>
            <w:tcW w:type="dxa" w:w="3362"/>
            <w:vAlign w:val="top"/>
          </w:tcPr>
          <w:p>
            <w:r>
              <w:rPr>
                <w:rFonts w:ascii="Noto Sans" w:hAnsi="Noto Sans" w:eastAsia="Noto Sans"/>
                <w:b w:val="0"/>
                <w:sz w:val="16"/>
              </w:rPr>
              <w:t>Blueprint v0.3 + Cross-Module Alignment Matrix v1.4</w:t>
            </w:r>
          </w:p>
        </w:tc>
        <w:tc>
          <w:tcPr>
            <w:tcW w:type="dxa" w:w="3362"/>
            <w:vAlign w:val="top"/>
          </w:tcPr>
          <w:p>
            <w:r>
              <w:rPr>
                <w:rFonts w:ascii="Noto Sans" w:hAnsi="Noto Sans" w:eastAsia="Noto Sans"/>
                <w:b w:val="0"/>
                <w:sz w:val="16"/>
              </w:rPr>
              <w:t>Authoritative for cross-module boundaries, gate timing, canonical E2E identifiers and artifact precedence.</w:t>
            </w:r>
          </w:p>
        </w:tc>
      </w:tr>
      <w:tr>
        <w:tc>
          <w:tcPr>
            <w:tcW w:type="dxa" w:w="3362"/>
            <w:vAlign w:val="top"/>
          </w:tcPr>
          <w:p>
            <w:r>
              <w:rPr>
                <w:rFonts w:ascii="Noto Sans" w:hAnsi="Noto Sans" w:eastAsia="Noto Sans"/>
                <w:b w:val="0"/>
                <w:sz w:val="16"/>
              </w:rPr>
              <w:t>L1</w:t>
            </w:r>
          </w:p>
        </w:tc>
        <w:tc>
          <w:tcPr>
            <w:tcW w:type="dxa" w:w="3362"/>
            <w:vAlign w:val="top"/>
          </w:tcPr>
          <w:p>
            <w:r>
              <w:rPr>
                <w:rFonts w:ascii="Noto Sans" w:hAnsi="Noto Sans" w:eastAsia="Noto Sans"/>
                <w:b w:val="0"/>
                <w:sz w:val="16"/>
              </w:rPr>
              <w:t>Module PET / Development Ready PET</w:t>
            </w:r>
          </w:p>
        </w:tc>
        <w:tc>
          <w:tcPr>
            <w:tcW w:type="dxa" w:w="3362"/>
            <w:vAlign w:val="top"/>
          </w:tcPr>
          <w:p>
            <w:r>
              <w:rPr>
                <w:rFonts w:ascii="Noto Sans" w:hAnsi="Noto Sans" w:eastAsia="Noto Sans"/>
                <w:b w:val="0"/>
                <w:sz w:val="16"/>
              </w:rPr>
              <w:t>Authoritative for bounded context, domain state, persistence, module APIs and internal runtime.</w:t>
            </w:r>
          </w:p>
        </w:tc>
      </w:tr>
      <w:tr>
        <w:tc>
          <w:tcPr>
            <w:tcW w:type="dxa" w:w="3362"/>
            <w:vAlign w:val="top"/>
          </w:tcPr>
          <w:p>
            <w:r>
              <w:rPr>
                <w:rFonts w:ascii="Noto Sans" w:hAnsi="Noto Sans" w:eastAsia="Noto Sans"/>
                <w:b w:val="0"/>
                <w:sz w:val="16"/>
              </w:rPr>
              <w:t>L2</w:t>
            </w:r>
          </w:p>
        </w:tc>
        <w:tc>
          <w:tcPr>
            <w:tcW w:type="dxa" w:w="3362"/>
            <w:vAlign w:val="top"/>
          </w:tcPr>
          <w:p>
            <w:r>
              <w:rPr>
                <w:rFonts w:ascii="Noto Sans" w:hAnsi="Noto Sans" w:eastAsia="Noto Sans"/>
              </w:rPr>
              <w:t>ouf-contracts v1.0.0-rc3-coherence + OUF_Contract_Publication_Maturity_v1_0.yaml</w:t>
            </w:r>
          </w:p>
        </w:tc>
        <w:tc>
          <w:tcPr>
            <w:tcW w:type="dxa" w:w="3362"/>
            <w:vAlign w:val="top"/>
          </w:tcPr>
          <w:p>
            <w:r>
              <w:rPr>
                <w:rFonts w:ascii="Noto Sans" w:hAnsi="Noto Sans" w:eastAsia="Noto Sans"/>
              </w:rPr>
              <w:t>Contract schemas remain the normative machine-readable definitions; the maturity overlay defines publication maturity only and does not change schema semantics.</w:t>
            </w:r>
          </w:p>
        </w:tc>
      </w:tr>
      <w:tr>
        <w:tc>
          <w:tcPr>
            <w:tcW w:type="dxa" w:w="3362"/>
            <w:vAlign w:val="top"/>
          </w:tcPr>
          <w:p>
            <w:r>
              <w:rPr>
                <w:rFonts w:ascii="Noto Sans" w:hAnsi="Noto Sans" w:eastAsia="Noto Sans"/>
                <w:b w:val="0"/>
                <w:sz w:val="16"/>
              </w:rPr>
              <w:t>L3</w:t>
            </w:r>
          </w:p>
        </w:tc>
        <w:tc>
          <w:tcPr>
            <w:tcW w:type="dxa" w:w="3362"/>
            <w:vAlign w:val="top"/>
          </w:tcPr>
          <w:p>
            <w:r>
              <w:rPr>
                <w:rFonts w:ascii="Noto Sans" w:hAnsi="Noto Sans" w:eastAsia="Noto Sans"/>
                <w:b w:val="0"/>
                <w:sz w:val="16"/>
              </w:rPr>
              <w:t>Starter Kit v0.2.1 / E2E v0.3 / WBS v0.4</w:t>
            </w:r>
          </w:p>
        </w:tc>
        <w:tc>
          <w:tcPr>
            <w:tcW w:type="dxa" w:w="3362"/>
            <w:vAlign w:val="top"/>
          </w:tcPr>
          <w:p>
            <w:r>
              <w:rPr>
                <w:rFonts w:ascii="Noto Sans" w:hAnsi="Noto Sans" w:eastAsia="Noto Sans"/>
                <w:b w:val="0"/>
                <w:sz w:val="16"/>
              </w:rPr>
              <w:t>Execution scaffolding, acceptance catalogue and delivery plan; must conform to L0-L2.</w:t>
            </w:r>
          </w:p>
        </w:tc>
      </w:tr>
      <w:tr>
        <w:tc>
          <w:tcPr>
            <w:tcW w:type="dxa" w:w="3362"/>
            <w:vAlign w:val="top"/>
          </w:tcPr>
          <w:p>
            <w:r>
              <w:rPr>
                <w:rFonts w:ascii="Noto Sans" w:hAnsi="Noto Sans" w:eastAsia="Noto Sans"/>
                <w:b w:val="0"/>
                <w:sz w:val="16"/>
              </w:rPr>
              <w:t>Historical</w:t>
            </w:r>
          </w:p>
        </w:tc>
        <w:tc>
          <w:tcPr>
            <w:tcW w:type="dxa" w:w="3362"/>
            <w:vAlign w:val="top"/>
          </w:tcPr>
          <w:p>
            <w:r>
              <w:rPr>
                <w:rFonts w:ascii="Noto Sans" w:hAnsi="Noto Sans" w:eastAsia="Noto Sans"/>
                <w:b w:val="0"/>
                <w:sz w:val="16"/>
              </w:rPr>
              <w:t>Older matrices/reports/Blueprint v0.1</w:t>
            </w:r>
          </w:p>
        </w:tc>
        <w:tc>
          <w:tcPr>
            <w:tcW w:type="dxa" w:w="3362"/>
            <w:vAlign w:val="top"/>
          </w:tcPr>
          <w:p>
            <w:r>
              <w:rPr>
                <w:rFonts w:ascii="Noto Sans" w:hAnsi="Noto Sans" w:eastAsia="Noto Sans"/>
                <w:b w:val="0"/>
                <w:sz w:val="16"/>
              </w:rPr>
              <w:t>Traceability only unless explicitly referenced by a current mapping.</w:t>
            </w:r>
          </w:p>
        </w:tc>
      </w:tr>
    </w:tbl>
    <w:p>
      <w:pPr>
        <w:pStyle w:val="ListBullet"/>
      </w:pPr>
      <w:r>
        <w:rPr>
          <w:rFonts w:ascii="Noto Sans" w:hAnsi="Noto Sans" w:eastAsia="Noto Sans"/>
          <w:b w:val="0"/>
          <w:sz w:val="18"/>
        </w:rPr>
        <w:t>Ingestion Runtime v1.2 remains the documentation/completeness gold standard, not a functional template for every module.</w:t>
      </w:r>
    </w:p>
    <w:p>
      <w:pPr>
        <w:pStyle w:val="ListBullet"/>
      </w:pPr>
      <w:r>
        <w:rPr>
          <w:rFonts w:ascii="Noto Sans" w:hAnsi="Noto Sans" w:eastAsia="Noto Sans"/>
          <w:b w:val="0"/>
          <w:sz w:val="18"/>
        </w:rPr>
        <w:t>MCP Server v1.1 is a frozen implementation specification. The coherence pass does not redesign it; it must still be implemented and accepted.</w:t>
      </w:r>
    </w:p>
    <w:p>
      <w:pPr>
        <w:pStyle w:val="ListBullet"/>
      </w:pPr>
      <w:r>
        <w:rPr>
          <w:rFonts w:ascii="Noto Sans" w:hAnsi="Noto Sans" w:eastAsia="Noto Sans"/>
          <w:b w:val="0"/>
          <w:sz w:val="18"/>
        </w:rPr>
        <w:t>OUF does not introduce an internal Agent/LLM runtime. External agents access typed capabilities only through MCP/Gateway boundaries.</w:t>
      </w:r>
    </w:p>
    <w:p>
      <w:pPr>
        <w:pStyle w:val="ListBullet"/>
      </w:pPr>
      <w:r>
        <w:rPr>
          <w:rFonts w:ascii="Noto Sans" w:hAnsi="Noto Sans" w:eastAsia="Noto Sans"/>
          <w:b w:val="0"/>
          <w:sz w:val="18"/>
        </w:rPr>
        <w:t>No mandatory broker, graph DB, vector DB, workflow engine or service mesh is introduced without a measured Technology Economy Gate.</w:t>
      </w:r>
    </w:p>
    <w:p>
      <w:pPr>
        <w:pStyle w:val="Heading1"/>
      </w:pPr>
      <w:r>
        <w:rPr>
          <w:rFonts w:ascii="Noto Sans" w:hAnsi="Noto Sans" w:eastAsia="Noto Sans"/>
        </w:rPr>
        <w:t>2. Current baseline artifacts</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2F5D7E"/>
            <w:vAlign w:val="center"/>
          </w:tcPr>
          <w:p>
            <w:r>
              <w:rPr>
                <w:rFonts w:ascii="Noto Sans" w:hAnsi="Noto Sans" w:eastAsia="Noto Sans"/>
                <w:b/>
                <w:color w:val="FFFFFF"/>
                <w:sz w:val="16"/>
              </w:rPr>
              <w:t>Artifact</w:t>
            </w:r>
          </w:p>
        </w:tc>
        <w:tc>
          <w:tcPr>
            <w:tcW w:type="dxa" w:w="3362"/>
            <w:shd w:fill="2F5D7E"/>
            <w:vAlign w:val="center"/>
          </w:tcPr>
          <w:p>
            <w:r>
              <w:rPr>
                <w:rFonts w:ascii="Noto Sans" w:hAnsi="Noto Sans" w:eastAsia="Noto Sans"/>
                <w:b/>
                <w:color w:val="FFFFFF"/>
                <w:sz w:val="16"/>
              </w:rPr>
              <w:t>Current baseline</w:t>
            </w:r>
          </w:p>
        </w:tc>
        <w:tc>
          <w:tcPr>
            <w:tcW w:type="dxa" w:w="3362"/>
            <w:shd w:fill="2F5D7E"/>
            <w:vAlign w:val="center"/>
          </w:tcPr>
          <w:p>
            <w:r>
              <w:rPr>
                <w:rFonts w:ascii="Noto Sans" w:hAnsi="Noto Sans" w:eastAsia="Noto Sans"/>
                <w:b/>
                <w:color w:val="FFFFFF"/>
                <w:sz w:val="16"/>
              </w:rPr>
              <w:t>Status</w:t>
            </w:r>
          </w:p>
        </w:tc>
      </w:tr>
      <w:tr>
        <w:tc>
          <w:tcPr>
            <w:tcW w:type="dxa" w:w="3362"/>
            <w:vAlign w:val="top"/>
          </w:tcPr>
          <w:p>
            <w:r>
              <w:rPr>
                <w:rFonts w:ascii="Noto Sans" w:hAnsi="Noto Sans" w:eastAsia="Noto Sans"/>
                <w:b w:val="0"/>
                <w:sz w:val="16"/>
              </w:rPr>
              <w:t>Common contracts</w:t>
            </w:r>
          </w:p>
        </w:tc>
        <w:tc>
          <w:tcPr>
            <w:tcW w:type="dxa" w:w="3362"/>
            <w:vAlign w:val="top"/>
          </w:tcPr>
          <w:p>
            <w:r>
              <w:rPr>
                <w:rFonts w:ascii="Noto Sans" w:hAnsi="Noto Sans" w:eastAsia="Noto Sans"/>
              </w:rPr>
              <w:t>ouf-contracts-v1.0.0-rc3-coherence + OUF_Contract_Publication_Maturity_v1_0.yaml</w:t>
            </w:r>
          </w:p>
        </w:tc>
        <w:tc>
          <w:tcPr>
            <w:tcW w:type="dxa" w:w="3362"/>
            <w:vAlign w:val="top"/>
          </w:tcPr>
          <w:p>
            <w:r>
              <w:rPr>
                <w:rFonts w:ascii="Noto Sans" w:hAnsi="Noto Sans" w:eastAsia="Noto Sans"/>
              </w:rPr>
              <w:t>Publication maturity is uniformly INTERNAL_FREEZE_ELIGIBLE_RC; legacy status/x-ouf-status values are reconciliationState only. No contract schema semantic change.</w:t>
            </w:r>
          </w:p>
        </w:tc>
      </w:tr>
      <w:tr>
        <w:tc>
          <w:tcPr>
            <w:tcW w:type="dxa" w:w="3362"/>
            <w:vAlign w:val="top"/>
          </w:tcPr>
          <w:p>
            <w:r>
              <w:rPr>
                <w:rFonts w:ascii="Noto Sans" w:hAnsi="Noto Sans" w:eastAsia="Noto Sans"/>
                <w:b w:val="0"/>
                <w:sz w:val="16"/>
              </w:rPr>
              <w:t>Starter Kit</w:t>
            </w:r>
          </w:p>
        </w:tc>
        <w:tc>
          <w:tcPr>
            <w:tcW w:type="dxa" w:w="3362"/>
            <w:vAlign w:val="top"/>
          </w:tcPr>
          <w:p>
            <w:r>
              <w:rPr>
                <w:rFonts w:ascii="Noto Sans" w:hAnsi="Noto Sans" w:eastAsia="Noto Sans"/>
                <w:b w:val="0"/>
                <w:sz w:val="16"/>
              </w:rPr>
              <w:t>ouf-development-starter-kit-v0.2.1</w:t>
            </w:r>
          </w:p>
        </w:tc>
        <w:tc>
          <w:tcPr>
            <w:tcW w:type="dxa" w:w="3362"/>
            <w:vAlign w:val="top"/>
          </w:tcPr>
          <w:p>
            <w:r>
              <w:rPr>
                <w:rFonts w:ascii="Noto Sans" w:hAnsi="Noto Sans" w:eastAsia="Noto Sans"/>
                <w:b w:val="0"/>
                <w:sz w:val="16"/>
              </w:rPr>
              <w:t>Common build/CI/Helm/observability baseline; target CI must run helm lint/template.</w:t>
            </w:r>
          </w:p>
        </w:tc>
      </w:tr>
      <w:tr>
        <w:tc>
          <w:tcPr>
            <w:tcW w:type="dxa" w:w="3362"/>
            <w:vAlign w:val="top"/>
          </w:tcPr>
          <w:p>
            <w:r>
              <w:rPr>
                <w:rFonts w:ascii="Noto Sans" w:hAnsi="Noto Sans" w:eastAsia="Noto Sans"/>
                <w:b w:val="0"/>
                <w:sz w:val="16"/>
              </w:rPr>
              <w:t>E2E Integration Specification</w:t>
            </w:r>
          </w:p>
        </w:tc>
        <w:tc>
          <w:tcPr>
            <w:tcW w:type="dxa" w:w="3362"/>
            <w:vAlign w:val="top"/>
          </w:tcPr>
          <w:p>
            <w:r>
              <w:rPr>
                <w:rFonts w:ascii="Noto Sans" w:hAnsi="Noto Sans" w:eastAsia="Noto Sans"/>
                <w:b w:val="0"/>
                <w:sz w:val="16"/>
              </w:rPr>
              <w:t>ouf-e2e-integration-spec-v0.3</w:t>
            </w:r>
          </w:p>
        </w:tc>
        <w:tc>
          <w:tcPr>
            <w:tcW w:type="dxa" w:w="3362"/>
            <w:vAlign w:val="top"/>
          </w:tcPr>
          <w:p>
            <w:r>
              <w:rPr>
                <w:rFonts w:ascii="Noto Sans" w:hAnsi="Noto Sans" w:eastAsia="Noto Sans"/>
                <w:b w:val="0"/>
                <w:sz w:val="16"/>
              </w:rPr>
              <w:t>Canonical OUF-E2E-001…025 namespace with frozen XMA/MCP/THS traceability.</w:t>
            </w:r>
          </w:p>
        </w:tc>
      </w:tr>
      <w:tr>
        <w:tc>
          <w:tcPr>
            <w:tcW w:type="dxa" w:w="3362"/>
            <w:vAlign w:val="top"/>
          </w:tcPr>
          <w:p>
            <w:r>
              <w:rPr>
                <w:rFonts w:ascii="Noto Sans" w:hAnsi="Noto Sans" w:eastAsia="Noto Sans"/>
                <w:b w:val="0"/>
                <w:sz w:val="16"/>
              </w:rPr>
              <w:t>Development Plan</w:t>
            </w:r>
          </w:p>
        </w:tc>
        <w:tc>
          <w:tcPr>
            <w:tcW w:type="dxa" w:w="3362"/>
            <w:vAlign w:val="top"/>
          </w:tcPr>
          <w:p>
            <w:r>
              <w:rPr>
                <w:rFonts w:ascii="Noto Sans" w:hAnsi="Noto Sans" w:eastAsia="Noto Sans"/>
                <w:b w:val="0"/>
                <w:sz w:val="16"/>
              </w:rPr>
              <w:t>OUF_Development_Execution_Plan_WBS_v0_4_Semantic_Aligned.xlsx</w:t>
            </w:r>
          </w:p>
        </w:tc>
        <w:tc>
          <w:tcPr>
            <w:tcW w:type="dxa" w:w="3362"/>
            <w:vAlign w:val="top"/>
          </w:tcPr>
          <w:p>
            <w:r>
              <w:rPr>
                <w:rFonts w:ascii="Noto Sans" w:hAnsi="Noto Sans" w:eastAsia="Noto Sans"/>
                <w:b w:val="0"/>
                <w:sz w:val="16"/>
              </w:rPr>
              <w:t>Includes MCP stream and THS Protected Operations; no future-wave dependency inversions.</w:t>
            </w:r>
          </w:p>
        </w:tc>
      </w:tr>
      <w:tr>
        <w:tc>
          <w:tcPr>
            <w:tcW w:type="dxa" w:w="3362"/>
            <w:vAlign w:val="top"/>
          </w:tcPr>
          <w:p>
            <w:r>
              <w:rPr>
                <w:rFonts w:ascii="Noto Sans" w:hAnsi="Noto Sans" w:eastAsia="Noto Sans"/>
                <w:b w:val="0"/>
                <w:sz w:val="16"/>
              </w:rPr>
              <w:t>Readiness Matrix</w:t>
            </w:r>
          </w:p>
        </w:tc>
        <w:tc>
          <w:tcPr>
            <w:tcW w:type="dxa" w:w="3362"/>
            <w:vAlign w:val="top"/>
          </w:tcPr>
          <w:p>
            <w:r>
              <w:rPr>
                <w:rFonts w:ascii="Noto Sans" w:hAnsi="Noto Sans" w:eastAsia="Noto Sans"/>
                <w:b w:val="0"/>
                <w:sz w:val="16"/>
              </w:rPr>
              <w:t>OUF_Final_Implementation_Readiness_Matrix_v1_2.xlsx</w:t>
            </w:r>
          </w:p>
        </w:tc>
        <w:tc>
          <w:tcPr>
            <w:tcW w:type="dxa" w:w="3362"/>
            <w:vAlign w:val="top"/>
          </w:tcPr>
          <w:p>
            <w:r>
              <w:rPr>
                <w:rFonts w:ascii="Noto Sans" w:hAnsi="Noto Sans" w:eastAsia="Noto Sans"/>
                <w:b w:val="0"/>
                <w:sz w:val="16"/>
              </w:rPr>
              <w:t>Includes MCP and layered platform-gate timing.</w:t>
            </w:r>
          </w:p>
        </w:tc>
      </w:tr>
    </w:tbl>
    <w:p>
      <w:pPr>
        <w:pStyle w:val="Heading1"/>
      </w:pPr>
      <w:r>
        <w:rPr>
          <w:rFonts w:ascii="Noto Sans" w:hAnsi="Noto Sans" w:eastAsia="Noto Sans"/>
        </w:rPr>
        <w:t>3. Platform identity and external gate model</w:t>
      </w:r>
    </w:p>
    <w:p>
      <w:r>
        <w:rPr>
          <w:rFonts w:ascii="Noto Sans" w:hAnsi="Noto Sans" w:eastAsia="Noto Sans"/>
          <w:b w:val="0"/>
          <w:sz w:val="18"/>
        </w:rPr>
        <w:t>Scenario A/B/C is deliberately unresolved. This is not an application-code blocker. The logical integration contract freezes what any selected identity authority must supply, while concrete issuer ownership/topology remains an external platform binding.</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2521"/>
            <w:shd w:fill="2F5D7E"/>
            <w:vAlign w:val="center"/>
          </w:tcPr>
          <w:p>
            <w:r>
              <w:rPr>
                <w:rFonts w:ascii="Noto Sans" w:hAnsi="Noto Sans" w:eastAsia="Noto Sans"/>
                <w:b/>
                <w:color w:val="FFFFFF"/>
                <w:sz w:val="16"/>
              </w:rPr>
              <w:t>Layer</w:t>
            </w:r>
          </w:p>
        </w:tc>
        <w:tc>
          <w:tcPr>
            <w:tcW w:type="dxa" w:w="2521"/>
            <w:shd w:fill="2F5D7E"/>
            <w:vAlign w:val="center"/>
          </w:tcPr>
          <w:p>
            <w:r>
              <w:rPr>
                <w:rFonts w:ascii="Noto Sans" w:hAnsi="Noto Sans" w:eastAsia="Noto Sans"/>
                <w:b/>
                <w:color w:val="FFFFFF"/>
                <w:sz w:val="16"/>
              </w:rPr>
              <w:t>A/B/C required?</w:t>
            </w:r>
          </w:p>
        </w:tc>
        <w:tc>
          <w:tcPr>
            <w:tcW w:type="dxa" w:w="2521"/>
            <w:shd w:fill="2F5D7E"/>
            <w:vAlign w:val="center"/>
          </w:tcPr>
          <w:p>
            <w:r>
              <w:rPr>
                <w:rFonts w:ascii="Noto Sans" w:hAnsi="Noto Sans" w:eastAsia="Noto Sans"/>
                <w:b/>
                <w:color w:val="FFFFFF"/>
                <w:sz w:val="16"/>
              </w:rPr>
              <w:t>Permitted binding model</w:t>
            </w:r>
          </w:p>
        </w:tc>
        <w:tc>
          <w:tcPr>
            <w:tcW w:type="dxa" w:w="2521"/>
            <w:shd w:fill="2F5D7E"/>
            <w:vAlign w:val="center"/>
          </w:tcPr>
          <w:p>
            <w:r>
              <w:rPr>
                <w:rFonts w:ascii="Noto Sans" w:hAnsi="Noto Sans" w:eastAsia="Noto Sans"/>
                <w:b/>
                <w:color w:val="FFFFFF"/>
                <w:sz w:val="16"/>
              </w:rPr>
              <w:t>Exit</w:t>
            </w:r>
          </w:p>
        </w:tc>
      </w:tr>
      <w:tr>
        <w:tc>
          <w:tcPr>
            <w:tcW w:type="dxa" w:w="2521"/>
            <w:vAlign w:val="top"/>
          </w:tcPr>
          <w:p>
            <w:r>
              <w:rPr>
                <w:rFonts w:ascii="Noto Sans" w:hAnsi="Noto Sans" w:eastAsia="Noto Sans"/>
                <w:b w:val="0"/>
                <w:sz w:val="16"/>
              </w:rPr>
              <w:t>Contract CI</w:t>
            </w:r>
          </w:p>
        </w:tc>
        <w:tc>
          <w:tcPr>
            <w:tcW w:type="dxa" w:w="2521"/>
            <w:vAlign w:val="top"/>
          </w:tcPr>
          <w:p>
            <w:r>
              <w:rPr>
                <w:rFonts w:ascii="Noto Sans" w:hAnsi="Noto Sans" w:eastAsia="Noto Sans"/>
                <w:b w:val="0"/>
                <w:sz w:val="16"/>
              </w:rPr>
              <w:t>No</w:t>
            </w:r>
          </w:p>
        </w:tc>
        <w:tc>
          <w:tcPr>
            <w:tcW w:type="dxa" w:w="2521"/>
            <w:vAlign w:val="top"/>
          </w:tcPr>
          <w:p>
            <w:r>
              <w:rPr>
                <w:rFonts w:ascii="Noto Sans" w:hAnsi="Noto Sans" w:eastAsia="Noto Sans"/>
                <w:b w:val="0"/>
                <w:sz w:val="16"/>
              </w:rPr>
              <w:t>Two scenario-neutral mock identity profiles; immutable PrincipalContext semantics</w:t>
            </w:r>
          </w:p>
        </w:tc>
        <w:tc>
          <w:tcPr>
            <w:tcW w:type="dxa" w:w="2521"/>
            <w:vAlign w:val="top"/>
          </w:tcPr>
          <w:p>
            <w:r>
              <w:rPr>
                <w:rFonts w:ascii="Noto Sans" w:hAnsi="Noto Sans" w:eastAsia="Noto Sans"/>
                <w:b w:val="0"/>
                <w:sz w:val="16"/>
              </w:rPr>
              <w:t>Schema/projection/negative tests pass.</w:t>
            </w:r>
          </w:p>
        </w:tc>
      </w:tr>
      <w:tr>
        <w:tc>
          <w:tcPr>
            <w:tcW w:type="dxa" w:w="2521"/>
            <w:vAlign w:val="top"/>
          </w:tcPr>
          <w:p>
            <w:r>
              <w:rPr>
                <w:rFonts w:ascii="Noto Sans" w:hAnsi="Noto Sans" w:eastAsia="Noto Sans"/>
                <w:b w:val="0"/>
                <w:sz w:val="16"/>
              </w:rPr>
              <w:t>Integration environment</w:t>
            </w:r>
          </w:p>
        </w:tc>
        <w:tc>
          <w:tcPr>
            <w:tcW w:type="dxa" w:w="2521"/>
            <w:vAlign w:val="top"/>
          </w:tcPr>
          <w:p>
            <w:r>
              <w:rPr>
                <w:rFonts w:ascii="Noto Sans" w:hAnsi="Noto Sans" w:eastAsia="Noto Sans"/>
                <w:b w:val="0"/>
                <w:sz w:val="16"/>
              </w:rPr>
              <w:t>No</w:t>
            </w:r>
          </w:p>
        </w:tc>
        <w:tc>
          <w:tcPr>
            <w:tcW w:type="dxa" w:w="2521"/>
            <w:vAlign w:val="top"/>
          </w:tcPr>
          <w:p>
            <w:r>
              <w:rPr>
                <w:rFonts w:ascii="Noto Sans" w:hAnsi="Noto Sans" w:eastAsia="Noto Sans"/>
                <w:b w:val="0"/>
                <w:sz w:val="16"/>
              </w:rPr>
              <w:t>Mock provider + logical endpoint/secret/storage references</w:t>
            </w:r>
          </w:p>
        </w:tc>
        <w:tc>
          <w:tcPr>
            <w:tcW w:type="dxa" w:w="2521"/>
            <w:vAlign w:val="top"/>
          </w:tcPr>
          <w:p>
            <w:r>
              <w:rPr>
                <w:rFonts w:ascii="Noto Sans" w:hAnsi="Noto Sans" w:eastAsia="Noto Sans"/>
                <w:b w:val="0"/>
                <w:sz w:val="16"/>
              </w:rPr>
              <w:t>Cross-module capability flows and security behavior pass.</w:t>
            </w:r>
          </w:p>
        </w:tc>
      </w:tr>
      <w:tr>
        <w:tc>
          <w:tcPr>
            <w:tcW w:type="dxa" w:w="2521"/>
            <w:vAlign w:val="top"/>
          </w:tcPr>
          <w:p>
            <w:r>
              <w:rPr>
                <w:rFonts w:ascii="Noto Sans" w:hAnsi="Noto Sans" w:eastAsia="Noto Sans"/>
                <w:b w:val="0"/>
                <w:sz w:val="16"/>
              </w:rPr>
              <w:t>Representative acceptance</w:t>
            </w:r>
          </w:p>
        </w:tc>
        <w:tc>
          <w:tcPr>
            <w:tcW w:type="dxa" w:w="2521"/>
            <w:vAlign w:val="top"/>
          </w:tcPr>
          <w:p>
            <w:r>
              <w:rPr>
                <w:rFonts w:ascii="Noto Sans" w:hAnsi="Noto Sans" w:eastAsia="Noto Sans"/>
                <w:b w:val="0"/>
                <w:sz w:val="16"/>
              </w:rPr>
              <w:t>Yes: actual selected/configured binding</w:t>
            </w:r>
          </w:p>
        </w:tc>
        <w:tc>
          <w:tcPr>
            <w:tcW w:type="dxa" w:w="2521"/>
            <w:vAlign w:val="top"/>
          </w:tcPr>
          <w:p>
            <w:r>
              <w:rPr>
                <w:rFonts w:ascii="Noto Sans" w:hAnsi="Noto Sans" w:eastAsia="Noto Sans"/>
                <w:b w:val="0"/>
                <w:sz w:val="16"/>
              </w:rPr>
              <w:t>Real issuer/JWKS/audiences/claim mapping, service identity lifecycle, routes, PKI, storage, recovery profile</w:t>
            </w:r>
          </w:p>
        </w:tc>
        <w:tc>
          <w:tcPr>
            <w:tcW w:type="dxa" w:w="2521"/>
            <w:vAlign w:val="top"/>
          </w:tcPr>
          <w:p>
            <w:r>
              <w:rPr>
                <w:rFonts w:ascii="Noto Sans" w:hAnsi="Noto Sans" w:eastAsia="Noto Sans"/>
                <w:b w:val="0"/>
                <w:sz w:val="16"/>
              </w:rPr>
              <w:t>Mandatory E2E and operational evidence pass.</w:t>
            </w:r>
          </w:p>
        </w:tc>
      </w:tr>
      <w:tr>
        <w:tc>
          <w:tcPr>
            <w:tcW w:type="dxa" w:w="2521"/>
            <w:vAlign w:val="top"/>
          </w:tcPr>
          <w:p>
            <w:r>
              <w:rPr>
                <w:rFonts w:ascii="Noto Sans" w:hAnsi="Noto Sans" w:eastAsia="Noto Sans"/>
                <w:b w:val="0"/>
                <w:sz w:val="16"/>
              </w:rPr>
              <w:t>Production</w:t>
            </w:r>
          </w:p>
        </w:tc>
        <w:tc>
          <w:tcPr>
            <w:tcW w:type="dxa" w:w="2521"/>
            <w:vAlign w:val="top"/>
          </w:tcPr>
          <w:p>
            <w:r>
              <w:rPr>
                <w:rFonts w:ascii="Noto Sans" w:hAnsi="Noto Sans" w:eastAsia="Noto Sans"/>
                <w:b w:val="0"/>
                <w:sz w:val="16"/>
              </w:rPr>
              <w:t>Yes</w:t>
            </w:r>
          </w:p>
        </w:tc>
        <w:tc>
          <w:tcPr>
            <w:tcW w:type="dxa" w:w="2521"/>
            <w:vAlign w:val="top"/>
          </w:tcPr>
          <w:p>
            <w:r>
              <w:rPr>
                <w:rFonts w:ascii="Noto Sans" w:hAnsi="Noto Sans" w:eastAsia="Noto Sans"/>
                <w:b w:val="0"/>
                <w:sz w:val="16"/>
              </w:rPr>
              <w:t>Approved platform bindings only</w:t>
            </w:r>
          </w:p>
        </w:tc>
        <w:tc>
          <w:tcPr>
            <w:tcW w:type="dxa" w:w="2521"/>
            <w:vAlign w:val="top"/>
          </w:tcPr>
          <w:p>
            <w:r>
              <w:rPr>
                <w:rFonts w:ascii="Noto Sans" w:hAnsi="Noto Sans" w:eastAsia="Noto Sans"/>
                <w:b w:val="0"/>
                <w:sz w:val="16"/>
              </w:rPr>
              <w:t>Release governance and operations sign-off.</w:t>
            </w:r>
          </w:p>
        </w:tc>
      </w:tr>
    </w:tbl>
    <w:p>
      <w:pPr>
        <w:pStyle w:val="ListBullet"/>
      </w:pPr>
      <w:r>
        <w:rPr>
          <w:rFonts w:ascii="Noto Sans" w:hAnsi="Noto Sans" w:eastAsia="Noto Sans"/>
          <w:b w:val="0"/>
          <w:sz w:val="18"/>
        </w:rPr>
        <w:t>No application module may branch on the labels A, B or C.</w:t>
      </w:r>
    </w:p>
    <w:p>
      <w:pPr>
        <w:pStyle w:val="ListBullet"/>
      </w:pPr>
      <w:r>
        <w:rPr>
          <w:rFonts w:ascii="Noto Sans" w:hAnsi="Noto Sans" w:eastAsia="Noto Sans"/>
          <w:b w:val="0"/>
          <w:sz w:val="18"/>
        </w:rPr>
        <w:t>actorType is derived from validated identity/trust configuration, never from request payload.</w:t>
      </w:r>
    </w:p>
    <w:p>
      <w:pPr>
        <w:pStyle w:val="ListBullet"/>
      </w:pPr>
      <w:r>
        <w:rPr>
          <w:rFonts w:ascii="Noto Sans" w:hAnsi="Noto Sans" w:eastAsia="Noto Sans"/>
          <w:b w:val="0"/>
          <w:sz w:val="18"/>
        </w:rPr>
        <w:t>Service identities never satisfy HUMAN_USER approval guards.</w:t>
      </w:r>
    </w:p>
    <w:p>
      <w:pPr>
        <w:pStyle w:val="ListBullet"/>
      </w:pPr>
      <w:r>
        <w:rPr>
          <w:rFonts w:ascii="Noto Sans" w:hAnsi="Noto Sans" w:eastAsia="Noto Sans"/>
          <w:b w:val="0"/>
          <w:sz w:val="18"/>
        </w:rPr>
        <w:t>Issuer/JWKS/audience/claim names, client provisioning and credential rotation are environment/platform concerns.</w:t>
      </w:r>
    </w:p>
    <w:p>
      <w:pPr>
        <w:pStyle w:val="Heading1"/>
      </w:pPr>
      <w:r>
        <w:rPr>
          <w:rFonts w:ascii="Noto Sans" w:hAnsi="Noto Sans" w:eastAsia="Noto Sans"/>
        </w:rPr>
        <w:t>4. Trust boundaries and ownership</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2F5D7E"/>
            <w:vAlign w:val="center"/>
          </w:tcPr>
          <w:p>
            <w:r>
              <w:rPr>
                <w:rFonts w:ascii="Noto Sans" w:hAnsi="Noto Sans" w:eastAsia="Noto Sans"/>
                <w:b/>
                <w:color w:val="FFFFFF"/>
                <w:sz w:val="16"/>
              </w:rPr>
              <w:t>Boundary</w:t>
            </w:r>
          </w:p>
        </w:tc>
        <w:tc>
          <w:tcPr>
            <w:tcW w:type="dxa" w:w="3362"/>
            <w:shd w:fill="2F5D7E"/>
            <w:vAlign w:val="center"/>
          </w:tcPr>
          <w:p>
            <w:r>
              <w:rPr>
                <w:rFonts w:ascii="Noto Sans" w:hAnsi="Noto Sans" w:eastAsia="Noto Sans"/>
                <w:b/>
                <w:color w:val="FFFFFF"/>
                <w:sz w:val="16"/>
              </w:rPr>
              <w:t>Normative path</w:t>
            </w:r>
          </w:p>
        </w:tc>
        <w:tc>
          <w:tcPr>
            <w:tcW w:type="dxa" w:w="3362"/>
            <w:shd w:fill="2F5D7E"/>
            <w:vAlign w:val="center"/>
          </w:tcPr>
          <w:p>
            <w:r>
              <w:rPr>
                <w:rFonts w:ascii="Noto Sans" w:hAnsi="Noto Sans" w:eastAsia="Noto Sans"/>
                <w:b/>
                <w:color w:val="FFFFFF"/>
                <w:sz w:val="16"/>
              </w:rPr>
              <w:t>Owner rule</w:t>
            </w:r>
          </w:p>
        </w:tc>
      </w:tr>
      <w:tr>
        <w:tc>
          <w:tcPr>
            <w:tcW w:type="dxa" w:w="3362"/>
            <w:vAlign w:val="top"/>
          </w:tcPr>
          <w:p>
            <w:r>
              <w:rPr>
                <w:rFonts w:ascii="Noto Sans" w:hAnsi="Noto Sans" w:eastAsia="Noto Sans"/>
                <w:b w:val="0"/>
                <w:sz w:val="16"/>
              </w:rPr>
              <w:t>Human authority</w:t>
            </w:r>
          </w:p>
        </w:tc>
        <w:tc>
          <w:tcPr>
            <w:tcW w:type="dxa" w:w="3362"/>
            <w:vAlign w:val="top"/>
          </w:tcPr>
          <w:p>
            <w:r>
              <w:rPr>
                <w:rFonts w:ascii="Noto Sans" w:hAnsi="Noto Sans" w:eastAsia="Noto Sans"/>
                <w:b w:val="0"/>
                <w:sz w:val="16"/>
              </w:rPr>
              <w:t>HUMAN_USER browser -&gt; Gateway -&gt; THS -&gt; backend owner</w:t>
            </w:r>
          </w:p>
        </w:tc>
        <w:tc>
          <w:tcPr>
            <w:tcW w:type="dxa" w:w="3362"/>
            <w:vAlign w:val="top"/>
          </w:tcPr>
          <w:p>
            <w:r>
              <w:rPr>
                <w:rFonts w:ascii="Noto Sans" w:hAnsi="Noto Sans" w:eastAsia="Noto Sans"/>
                <w:b w:val="0"/>
                <w:sz w:val="16"/>
              </w:rPr>
              <w:t>Trusted Approval Workspace and Protected Operations Workspace are THS bounded contexts; backend owner revalidates authoritative decisions.</w:t>
            </w:r>
          </w:p>
        </w:tc>
      </w:tr>
      <w:tr>
        <w:tc>
          <w:tcPr>
            <w:tcW w:type="dxa" w:w="3362"/>
            <w:vAlign w:val="top"/>
          </w:tcPr>
          <w:p>
            <w:r>
              <w:rPr>
                <w:rFonts w:ascii="Noto Sans" w:hAnsi="Noto Sans" w:eastAsia="Noto Sans"/>
                <w:b w:val="0"/>
                <w:sz w:val="16"/>
              </w:rPr>
              <w:t>External agent</w:t>
            </w:r>
          </w:p>
        </w:tc>
        <w:tc>
          <w:tcPr>
            <w:tcW w:type="dxa" w:w="3362"/>
            <w:vAlign w:val="top"/>
          </w:tcPr>
          <w:p>
            <w:r>
              <w:rPr>
                <w:rFonts w:ascii="Noto Sans" w:hAnsi="Noto Sans" w:eastAsia="Noto Sans"/>
                <w:b w:val="0"/>
                <w:sz w:val="16"/>
              </w:rPr>
              <w:t>External AI/MCP client -&gt; MCP Server -&gt; Gateway -&gt; backend owner</w:t>
            </w:r>
          </w:p>
        </w:tc>
        <w:tc>
          <w:tcPr>
            <w:tcW w:type="dxa" w:w="3362"/>
            <w:vAlign w:val="top"/>
          </w:tcPr>
          <w:p>
            <w:r>
              <w:rPr>
                <w:rFonts w:ascii="Noto Sans" w:hAnsi="Noto Sans" w:eastAsia="Noto Sans"/>
                <w:b w:val="0"/>
                <w:sz w:val="16"/>
              </w:rPr>
              <w:t>MCP validates typed tools, budgets and remediation; it never becomes IAM, query planner, data store or human authority.</w:t>
            </w:r>
          </w:p>
        </w:tc>
      </w:tr>
      <w:tr>
        <w:tc>
          <w:tcPr>
            <w:tcW w:type="dxa" w:w="3362"/>
            <w:vAlign w:val="top"/>
          </w:tcPr>
          <w:p>
            <w:r>
              <w:rPr>
                <w:rFonts w:ascii="Noto Sans" w:hAnsi="Noto Sans" w:eastAsia="Noto Sans"/>
                <w:b w:val="0"/>
                <w:sz w:val="16"/>
              </w:rPr>
              <w:t>Southbound source access</w:t>
            </w:r>
          </w:p>
        </w:tc>
        <w:tc>
          <w:tcPr>
            <w:tcW w:type="dxa" w:w="3362"/>
            <w:vAlign w:val="top"/>
          </w:tcPr>
          <w:p>
            <w:r>
              <w:rPr>
                <w:rFonts w:ascii="Noto Sans" w:hAnsi="Noto Sans" w:eastAsia="Noto Sans"/>
                <w:b w:val="0"/>
                <w:sz w:val="16"/>
              </w:rPr>
              <w:t>Service/connector -&gt; Gateway southbound -&gt; registered provider endpoint</w:t>
            </w:r>
          </w:p>
        </w:tc>
        <w:tc>
          <w:tcPr>
            <w:tcW w:type="dxa" w:w="3362"/>
            <w:vAlign w:val="top"/>
          </w:tcPr>
          <w:p>
            <w:r>
              <w:rPr>
                <w:rFonts w:ascii="Noto Sans" w:hAnsi="Noto Sans" w:eastAsia="Noto Sans"/>
                <w:b w:val="0"/>
                <w:sz w:val="16"/>
              </w:rPr>
              <w:t>No arbitrary host/port, no direct protected-source bypass.</w:t>
            </w:r>
          </w:p>
        </w:tc>
      </w:tr>
      <w:tr>
        <w:tc>
          <w:tcPr>
            <w:tcW w:type="dxa" w:w="3362"/>
            <w:vAlign w:val="top"/>
          </w:tcPr>
          <w:p>
            <w:r>
              <w:rPr>
                <w:rFonts w:ascii="Noto Sans" w:hAnsi="Noto Sans" w:eastAsia="Noto Sans"/>
                <w:b w:val="0"/>
                <w:sz w:val="16"/>
              </w:rPr>
              <w:t>Authorization</w:t>
            </w:r>
          </w:p>
        </w:tc>
        <w:tc>
          <w:tcPr>
            <w:tcW w:type="dxa" w:w="3362"/>
            <w:vAlign w:val="top"/>
          </w:tcPr>
          <w:p>
            <w:r>
              <w:rPr>
                <w:rFonts w:ascii="Noto Sans" w:hAnsi="Noto Sans" w:eastAsia="Noto Sans"/>
                <w:b w:val="0"/>
                <w:sz w:val="16"/>
              </w:rPr>
              <w:t>Gateway coarse enforcement -&gt; backend Authorization SDK -&gt; domain guard</w:t>
            </w:r>
          </w:p>
        </w:tc>
        <w:tc>
          <w:tcPr>
            <w:tcW w:type="dxa" w:w="3362"/>
            <w:vAlign w:val="top"/>
          </w:tcPr>
          <w:p>
            <w:r>
              <w:rPr>
                <w:rFonts w:ascii="Noto Sans" w:hAnsi="Noto Sans" w:eastAsia="Noto Sans"/>
                <w:b w:val="0"/>
                <w:sz w:val="16"/>
              </w:rPr>
              <w:t>Gateway may deny early; backend fine-grained deny remains final.</w:t>
            </w:r>
          </w:p>
        </w:tc>
      </w:tr>
      <w:tr>
        <w:tc>
          <w:tcPr>
            <w:tcW w:type="dxa" w:w="3362"/>
            <w:vAlign w:val="top"/>
          </w:tcPr>
          <w:p>
            <w:r>
              <w:rPr>
                <w:rFonts w:ascii="Noto Sans" w:hAnsi="Noto Sans" w:eastAsia="Noto Sans"/>
                <w:b w:val="0"/>
                <w:sz w:val="16"/>
              </w:rPr>
              <w:t>Semantics</w:t>
            </w:r>
          </w:p>
        </w:tc>
        <w:tc>
          <w:tcPr>
            <w:tcW w:type="dxa" w:w="3362"/>
            <w:vAlign w:val="top"/>
          </w:tcPr>
          <w:p>
            <w:r>
              <w:rPr>
                <w:rFonts w:ascii="Noto Sans" w:hAnsi="Noto Sans" w:eastAsia="Noto Sans"/>
                <w:b w:val="0"/>
                <w:sz w:val="16"/>
              </w:rPr>
              <w:t>Registry TBox -&gt; Onboarding source mapping -&gt; Ingestion evidence -&gt; UDP ABox</w:t>
            </w:r>
          </w:p>
        </w:tc>
        <w:tc>
          <w:tcPr>
            <w:tcW w:type="dxa" w:w="3362"/>
            <w:vAlign w:val="top"/>
          </w:tcPr>
          <w:p>
            <w:r>
              <w:rPr>
                <w:rFonts w:ascii="Noto Sans" w:hAnsi="Noto Sans" w:eastAsia="Noto Sans"/>
                <w:b w:val="0"/>
                <w:sz w:val="16"/>
              </w:rPr>
              <w:t>Registry owns relation semantics; Onboarding resolution strategy; UDP instantiated object/edge.</w:t>
            </w:r>
          </w:p>
        </w:tc>
      </w:tr>
    </w:tbl>
    <w:p>
      <w:pPr>
        <w:pStyle w:val="Heading1"/>
      </w:pPr>
      <w:r>
        <w:rPr>
          <w:rFonts w:ascii="Noto Sans" w:hAnsi="Noto Sans" w:eastAsia="Noto Sans"/>
        </w:rPr>
        <w:t>5. THS complete scope</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3362"/>
            <w:shd w:fill="2F5D7E"/>
            <w:vAlign w:val="center"/>
          </w:tcPr>
          <w:p>
            <w:r>
              <w:rPr>
                <w:rFonts w:ascii="Noto Sans" w:hAnsi="Noto Sans" w:eastAsia="Noto Sans"/>
                <w:b/>
                <w:color w:val="FFFFFF"/>
                <w:sz w:val="16"/>
              </w:rPr>
              <w:t>THS bounded context</w:t>
            </w:r>
          </w:p>
        </w:tc>
        <w:tc>
          <w:tcPr>
            <w:tcW w:type="dxa" w:w="3362"/>
            <w:shd w:fill="2F5D7E"/>
            <w:vAlign w:val="center"/>
          </w:tcPr>
          <w:p>
            <w:r>
              <w:rPr>
                <w:rFonts w:ascii="Noto Sans" w:hAnsi="Noto Sans" w:eastAsia="Noto Sans"/>
                <w:b/>
                <w:color w:val="FFFFFF"/>
                <w:sz w:val="16"/>
              </w:rPr>
              <w:t>In scope</w:t>
            </w:r>
          </w:p>
        </w:tc>
        <w:tc>
          <w:tcPr>
            <w:tcW w:type="dxa" w:w="3362"/>
            <w:shd w:fill="2F5D7E"/>
            <w:vAlign w:val="center"/>
          </w:tcPr>
          <w:p>
            <w:r>
              <w:rPr>
                <w:rFonts w:ascii="Noto Sans" w:hAnsi="Noto Sans" w:eastAsia="Noto Sans"/>
                <w:b/>
                <w:color w:val="FFFFFF"/>
                <w:sz w:val="16"/>
              </w:rPr>
              <w:t>Explicitly not MCP</w:t>
            </w:r>
          </w:p>
        </w:tc>
      </w:tr>
      <w:tr>
        <w:tc>
          <w:tcPr>
            <w:tcW w:type="dxa" w:w="3362"/>
            <w:vAlign w:val="top"/>
          </w:tcPr>
          <w:p>
            <w:r>
              <w:rPr>
                <w:rFonts w:ascii="Noto Sans" w:hAnsi="Noto Sans" w:eastAsia="Noto Sans"/>
                <w:b w:val="0"/>
                <w:sz w:val="16"/>
              </w:rPr>
              <w:t>Trusted Approval Workspace</w:t>
            </w:r>
          </w:p>
        </w:tc>
        <w:tc>
          <w:tcPr>
            <w:tcW w:type="dxa" w:w="3362"/>
            <w:vAlign w:val="top"/>
          </w:tcPr>
          <w:p>
            <w:r>
              <w:rPr>
                <w:rFonts w:ascii="Noto Sans" w:hAnsi="Noto Sans" w:eastAsia="Noto Sans"/>
                <w:b w:val="0"/>
                <w:sz w:val="16"/>
              </w:rPr>
              <w:t>Exact summary/diff/hash/version/risk; CONFIRM/REJECT/CANCEL; step-up; direct backend invocation via Gateway</w:t>
            </w:r>
          </w:p>
        </w:tc>
        <w:tc>
          <w:tcPr>
            <w:tcW w:type="dxa" w:w="3362"/>
            <w:vAlign w:val="top"/>
          </w:tcPr>
          <w:p>
            <w:r>
              <w:rPr>
                <w:rFonts w:ascii="Noto Sans" w:hAnsi="Noto Sans" w:eastAsia="Noto Sans"/>
                <w:b w:val="0"/>
                <w:sz w:val="16"/>
              </w:rPr>
              <w:t>No confirm/approve/activate/publish through tools/call.</w:t>
            </w:r>
          </w:p>
        </w:tc>
      </w:tr>
      <w:tr>
        <w:tc>
          <w:tcPr>
            <w:tcW w:type="dxa" w:w="3362"/>
            <w:vAlign w:val="top"/>
          </w:tcPr>
          <w:p>
            <w:r>
              <w:rPr>
                <w:rFonts w:ascii="Noto Sans" w:hAnsi="Noto Sans" w:eastAsia="Noto Sans"/>
                <w:b w:val="0"/>
                <w:sz w:val="16"/>
              </w:rPr>
              <w:t>Protected Operations Workspace</w:t>
            </w:r>
          </w:p>
        </w:tc>
        <w:tc>
          <w:tcPr>
            <w:tcW w:type="dxa" w:w="3362"/>
            <w:vAlign w:val="top"/>
          </w:tcPr>
          <w:p>
            <w:r>
              <w:rPr>
                <w:rFonts w:ascii="Noto Sans" w:hAnsi="Noto Sans" w:eastAsia="Noto Sans"/>
                <w:b w:val="0"/>
                <w:sz w:val="16"/>
              </w:rPr>
              <w:t>Typed log search/read/filter, deterministic aggregate/correlate, governed export/download, authorization, redaction and audit</w:t>
            </w:r>
          </w:p>
        </w:tc>
        <w:tc>
          <w:tcPr>
            <w:tcW w:type="dxa" w:w="3362"/>
            <w:vAlign w:val="top"/>
          </w:tcPr>
          <w:p>
            <w:r>
              <w:rPr>
                <w:rFonts w:ascii="Noto Sans" w:hAnsi="Noto Sans" w:eastAsia="Noto Sans"/>
                <w:b w:val="0"/>
                <w:sz w:val="16"/>
              </w:rPr>
              <w:t>Not OUF/MCP capabilities; absent from tools/list/resources/prompts/results.</w:t>
            </w:r>
          </w:p>
        </w:tc>
      </w:tr>
      <w:tr>
        <w:tc>
          <w:tcPr>
            <w:tcW w:type="dxa" w:w="3362"/>
            <w:vAlign w:val="top"/>
          </w:tcPr>
          <w:p>
            <w:r>
              <w:rPr>
                <w:rFonts w:ascii="Noto Sans" w:hAnsi="Noto Sans" w:eastAsia="Noto Sans"/>
                <w:b w:val="0"/>
                <w:sz w:val="16"/>
              </w:rPr>
              <w:t>Trusted UI Shell</w:t>
            </w:r>
          </w:p>
        </w:tc>
        <w:tc>
          <w:tcPr>
            <w:tcW w:type="dxa" w:w="3362"/>
            <w:vAlign w:val="top"/>
          </w:tcPr>
          <w:p>
            <w:r>
              <w:rPr>
                <w:rFonts w:ascii="Noto Sans" w:hAnsi="Noto Sans" w:eastAsia="Noto Sans"/>
                <w:b w:val="0"/>
                <w:sz w:val="16"/>
              </w:rPr>
              <w:t>HUMAN_USER session, CSRF/CSP/cookies, workspace routing, UX audit and step-up</w:t>
            </w:r>
          </w:p>
        </w:tc>
        <w:tc>
          <w:tcPr>
            <w:tcW w:type="dxa" w:w="3362"/>
            <w:vAlign w:val="top"/>
          </w:tcPr>
          <w:p>
            <w:r>
              <w:rPr>
                <w:rFonts w:ascii="Noto Sans" w:hAnsi="Noto Sans" w:eastAsia="Noto Sans"/>
                <w:b w:val="0"/>
                <w:sz w:val="16"/>
              </w:rPr>
              <w:t>Does not replace IAM, Gateway or Authorization Registry.</w:t>
            </w:r>
          </w:p>
        </w:tc>
      </w:tr>
    </w:tbl>
    <w:p>
      <w:pPr>
        <w:pStyle w:val="Heading1"/>
      </w:pPr>
      <w:r>
        <w:rPr>
          <w:rFonts w:ascii="Noto Sans" w:hAnsi="Noto Sans" w:eastAsia="Noto Sans"/>
        </w:rPr>
        <w:t>6. MCP implementation position</w:t>
      </w:r>
    </w:p>
    <w:p>
      <w:r>
        <w:rPr>
          <w:rFonts w:ascii="Noto Sans" w:hAnsi="Noto Sans" w:eastAsia="Noto Sans"/>
          <w:b w:val="0"/>
          <w:sz w:val="18"/>
        </w:rPr>
        <w:t>“Do not modify MCP Server” means the frozen v1.1 design is not reopened. It does not mean that MCP implementation is omitted. The Development WBS v0.4 therefore contains an explicit MCP stream.</w:t>
      </w:r>
    </w:p>
    <w:p>
      <w:pPr>
        <w:pStyle w:val="ListBullet"/>
      </w:pPr>
      <w:r>
        <w:rPr>
          <w:rFonts w:ascii="Noto Sans" w:hAnsi="Noto Sans" w:eastAsia="Noto Sans"/>
          <w:b w:val="0"/>
          <w:sz w:val="18"/>
        </w:rPr>
        <w:t>Java 21 / Spring Boot modular monolith; mcp-server and maintenance-worker profiles.</w:t>
      </w:r>
    </w:p>
    <w:p>
      <w:pPr>
        <w:pStyle w:val="ListBullet"/>
      </w:pPr>
      <w:r>
        <w:rPr>
          <w:rFonts w:ascii="Noto Sans" w:hAnsi="Noto Sans" w:eastAsia="Noto Sans"/>
          <w:b w:val="0"/>
          <w:sz w:val="18"/>
        </w:rPr>
        <w:t>Canonical Capability Manifest and typed DTO validation.</w:t>
      </w:r>
    </w:p>
    <w:p>
      <w:pPr>
        <w:pStyle w:val="ListBullet"/>
      </w:pPr>
      <w:r>
        <w:rPr>
          <w:rFonts w:ascii="Noto Sans" w:hAnsi="Noto Sans" w:eastAsia="Noto Sans"/>
          <w:b w:val="0"/>
          <w:sz w:val="18"/>
        </w:rPr>
        <w:t>PostgreSQL/Flyway Agent Budget Store; multi-Pod cumulative budget semantics.</w:t>
      </w:r>
    </w:p>
    <w:p>
      <w:pPr>
        <w:pStyle w:val="ListBullet"/>
      </w:pPr>
      <w:r>
        <w:rPr>
          <w:rFonts w:ascii="Noto Sans" w:hAnsi="Noto Sans" w:eastAsia="Noto Sans"/>
          <w:b w:val="0"/>
          <w:sz w:val="18"/>
        </w:rPr>
        <w:t>RetryLoopGuard and explicit remediation without automatic capability redirect.</w:t>
      </w:r>
    </w:p>
    <w:p>
      <w:pPr>
        <w:pStyle w:val="ListBullet"/>
      </w:pPr>
      <w:r>
        <w:rPr>
          <w:rFonts w:ascii="Noto Sans" w:hAnsi="Noto Sans" w:eastAsia="Noto Sans"/>
          <w:b w:val="0"/>
          <w:sz w:val="18"/>
        </w:rPr>
        <w:t>Gateway-mediated backend clients for UDP/Onboarding/Ingestion/Semantic.</w:t>
      </w:r>
    </w:p>
    <w:p>
      <w:pPr>
        <w:pStyle w:val="ListBullet"/>
      </w:pPr>
      <w:r>
        <w:rPr>
          <w:rFonts w:ascii="Noto Sans" w:hAnsi="Noto Sans" w:eastAsia="Noto Sans"/>
          <w:b w:val="0"/>
          <w:sz w:val="18"/>
        </w:rPr>
        <w:t>ApprovalChallenge handoff only; Protected Human Operations isolated.</w:t>
      </w:r>
    </w:p>
    <w:p>
      <w:pPr>
        <w:pStyle w:val="ListBullet"/>
      </w:pPr>
      <w:r>
        <w:rPr>
          <w:rFonts w:ascii="Noto Sans" w:hAnsi="Noto Sans" w:eastAsia="Noto Sans"/>
          <w:b w:val="0"/>
          <w:sz w:val="18"/>
        </w:rPr>
        <w:t>MCP-A acceptance suite, including protected-operation isolation tests.</w:t>
      </w:r>
    </w:p>
    <w:p>
      <w:pPr>
        <w:pStyle w:val="Heading1"/>
      </w:pPr>
      <w:r>
        <w:rPr>
          <w:rFonts w:ascii="Noto Sans" w:hAnsi="Noto Sans" w:eastAsia="Noto Sans"/>
        </w:rPr>
        <w:t>7. Canonical E2E governance</w:t>
      </w:r>
    </w:p>
    <w:p>
      <w:r>
        <w:rPr>
          <w:rFonts w:ascii="Noto Sans" w:hAnsi="Noto Sans" w:eastAsia="Noto Sans"/>
          <w:b w:val="0"/>
          <w:sz w:val="18"/>
        </w:rPr>
        <w:t>From this baseline onward, the only canonical scenario identifiers are OUF-E2E-001 through OUF-E2E-025. Legacy identifiers remain traceability aliases only.</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2F5D7E"/>
            <w:vAlign w:val="center"/>
          </w:tcPr>
          <w:p>
            <w:r>
              <w:rPr>
                <w:rFonts w:ascii="Noto Sans" w:hAnsi="Noto Sans" w:eastAsia="Noto Sans"/>
                <w:b/>
                <w:color w:val="FFFFFF"/>
                <w:sz w:val="16"/>
              </w:rPr>
              <w:t>Legacy source</w:t>
            </w:r>
          </w:p>
        </w:tc>
        <w:tc>
          <w:tcPr>
            <w:tcW w:type="dxa" w:w="5043"/>
            <w:shd w:fill="2F5D7E"/>
            <w:vAlign w:val="center"/>
          </w:tcPr>
          <w:p>
            <w:r>
              <w:rPr>
                <w:rFonts w:ascii="Noto Sans" w:hAnsi="Noto Sans" w:eastAsia="Noto Sans"/>
                <w:b/>
                <w:color w:val="FFFFFF"/>
                <w:sz w:val="16"/>
              </w:rPr>
              <w:t>Mapping rule</w:t>
            </w:r>
          </w:p>
        </w:tc>
      </w:tr>
      <w:tr>
        <w:tc>
          <w:tcPr>
            <w:tcW w:type="dxa" w:w="5043"/>
            <w:vAlign w:val="top"/>
          </w:tcPr>
          <w:p>
            <w:r>
              <w:rPr>
                <w:rFonts w:ascii="Noto Sans" w:hAnsi="Noto Sans" w:eastAsia="Noto Sans"/>
                <w:b w:val="0"/>
                <w:sz w:val="16"/>
              </w:rPr>
              <w:t>Cross-Module Matrix E2E-X01…X16</w:t>
            </w:r>
          </w:p>
        </w:tc>
        <w:tc>
          <w:tcPr>
            <w:tcW w:type="dxa" w:w="5043"/>
            <w:vAlign w:val="top"/>
          </w:tcPr>
          <w:p>
            <w:r>
              <w:rPr>
                <w:rFonts w:ascii="Noto Sans" w:hAnsi="Noto Sans" w:eastAsia="Noto Sans"/>
                <w:b w:val="0"/>
                <w:sz w:val="16"/>
              </w:rPr>
              <w:t>Map one-to-one to OUF-E2E-001…016.</w:t>
            </w:r>
          </w:p>
        </w:tc>
      </w:tr>
      <w:tr>
        <w:tc>
          <w:tcPr>
            <w:tcW w:type="dxa" w:w="5043"/>
            <w:vAlign w:val="top"/>
          </w:tcPr>
          <w:p>
            <w:r>
              <w:rPr>
                <w:rFonts w:ascii="Noto Sans" w:hAnsi="Noto Sans" w:eastAsia="Noto Sans"/>
                <w:b w:val="0"/>
                <w:sz w:val="16"/>
              </w:rPr>
              <w:t>E2E Specification v0.1 E2E-01…16</w:t>
            </w:r>
          </w:p>
        </w:tc>
        <w:tc>
          <w:tcPr>
            <w:tcW w:type="dxa" w:w="5043"/>
            <w:vAlign w:val="top"/>
          </w:tcPr>
          <w:p>
            <w:r>
              <w:rPr>
                <w:rFonts w:ascii="Noto Sans" w:hAnsi="Noto Sans" w:eastAsia="Noto Sans"/>
                <w:b w:val="0"/>
                <w:sz w:val="16"/>
              </w:rPr>
              <w:t>Use spec/legacy-id-mapping.yaml in E2E v0.3.</w:t>
            </w:r>
          </w:p>
        </w:tc>
      </w:tr>
      <w:tr>
        <w:tc>
          <w:tcPr>
            <w:tcW w:type="dxa" w:w="5043"/>
            <w:vAlign w:val="top"/>
          </w:tcPr>
          <w:p>
            <w:r>
              <w:rPr>
                <w:rFonts w:ascii="Noto Sans" w:hAnsi="Noto Sans" w:eastAsia="Noto Sans"/>
                <w:b w:val="0"/>
                <w:sz w:val="16"/>
              </w:rPr>
              <w:t>Blueprint v0.1 E2E-01…16</w:t>
            </w:r>
          </w:p>
        </w:tc>
        <w:tc>
          <w:tcPr>
            <w:tcW w:type="dxa" w:w="5043"/>
            <w:vAlign w:val="top"/>
          </w:tcPr>
          <w:p>
            <w:r>
              <w:rPr>
                <w:rFonts w:ascii="Noto Sans" w:hAnsi="Noto Sans" w:eastAsia="Noto Sans"/>
                <w:b w:val="0"/>
                <w:sz w:val="16"/>
              </w:rPr>
              <w:t>Superseded as identifiers; never use them for new evidence.</w:t>
            </w:r>
          </w:p>
        </w:tc>
      </w:tr>
      <w:tr>
        <w:tc>
          <w:tcPr>
            <w:tcW w:type="dxa" w:w="5043"/>
            <w:vAlign w:val="top"/>
          </w:tcPr>
          <w:p>
            <w:r>
              <w:rPr>
                <w:rFonts w:ascii="Noto Sans" w:hAnsi="Noto Sans" w:eastAsia="Noto Sans"/>
                <w:b w:val="0"/>
                <w:sz w:val="16"/>
              </w:rPr>
              <w:t>MCP-A / THS-A suites</w:t>
            </w:r>
          </w:p>
        </w:tc>
        <w:tc>
          <w:tcPr>
            <w:tcW w:type="dxa" w:w="5043"/>
            <w:vAlign w:val="top"/>
          </w:tcPr>
          <w:p>
            <w:r>
              <w:rPr>
                <w:rFonts w:ascii="Noto Sans" w:hAnsi="Noto Sans" w:eastAsia="Noto Sans"/>
                <w:b w:val="0"/>
                <w:sz w:val="16"/>
              </w:rPr>
              <w:t>Remain mandatory module acceptance suites and are traceably mapped to canonical E2E scenarios where cross-module.</w:t>
            </w:r>
          </w:p>
        </w:tc>
      </w:tr>
    </w:tbl>
    <w:p>
      <w:pPr>
        <w:pStyle w:val="ListBullet"/>
      </w:pPr>
      <w:r>
        <w:rPr>
          <w:rFonts w:ascii="Noto Sans" w:hAnsi="Noto Sans" w:eastAsia="Noto Sans"/>
          <w:b w:val="0"/>
          <w:sz w:val="18"/>
        </w:rPr>
        <w:t>Every E2E evidence record must identify scenario ID, execution ID, environment, contract freeze, module release/digest and correlation IDs.</w:t>
      </w:r>
    </w:p>
    <w:p>
      <w:pPr>
        <w:pStyle w:val="ListBullet"/>
      </w:pPr>
      <w:r>
        <w:rPr>
          <w:rFonts w:ascii="Noto Sans" w:hAnsi="Noto Sans" w:eastAsia="Noto Sans"/>
          <w:b w:val="0"/>
          <w:sz w:val="18"/>
        </w:rPr>
        <w:t>SKIPPED is not PASS. BLOCKED is allowed only for explicit external gates or unavailable module implementation.</w:t>
      </w:r>
    </w:p>
    <w:p>
      <w:pPr>
        <w:pStyle w:val="ListBullet"/>
      </w:pPr>
      <w:r>
        <w:rPr>
          <w:rFonts w:ascii="Noto Sans" w:hAnsi="Noto Sans" w:eastAsia="Noto Sans"/>
          <w:b w:val="0"/>
          <w:sz w:val="18"/>
        </w:rPr>
        <w:t>Acceptance requires both canonical cross-module E2E and module-specific PET acceptance suites.</w:t>
      </w:r>
    </w:p>
    <w:p>
      <w:pPr>
        <w:pStyle w:val="Heading1"/>
      </w:pPr>
      <w:r>
        <w:rPr>
          <w:rFonts w:ascii="Noto Sans" w:hAnsi="Noto Sans" w:eastAsia="Noto Sans"/>
        </w:rPr>
        <w:t>8. Development execution waves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5043"/>
            <w:shd w:fill="2F5D7E"/>
            <w:vAlign w:val="center"/>
          </w:tcPr>
          <w:p>
            <w:r>
              <w:rPr>
                <w:rFonts w:ascii="Noto Sans" w:hAnsi="Noto Sans" w:eastAsia="Noto Sans"/>
                <w:b/>
                <w:color w:val="FFFFFF"/>
                <w:sz w:val="16"/>
              </w:rPr>
              <w:t>Wave</w:t>
            </w:r>
          </w:p>
        </w:tc>
        <w:tc>
          <w:tcPr>
            <w:tcW w:type="dxa" w:w="5043"/>
            <w:shd w:fill="2F5D7E"/>
            <w:vAlign w:val="center"/>
          </w:tcPr>
          <w:p>
            <w:r>
              <w:rPr>
                <w:rFonts w:ascii="Noto Sans" w:hAnsi="Noto Sans" w:eastAsia="Noto Sans"/>
                <w:b/>
                <w:color w:val="FFFFFF"/>
                <w:sz w:val="16"/>
              </w:rPr>
              <w:t>Objective</w:t>
            </w:r>
          </w:p>
        </w:tc>
      </w:tr>
      <w:tr>
        <w:tc>
          <w:tcPr>
            <w:tcW w:type="dxa" w:w="5043"/>
            <w:vAlign w:val="top"/>
          </w:tcPr>
          <w:p>
            <w:r>
              <w:rPr>
                <w:rFonts w:ascii="Noto Sans" w:hAnsi="Noto Sans" w:eastAsia="Noto Sans"/>
                <w:b w:val="0"/>
                <w:sz w:val="16"/>
              </w:rPr>
              <w:t>W0</w:t>
            </w:r>
          </w:p>
        </w:tc>
        <w:tc>
          <w:tcPr>
            <w:tcW w:type="dxa" w:w="5043"/>
            <w:vAlign w:val="top"/>
          </w:tcPr>
          <w:p>
            <w:r>
              <w:rPr>
                <w:rFonts w:ascii="Noto Sans" w:hAnsi="Noto Sans" w:eastAsia="Noto Sans"/>
                <w:b w:val="0"/>
                <w:sz w:val="16"/>
              </w:rPr>
              <w:t>Adopt rc3 contracts, Starter v0.2.1, environment-binding rules, observability and CI.</w:t>
            </w:r>
          </w:p>
        </w:tc>
      </w:tr>
      <w:tr>
        <w:tc>
          <w:tcPr>
            <w:tcW w:type="dxa" w:w="5043"/>
            <w:vAlign w:val="top"/>
          </w:tcPr>
          <w:p>
            <w:r>
              <w:rPr>
                <w:rFonts w:ascii="Noto Sans" w:hAnsi="Noto Sans" w:eastAsia="Noto Sans"/>
                <w:b w:val="0"/>
                <w:sz w:val="16"/>
              </w:rPr>
              <w:t>W1</w:t>
            </w:r>
          </w:p>
        </w:tc>
        <w:tc>
          <w:tcPr>
            <w:tcW w:type="dxa" w:w="5043"/>
            <w:vAlign w:val="top"/>
          </w:tcPr>
          <w:p>
            <w:r>
              <w:rPr>
                <w:rFonts w:ascii="Noto Sans" w:hAnsi="Noto Sans" w:eastAsia="Noto Sans"/>
                <w:b w:val="0"/>
                <w:sz w:val="16"/>
              </w:rPr>
              <w:t>Identity/security spine, policy/config/publication foundations, MCP/THS core boundaries.</w:t>
            </w:r>
          </w:p>
        </w:tc>
      </w:tr>
      <w:tr>
        <w:tc>
          <w:tcPr>
            <w:tcW w:type="dxa" w:w="5043"/>
            <w:vAlign w:val="top"/>
          </w:tcPr>
          <w:p>
            <w:r>
              <w:rPr>
                <w:rFonts w:ascii="Noto Sans" w:hAnsi="Noto Sans" w:eastAsia="Noto Sans"/>
                <w:b w:val="0"/>
                <w:sz w:val="16"/>
              </w:rPr>
              <w:t>W2</w:t>
            </w:r>
          </w:p>
        </w:tc>
        <w:tc>
          <w:tcPr>
            <w:tcW w:type="dxa" w:w="5043"/>
            <w:vAlign w:val="top"/>
          </w:tcPr>
          <w:p>
            <w:r>
              <w:rPr>
                <w:rFonts w:ascii="Noto Sans" w:hAnsi="Noto Sans" w:eastAsia="Noto Sans"/>
                <w:b w:val="0"/>
                <w:sz w:val="16"/>
              </w:rPr>
              <w:t>Core module implementation including durable intake, bundle compiler, publication sets, budget store and protected log services.</w:t>
            </w:r>
          </w:p>
        </w:tc>
      </w:tr>
      <w:tr>
        <w:tc>
          <w:tcPr>
            <w:tcW w:type="dxa" w:w="5043"/>
            <w:vAlign w:val="top"/>
          </w:tcPr>
          <w:p>
            <w:r>
              <w:rPr>
                <w:rFonts w:ascii="Noto Sans" w:hAnsi="Noto Sans" w:eastAsia="Noto Sans"/>
                <w:b w:val="0"/>
                <w:sz w:val="16"/>
              </w:rPr>
              <w:t>W3</w:t>
            </w:r>
          </w:p>
        </w:tc>
        <w:tc>
          <w:tcPr>
            <w:tcW w:type="dxa" w:w="5043"/>
            <w:vAlign w:val="top"/>
          </w:tcPr>
          <w:p>
            <w:r>
              <w:rPr>
                <w:rFonts w:ascii="Noto Sans" w:hAnsi="Noto Sans" w:eastAsia="Noto Sans"/>
                <w:b w:val="0"/>
                <w:sz w:val="16"/>
              </w:rPr>
              <w:t>Cross-module vertical slices: first ingestion, human governance, schema/policy propagation, MCP capability execution.</w:t>
            </w:r>
          </w:p>
        </w:tc>
      </w:tr>
      <w:tr>
        <w:tc>
          <w:tcPr>
            <w:tcW w:type="dxa" w:w="5043"/>
            <w:vAlign w:val="top"/>
          </w:tcPr>
          <w:p>
            <w:r>
              <w:rPr>
                <w:rFonts w:ascii="Noto Sans" w:hAnsi="Noto Sans" w:eastAsia="Noto Sans"/>
                <w:b w:val="0"/>
                <w:sz w:val="16"/>
              </w:rPr>
              <w:t>W4</w:t>
            </w:r>
          </w:p>
        </w:tc>
        <w:tc>
          <w:tcPr>
            <w:tcW w:type="dxa" w:w="5043"/>
            <w:vAlign w:val="top"/>
          </w:tcPr>
          <w:p>
            <w:r>
              <w:rPr>
                <w:rFonts w:ascii="Noto Sans" w:hAnsi="Noto Sans" w:eastAsia="Noto Sans"/>
                <w:b w:val="0"/>
                <w:sz w:val="16"/>
              </w:rPr>
              <w:t>Failure/replay/delta/query-governance/protected-operations hardening.</w:t>
            </w:r>
          </w:p>
        </w:tc>
      </w:tr>
      <w:tr>
        <w:tc>
          <w:tcPr>
            <w:tcW w:type="dxa" w:w="5043"/>
            <w:vAlign w:val="top"/>
          </w:tcPr>
          <w:p>
            <w:r>
              <w:rPr>
                <w:rFonts w:ascii="Noto Sans" w:hAnsi="Noto Sans" w:eastAsia="Noto Sans"/>
                <w:b w:val="0"/>
                <w:sz w:val="16"/>
              </w:rPr>
              <w:t>W5</w:t>
            </w:r>
          </w:p>
        </w:tc>
        <w:tc>
          <w:tcPr>
            <w:tcW w:type="dxa" w:w="5043"/>
            <w:vAlign w:val="top"/>
          </w:tcPr>
          <w:p>
            <w:r>
              <w:rPr>
                <w:rFonts w:ascii="Noto Sans" w:hAnsi="Noto Sans" w:eastAsia="Noto Sans"/>
                <w:b w:val="0"/>
                <w:sz w:val="16"/>
              </w:rPr>
              <w:t>Canonical E2E, module acceptance suites, performance/security/recovery evidence and release package.</w:t>
            </w:r>
          </w:p>
        </w:tc>
      </w:tr>
    </w:tbl>
    <w:p>
      <w:pPr>
        <w:pStyle w:val="Heading1"/>
      </w:pPr>
      <w:r>
        <w:rPr>
          <w:rFonts w:ascii="Noto Sans" w:hAnsi="Noto Sans" w:eastAsia="Noto Sans"/>
        </w:rPr>
        <w:t>9. Release and acceptance gates</w:t>
      </w:r>
    </w:p>
    <w:p>
      <w:pPr>
        <w:pStyle w:val="ListNumber"/>
      </w:pPr>
      <w:r>
        <w:rPr>
          <w:rFonts w:ascii="Noto Sans" w:hAnsi="Noto Sans" w:eastAsia="Noto Sans"/>
          <w:b w:val="0"/>
          <w:sz w:val="18"/>
        </w:rPr>
        <w:t>Contract gate: shared schemas, OpenAPI, examples and compatibility checks pass.</w:t>
      </w:r>
    </w:p>
    <w:p>
      <w:pPr>
        <w:pStyle w:val="ListNumber"/>
      </w:pPr>
      <w:r>
        <w:rPr>
          <w:rFonts w:ascii="Noto Sans" w:hAnsi="Noto Sans" w:eastAsia="Noto Sans"/>
          <w:b w:val="0"/>
          <w:sz w:val="18"/>
        </w:rPr>
        <w:t>Build/security gate: Java 21/platform BOM, unit/static/security/secret scans pass.</w:t>
      </w:r>
    </w:p>
    <w:p>
      <w:pPr>
        <w:pStyle w:val="ListNumber"/>
      </w:pPr>
      <w:r>
        <w:rPr>
          <w:rFonts w:ascii="Noto Sans" w:hAnsi="Noto Sans" w:eastAsia="Noto Sans"/>
          <w:b w:val="0"/>
          <w:sz w:val="18"/>
        </w:rPr>
        <w:t>Database gate: Flyway migrate from zero and supported upgrade paths pass where persistent.</w:t>
      </w:r>
    </w:p>
    <w:p>
      <w:pPr>
        <w:pStyle w:val="ListNumber"/>
      </w:pPr>
      <w:r>
        <w:rPr>
          <w:rFonts w:ascii="Noto Sans" w:hAnsi="Noto Sans" w:eastAsia="Noto Sans"/>
          <w:b w:val="0"/>
          <w:sz w:val="18"/>
        </w:rPr>
        <w:t>Integration gate: scenario-neutral identity, Gateway/backend security chain and cross-module contract assertions pass.</w:t>
      </w:r>
    </w:p>
    <w:p>
      <w:pPr>
        <w:pStyle w:val="ListNumber"/>
      </w:pPr>
      <w:r>
        <w:rPr>
          <w:rFonts w:ascii="Noto Sans" w:hAnsi="Noto Sans" w:eastAsia="Noto Sans"/>
          <w:b w:val="0"/>
          <w:sz w:val="18"/>
        </w:rPr>
        <w:t>E2E gate: canonical OUF-E2E catalogue and module-specific MCP-A/THS-A/PET suites pass or are explicitly blocked only by external platform gates.</w:t>
      </w:r>
    </w:p>
    <w:p>
      <w:pPr>
        <w:pStyle w:val="ListNumber"/>
      </w:pPr>
      <w:r>
        <w:rPr>
          <w:rFonts w:ascii="Noto Sans" w:hAnsi="Noto Sans" w:eastAsia="Noto Sans"/>
          <w:b w:val="0"/>
          <w:sz w:val="18"/>
        </w:rPr>
        <w:t>Operational gate: Helm lint/template in target CI, probes/network policies, observability, SBOM/image digest, recovery and runbook evidence pass.</w:t>
      </w:r>
    </w:p>
    <w:p>
      <w:pPr>
        <w:pStyle w:val="ListNumber"/>
      </w:pPr>
      <w:r>
        <w:rPr>
          <w:rFonts w:ascii="Noto Sans" w:hAnsi="Noto Sans" w:eastAsia="Noto Sans"/>
          <w:b w:val="0"/>
          <w:sz w:val="18"/>
        </w:rPr>
        <w:t>Representative acceptance gate: real platform bindings PLAT-01..08 are installed and tested.</w:t>
      </w:r>
    </w:p>
    <w:p>
      <w:pPr>
        <w:pStyle w:val="Heading1"/>
      </w:pPr>
      <w:r>
        <w:rPr>
          <w:rFonts w:ascii="Noto Sans" w:hAnsi="Noto Sans" w:eastAsia="Noto Sans"/>
        </w:rPr>
        <w:t>10. Definition of coherence complete</w:t>
      </w:r>
    </w:p>
    <w:p>
      <w:pPr>
        <w:pStyle w:val="ListBullet"/>
      </w:pPr>
      <w:r>
        <w:rPr>
          <w:rFonts w:ascii="Noto Sans" w:hAnsi="Noto Sans" w:eastAsia="Noto Sans"/>
          <w:b w:val="0"/>
          <w:sz w:val="18"/>
        </w:rPr>
        <w:t>No duplicate canonical E2E identifiers.</w:t>
      </w:r>
    </w:p>
    <w:p>
      <w:pPr>
        <w:pStyle w:val="ListBullet"/>
      </w:pPr>
      <w:r>
        <w:rPr>
          <w:rFonts w:ascii="Noto Sans" w:hAnsi="Noto Sans" w:eastAsia="Noto Sans"/>
          <w:b w:val="0"/>
          <w:sz w:val="18"/>
        </w:rPr>
        <w:t>No planned workstream omitted for a frozen module/bounded context.</w:t>
      </w:r>
    </w:p>
    <w:p>
      <w:pPr>
        <w:pStyle w:val="ListBullet"/>
      </w:pPr>
      <w:r>
        <w:rPr>
          <w:rFonts w:ascii="Noto Sans" w:hAnsi="Noto Sans" w:eastAsia="Noto Sans"/>
          <w:b w:val="0"/>
          <w:sz w:val="18"/>
        </w:rPr>
        <w:t>No successor task scheduled before a mandatory predecessor.</w:t>
      </w:r>
    </w:p>
    <w:p>
      <w:pPr>
        <w:pStyle w:val="ListBullet"/>
      </w:pPr>
      <w:r>
        <w:rPr>
          <w:rFonts w:ascii="Noto Sans" w:hAnsi="Noto Sans" w:eastAsia="Noto Sans"/>
          <w:b w:val="0"/>
          <w:sz w:val="18"/>
        </w:rPr>
        <w:t>One current-status authority per contract repository; superseded reports are clearly historical.</w:t>
      </w:r>
    </w:p>
    <w:p>
      <w:pPr>
        <w:pStyle w:val="ListBullet"/>
      </w:pPr>
      <w:r>
        <w:rPr>
          <w:rFonts w:ascii="Noto Sans" w:hAnsi="Noto Sans" w:eastAsia="Noto Sans"/>
          <w:b w:val="0"/>
          <w:sz w:val="18"/>
        </w:rPr>
        <w:t>Current terminology is THS / Trusted Approval Workspace / Protected Operations Workspace / MCP Server; Agent Host and Trusted Approval Surface are deprecated labels only.</w:t>
      </w:r>
    </w:p>
    <w:p>
      <w:pPr>
        <w:pStyle w:val="ListBullet"/>
      </w:pPr>
      <w:r>
        <w:rPr>
          <w:rFonts w:ascii="Noto Sans" w:hAnsi="Noto Sans" w:eastAsia="Noto Sans"/>
          <w:b w:val="0"/>
          <w:sz w:val="18"/>
        </w:rPr>
        <w:t>Platform external decisions are separated from logical contract readiness and from representative acceptance readiness.</w:t>
      </w:r>
    </w:p>
    <w:sectPr w:rsidR="00FC693F" w:rsidRPr="0006063C" w:rsidSect="00034616">
      <w:headerReference w:type="default" r:id="rId9"/>
      <w:footerReference w:type="default" r:id="rId10"/>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eastAsia="Noto Sans"/>
    </w:rPr>
  </w:style>
  <w:style w:type="character" w:customStyle="1" w:styleId="HeaderChar">
    <w:name w:val="Header Char"/>
    <w:basedOn w:val="DefaultParagraphFont"/>
    <w:link w:val="Header"/>
    <w:uiPriority w:val="99"/>
    <w:rsid w:val="00E618BF"/>
    <w:rPr>
      <w:rFonts w:ascii="Noto Sans" w:hAnsi="Noto Sans" w:eastAsia="Not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eastAsia="Noto Sans"/>
    </w:rPr>
  </w:style>
  <w:style w:type="character" w:customStyle="1" w:styleId="FooterChar">
    <w:name w:val="Footer Char"/>
    <w:basedOn w:val="DefaultParagraphFont"/>
    <w:link w:val="Footer"/>
    <w:uiPriority w:val="99"/>
    <w:rsid w:val="00E618BF"/>
    <w:rPr>
      <w:rFonts w:ascii="Noto Sans" w:hAnsi="Noto Sans" w:eastAsia="Not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w:hAnsi="Noto Sans" w:eastAsia="Not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w:hAnsi="Noto Sans" w:eastAsia="Not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w:hAnsi="Noto Sans" w:eastAsia="Not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w:hAnsi="Noto Sans" w:eastAsia="Not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w:hAnsi="Noto Sans" w:eastAsia="Not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w:hAnsi="Noto Sans" w:eastAsia="Noto Sans"/>
      <w:i/>
      <w:iCs/>
      <w:color w:val="404040" w:themeColor="text1" w:themeTint="BF"/>
      <w:sz w:val="20"/>
      <w:szCs w:val="20"/>
    </w:rPr>
  </w:style>
  <w:style w:type="character" w:default="1" w:styleId="DefaultParagraphFont">
    <w:name w:val="Default Paragraph Font"/>
    <w:uiPriority w:val="1"/>
    <w:semiHidden/>
    <w:unhideWhenUsed/>
    <w:rPr>
      <w:rFonts w:ascii="Noto Sans" w:hAnsi="Noto Sans" w:eastAsia="Noto Sans"/>
    </w:rPr>
  </w:style>
  <w:style w:type="table" w:default="1" w:styleId="TableNormal">
    <w:name w:val="Normal Table"/>
    <w:uiPriority w:val="99"/>
    <w:semiHidden/>
    <w:unhideWhenUsed/>
    <w:rPr>
      <w:rFonts w:ascii="Noto Sans" w:hAnsi="Noto Sans" w:eastAsia="Not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w:hAnsi="Noto Sans" w:eastAsia="Not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w:hAnsi="Noto Sans" w:eastAsia="Not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w:hAnsi="Noto Sans" w:eastAsia="Not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w:hAnsi="Noto Sans" w:eastAsia="Not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w:hAnsi="Noto Sans" w:eastAsia="Not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w:hAnsi="Noto Sans" w:eastAsia="Not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w:hAnsi="Noto Sans" w:eastAsia="Noto Sans"/>
    </w:rPr>
  </w:style>
  <w:style w:type="paragraph" w:styleId="BodyText">
    <w:name w:val="Body Text"/>
    <w:basedOn w:val="Normal"/>
    <w:link w:val="BodyTextChar"/>
    <w:uiPriority w:val="99"/>
    <w:unhideWhenUsed/>
    <w:rsid w:val="00AA1D8D"/>
    <w:pPr>
      <w:spacing w:after="120"/>
    </w:pPr>
    <w:rPr>
      <w:rFonts w:ascii="Noto Sans" w:hAnsi="Noto Sans" w:eastAsia="Noto Sans"/>
    </w:rPr>
  </w:style>
  <w:style w:type="character" w:customStyle="1" w:styleId="BodyTextChar">
    <w:name w:val="Body Text Char"/>
    <w:basedOn w:val="DefaultParagraphFont"/>
    <w:link w:val="BodyText"/>
    <w:uiPriority w:val="99"/>
    <w:rsid w:val="00AA1D8D"/>
    <w:rPr>
      <w:rFonts w:ascii="Noto Sans" w:hAnsi="Noto Sans" w:eastAsia="Noto Sans"/>
    </w:rPr>
  </w:style>
  <w:style w:type="paragraph" w:styleId="BodyText2">
    <w:name w:val="Body Text 2"/>
    <w:basedOn w:val="Normal"/>
    <w:link w:val="BodyText2Char"/>
    <w:uiPriority w:val="99"/>
    <w:unhideWhenUsed/>
    <w:rsid w:val="00AA1D8D"/>
    <w:pPr>
      <w:spacing w:after="120" w:line="480" w:lineRule="auto"/>
    </w:pPr>
    <w:rPr>
      <w:rFonts w:ascii="Noto Sans" w:hAnsi="Noto Sans" w:eastAsia="Noto Sans"/>
    </w:rPr>
  </w:style>
  <w:style w:type="character" w:customStyle="1" w:styleId="BodyText2Char">
    <w:name w:val="Body Text 2 Char"/>
    <w:basedOn w:val="DefaultParagraphFont"/>
    <w:link w:val="BodyText2"/>
    <w:uiPriority w:val="99"/>
    <w:rsid w:val="00AA1D8D"/>
    <w:rPr>
      <w:rFonts w:ascii="Noto Sans" w:hAnsi="Noto Sans" w:eastAsia="Noto Sans"/>
    </w:rPr>
  </w:style>
  <w:style w:type="paragraph" w:styleId="BodyText3">
    <w:name w:val="Body Text 3"/>
    <w:basedOn w:val="Normal"/>
    <w:link w:val="BodyText3Char"/>
    <w:uiPriority w:val="99"/>
    <w:unhideWhenUsed/>
    <w:rsid w:val="00AA1D8D"/>
    <w:pPr>
      <w:spacing w:after="120"/>
    </w:pPr>
    <w:rPr>
      <w:rFonts w:ascii="Noto Sans" w:hAnsi="Noto Sans" w:eastAsia="Noto Sans"/>
      <w:sz w:val="16"/>
      <w:szCs w:val="16"/>
    </w:rPr>
  </w:style>
  <w:style w:type="character" w:customStyle="1" w:styleId="BodyText3Char">
    <w:name w:val="Body Text 3 Char"/>
    <w:basedOn w:val="DefaultParagraphFont"/>
    <w:link w:val="BodyText3"/>
    <w:uiPriority w:val="99"/>
    <w:rsid w:val="00AA1D8D"/>
    <w:rPr>
      <w:rFonts w:ascii="Noto Sans" w:hAnsi="Noto Sans" w:eastAsia="Noto Sans"/>
      <w:sz w:val="16"/>
      <w:szCs w:val="16"/>
    </w:rPr>
  </w:style>
  <w:style w:type="paragraph" w:styleId="List">
    <w:name w:val="List"/>
    <w:basedOn w:val="Normal"/>
    <w:uiPriority w:val="99"/>
    <w:unhideWhenUsed/>
    <w:rsid w:val="00AA1D8D"/>
    <w:pPr>
      <w:ind w:left="360" w:hanging="360"/>
      <w:contextualSpacing/>
    </w:pPr>
    <w:rPr>
      <w:rFonts w:ascii="Noto Sans" w:hAnsi="Noto Sans" w:eastAsia="Noto Sans"/>
    </w:rPr>
  </w:style>
  <w:style w:type="paragraph" w:styleId="List2">
    <w:name w:val="List 2"/>
    <w:basedOn w:val="Normal"/>
    <w:uiPriority w:val="99"/>
    <w:unhideWhenUsed/>
    <w:rsid w:val="00326F90"/>
    <w:pPr>
      <w:ind w:left="720" w:hanging="360"/>
      <w:contextualSpacing/>
    </w:pPr>
    <w:rPr>
      <w:rFonts w:ascii="Noto Sans" w:hAnsi="Noto Sans" w:eastAsia="Noto Sans"/>
    </w:rPr>
  </w:style>
  <w:style w:type="paragraph" w:styleId="List3">
    <w:name w:val="List 3"/>
    <w:basedOn w:val="Normal"/>
    <w:uiPriority w:val="99"/>
    <w:unhideWhenUsed/>
    <w:rsid w:val="00326F90"/>
    <w:pPr>
      <w:ind w:left="1080" w:hanging="360"/>
      <w:contextualSpacing/>
    </w:pPr>
    <w:rPr>
      <w:rFonts w:ascii="Noto Sans" w:hAnsi="Noto Sans" w:eastAsia="Noto Sans"/>
    </w:rPr>
  </w:style>
  <w:style w:type="paragraph" w:styleId="ListBullet">
    <w:name w:val="List Bullet"/>
    <w:basedOn w:val="Normal"/>
    <w:uiPriority w:val="99"/>
    <w:unhideWhenUsed/>
    <w:rsid w:val="00326F90"/>
    <w:pPr>
      <w:numPr>
        <w:numId w:val="1"/>
      </w:numPr>
      <w:contextualSpacing/>
    </w:pPr>
    <w:rPr>
      <w:rFonts w:ascii="Noto Sans" w:hAnsi="Noto Sans" w:eastAsia="Noto Sans"/>
    </w:rPr>
  </w:style>
  <w:style w:type="paragraph" w:styleId="ListBullet2">
    <w:name w:val="List Bullet 2"/>
    <w:basedOn w:val="Normal"/>
    <w:uiPriority w:val="99"/>
    <w:unhideWhenUsed/>
    <w:rsid w:val="00326F90"/>
    <w:pPr>
      <w:numPr>
        <w:numId w:val="2"/>
      </w:numPr>
      <w:contextualSpacing/>
    </w:pPr>
    <w:rPr>
      <w:rFonts w:ascii="Noto Sans" w:hAnsi="Noto Sans" w:eastAsia="Noto Sans"/>
    </w:rPr>
  </w:style>
  <w:style w:type="paragraph" w:styleId="ListBullet3">
    <w:name w:val="List Bullet 3"/>
    <w:basedOn w:val="Normal"/>
    <w:uiPriority w:val="99"/>
    <w:unhideWhenUsed/>
    <w:rsid w:val="00326F90"/>
    <w:pPr>
      <w:numPr>
        <w:numId w:val="3"/>
      </w:numPr>
      <w:contextualSpacing/>
    </w:pPr>
    <w:rPr>
      <w:rFonts w:ascii="Noto Sans" w:hAnsi="Noto Sans" w:eastAsia="Noto Sans"/>
    </w:rPr>
  </w:style>
  <w:style w:type="paragraph" w:styleId="ListNumber">
    <w:name w:val="List Number"/>
    <w:basedOn w:val="Normal"/>
    <w:uiPriority w:val="99"/>
    <w:unhideWhenUsed/>
    <w:rsid w:val="00326F90"/>
    <w:pPr>
      <w:numPr>
        <w:numId w:val="5"/>
      </w:numPr>
      <w:contextualSpacing/>
    </w:pPr>
    <w:rPr>
      <w:rFonts w:ascii="Noto Sans" w:hAnsi="Noto Sans" w:eastAsia="Noto Sans"/>
    </w:rPr>
  </w:style>
  <w:style w:type="paragraph" w:styleId="ListNumber2">
    <w:name w:val="List Number 2"/>
    <w:basedOn w:val="Normal"/>
    <w:uiPriority w:val="99"/>
    <w:unhideWhenUsed/>
    <w:rsid w:val="0029639D"/>
    <w:pPr>
      <w:numPr>
        <w:numId w:val="6"/>
      </w:numPr>
      <w:contextualSpacing/>
    </w:pPr>
    <w:rPr>
      <w:rFonts w:ascii="Noto Sans" w:hAnsi="Noto Sans" w:eastAsia="Noto Sans"/>
    </w:rPr>
  </w:style>
  <w:style w:type="paragraph" w:styleId="ListNumber3">
    <w:name w:val="List Number 3"/>
    <w:basedOn w:val="Normal"/>
    <w:uiPriority w:val="99"/>
    <w:unhideWhenUsed/>
    <w:rsid w:val="0029639D"/>
    <w:pPr>
      <w:numPr>
        <w:numId w:val="7"/>
      </w:numPr>
      <w:contextualSpacing/>
    </w:pPr>
    <w:rPr>
      <w:rFonts w:ascii="Noto Sans" w:hAnsi="Noto Sans" w:eastAsia="Noto Sans"/>
    </w:rPr>
  </w:style>
  <w:style w:type="paragraph" w:styleId="ListContinue">
    <w:name w:val="List Continue"/>
    <w:basedOn w:val="Normal"/>
    <w:uiPriority w:val="99"/>
    <w:unhideWhenUsed/>
    <w:rsid w:val="0029639D"/>
    <w:pPr>
      <w:spacing w:after="120"/>
      <w:ind w:left="360"/>
      <w:contextualSpacing/>
    </w:pPr>
    <w:rPr>
      <w:rFonts w:ascii="Noto Sans" w:hAnsi="Noto Sans" w:eastAsia="Noto Sans"/>
    </w:rPr>
  </w:style>
  <w:style w:type="paragraph" w:styleId="ListContinue2">
    <w:name w:val="List Continue 2"/>
    <w:basedOn w:val="Normal"/>
    <w:uiPriority w:val="99"/>
    <w:unhideWhenUsed/>
    <w:rsid w:val="0029639D"/>
    <w:pPr>
      <w:spacing w:after="120"/>
      <w:ind w:left="720"/>
      <w:contextualSpacing/>
    </w:pPr>
    <w:rPr>
      <w:rFonts w:ascii="Noto Sans" w:hAnsi="Noto Sans" w:eastAsia="Noto Sans"/>
    </w:rPr>
  </w:style>
  <w:style w:type="paragraph" w:styleId="ListContinue3">
    <w:name w:val="List Continue 3"/>
    <w:basedOn w:val="Normal"/>
    <w:uiPriority w:val="99"/>
    <w:unhideWhenUsed/>
    <w:rsid w:val="0029639D"/>
    <w:pPr>
      <w:spacing w:after="120"/>
      <w:ind w:left="1080"/>
      <w:contextualSpacing/>
    </w:pPr>
    <w:rPr>
      <w:rFonts w:ascii="Noto Sans" w:hAnsi="Noto Sans" w:eastAsia="Not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w:hAnsi="Noto Sans" w:eastAsia="Noto Sans"/>
      <w:sz w:val="20"/>
      <w:szCs w:val="20"/>
    </w:rPr>
  </w:style>
  <w:style w:type="character" w:customStyle="1" w:styleId="MacroTextChar">
    <w:name w:val="Macro Text Char"/>
    <w:basedOn w:val="DefaultParagraphFont"/>
    <w:link w:val="MacroText"/>
    <w:uiPriority w:val="99"/>
    <w:rsid w:val="0029639D"/>
    <w:rPr>
      <w:rFonts w:ascii="Noto Sans" w:hAnsi="Noto Sans" w:eastAsia="Noto Sans"/>
      <w:sz w:val="20"/>
      <w:szCs w:val="20"/>
    </w:rPr>
  </w:style>
  <w:style w:type="paragraph" w:styleId="Quote">
    <w:name w:val="Quote"/>
    <w:basedOn w:val="Normal"/>
    <w:next w:val="Normal"/>
    <w:link w:val="QuoteChar"/>
    <w:uiPriority w:val="29"/>
    <w:qFormat/>
    <w:rsid w:val="00FC693F"/>
    <w:rPr>
      <w:rFonts w:ascii="Noto Sans" w:hAnsi="Noto Sans" w:eastAsia="Noto Sans"/>
      <w:i/>
      <w:iCs/>
      <w:color w:val="000000" w:themeColor="text1"/>
    </w:rPr>
  </w:style>
  <w:style w:type="character" w:customStyle="1" w:styleId="QuoteChar">
    <w:name w:val="Quote Char"/>
    <w:basedOn w:val="DefaultParagraphFont"/>
    <w:link w:val="Quote"/>
    <w:uiPriority w:val="29"/>
    <w:rsid w:val="00FC693F"/>
    <w:rPr>
      <w:rFonts w:ascii="Noto Sans" w:hAnsi="Noto Sans" w:eastAsia="Not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w:hAnsi="Noto Sans" w:eastAsia="Not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w:hAnsi="Noto Sans" w:eastAsia="Not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w:hAnsi="Noto Sans" w:eastAsia="Not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w:hAnsi="Noto Sans" w:eastAsia="Not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w:hAnsi="Noto Sans" w:eastAsia="Not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w:hAnsi="Noto Sans" w:eastAsia="Not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eastAsia="Noto Sans"/>
      <w:b/>
      <w:bCs/>
      <w:color w:val="4F81BD" w:themeColor="accent1"/>
      <w:sz w:val="18"/>
      <w:szCs w:val="18"/>
    </w:rPr>
  </w:style>
  <w:style w:type="character" w:styleId="Strong">
    <w:name w:val="Strong"/>
    <w:basedOn w:val="DefaultParagraphFont"/>
    <w:uiPriority w:val="22"/>
    <w:qFormat/>
    <w:rsid w:val="00FC693F"/>
    <w:rPr>
      <w:rFonts w:ascii="Noto Sans" w:hAnsi="Noto Sans" w:eastAsia="Noto Sans"/>
      <w:b/>
      <w:bCs/>
    </w:rPr>
  </w:style>
  <w:style w:type="character" w:styleId="Emphasis">
    <w:name w:val="Emphasis"/>
    <w:basedOn w:val="DefaultParagraphFont"/>
    <w:uiPriority w:val="20"/>
    <w:qFormat/>
    <w:rsid w:val="00FC693F"/>
    <w:rPr>
      <w:rFonts w:ascii="Noto Sans" w:hAnsi="Noto Sans" w:eastAsia="Not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w:hAnsi="Noto Sans" w:eastAsia="Noto Sans"/>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w:hAnsi="Noto Sans" w:eastAsia="Noto Sans"/>
      <w:b/>
      <w:bCs/>
      <w:i/>
      <w:iCs/>
      <w:color w:val="4F81BD" w:themeColor="accent1"/>
    </w:rPr>
  </w:style>
  <w:style w:type="character" w:styleId="SubtleEmphasis">
    <w:name w:val="Subtle Emphasis"/>
    <w:basedOn w:val="DefaultParagraphFont"/>
    <w:uiPriority w:val="19"/>
    <w:qFormat/>
    <w:rsid w:val="00FC693F"/>
    <w:rPr>
      <w:rFonts w:ascii="Noto Sans" w:hAnsi="Noto Sans" w:eastAsia="Noto Sans"/>
      <w:i/>
      <w:iCs/>
      <w:color w:val="808080" w:themeColor="text1" w:themeTint="7F"/>
    </w:rPr>
  </w:style>
  <w:style w:type="character" w:styleId="IntenseEmphasis">
    <w:name w:val="Intense Emphasis"/>
    <w:basedOn w:val="DefaultParagraphFont"/>
    <w:uiPriority w:val="21"/>
    <w:qFormat/>
    <w:rsid w:val="00FC693F"/>
    <w:rPr>
      <w:rFonts w:ascii="Noto Sans" w:hAnsi="Noto Sans" w:eastAsia="Noto Sans"/>
      <w:b/>
      <w:bCs/>
      <w:i/>
      <w:iCs/>
      <w:color w:val="4F81BD" w:themeColor="accent1"/>
    </w:rPr>
  </w:style>
  <w:style w:type="character" w:styleId="SubtleReference">
    <w:name w:val="Subtle Reference"/>
    <w:basedOn w:val="DefaultParagraphFont"/>
    <w:uiPriority w:val="31"/>
    <w:qFormat/>
    <w:rsid w:val="00FC693F"/>
    <w:rPr>
      <w:rFonts w:ascii="Noto Sans" w:hAnsi="Noto Sans" w:eastAsia="Noto Sans"/>
      <w:smallCaps/>
      <w:color w:val="C0504D" w:themeColor="accent2"/>
      <w:u w:val="single"/>
    </w:rPr>
  </w:style>
  <w:style w:type="character" w:styleId="IntenseReference">
    <w:name w:val="Intense Reference"/>
    <w:basedOn w:val="DefaultParagraphFont"/>
    <w:uiPriority w:val="32"/>
    <w:qFormat/>
    <w:rsid w:val="00FC693F"/>
    <w:rPr>
      <w:rFonts w:ascii="Noto Sans" w:hAnsi="Noto Sans" w:eastAsia="Noto Sans"/>
      <w:b/>
      <w:bCs/>
      <w:smallCaps/>
      <w:color w:val="C0504D" w:themeColor="accent2"/>
      <w:spacing w:val="5"/>
      <w:u w:val="single"/>
    </w:rPr>
  </w:style>
  <w:style w:type="character" w:styleId="BookTitle">
    <w:name w:val="Book Title"/>
    <w:basedOn w:val="DefaultParagraphFont"/>
    <w:uiPriority w:val="33"/>
    <w:qFormat/>
    <w:rsid w:val="00FC693F"/>
    <w:rPr>
      <w:rFonts w:ascii="Noto Sans" w:hAnsi="Noto Sans" w:eastAsia="Noto Sans"/>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w:hAnsi="Noto Sans" w:eastAsia="Noto Sans"/>
    </w:rPr>
  </w:style>
  <w:style w:type="table" w:styleId="TableGrid">
    <w:name w:val="Table Grid"/>
    <w:basedOn w:val="TableNormal"/>
    <w:uiPriority w:val="59"/>
    <w:rsid w:val="00FC693F"/>
    <w:pPr>
      <w:spacing w:after="0" w:line="240" w:lineRule="auto"/>
    </w:pPr>
    <w:rPr>
      <w:rFonts w:ascii="Noto Sans" w:hAnsi="Noto Sans" w:eastAsia="Not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w:hAnsi="Noto Sans" w:eastAsia="Not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w:hAnsi="Noto Sans" w:eastAsia="Not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w:hAnsi="Noto Sans" w:eastAsia="Not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w:hAnsi="Noto Sans" w:eastAsia="Not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w:hAnsi="Noto Sans" w:eastAsia="Not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w:hAnsi="Noto Sans" w:eastAsia="Not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w:hAnsi="Noto Sans" w:eastAsia="Not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w:hAnsi="Noto Sans" w:eastAsia="Not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w:hAnsi="Noto Sans" w:eastAsia="Not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w:hAnsi="Noto Sans" w:eastAsia="Not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w:hAnsi="Noto Sans" w:eastAsia="Not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w:hAnsi="Noto Sans" w:eastAsia="Not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w:hAnsi="Noto Sans" w:eastAsia="Not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w:hAnsi="Noto Sans" w:eastAsia="Not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w:hAnsi="Noto Sans" w:eastAsia="Not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w:hAnsi="Noto Sans" w:eastAsia="Not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w:hAnsi="Noto Sans" w:eastAsia="Not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w:hAnsi="Noto Sans" w:eastAsia="Not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w:hAnsi="Noto Sans" w:eastAsia="Not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w:hAnsi="Noto Sans" w:eastAsia="Not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w:hAnsi="Noto Sans" w:eastAsia="Not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w:hAnsi="Noto Sans" w:eastAsia="Not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w:hAnsi="Noto Sans" w:eastAsia="Not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w:hAnsi="Noto Sans" w:eastAsia="Not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w:hAnsi="Noto Sans" w:eastAsia="Not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w:hAnsi="Noto Sans" w:eastAsia="Not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w:hAnsi="Noto Sans" w:eastAsia="Not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w:hAnsi="Noto Sans" w:eastAsia="Not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w:hAnsi="Noto San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w:hAnsi="Noto San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w:hAnsi="Noto San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w:hAnsi="Noto San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w:hAnsi="Noto San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w:hAnsi="Noto San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w:hAnsi="Noto Sans" w:eastAsia="Not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w:hAnsi="Noto Sans" w:eastAsia="Not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w:hAnsi="Noto Sans" w:eastAsia="Not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w:hAnsi="Noto Sans" w:eastAsia="Not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w:hAnsi="Noto Sans" w:eastAsia="Not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w:hAnsi="Noto Sans" w:eastAsia="Not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w:hAnsi="Noto Sans" w:eastAsia="Not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w:hAnsi="Noto Sans" w:eastAsia="Not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ans" w:hAnsi="Noto Sans" w:eastAsia="Not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w:hAnsi="Noto San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w:hAnsi="Noto San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w:hAnsi="Noto San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w:hAnsi="Noto San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w:hAnsi="Noto San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w:hAnsi="Noto San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w:hAnsi="Noto Sans" w:eastAsia="Not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w:hAnsi="Noto San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w:hAnsi="Noto San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w:hAnsi="Noto San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w:hAnsi="Noto San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w:hAnsi="Noto San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w:hAnsi="Noto San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w:hAnsi="Noto Sans" w:eastAsia="Not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w:hAnsi="Noto Sans" w:eastAsia="Not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w:hAnsi="Noto San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w:hAnsi="Noto San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w:hAnsi="Noto San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w:hAnsi="Noto San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w:hAnsi="Noto San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w:hAnsi="Noto San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w:hAnsi="Noto Sans" w:eastAsia="Not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w:hAnsi="Noto San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w:hAnsi="Noto San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w:hAnsi="Noto San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w:hAnsi="Noto San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w:hAnsi="Noto San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w:hAnsi="Noto San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w:hAnsi="Noto Sans" w:eastAsia="Not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