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160" w:line="240" w:lineRule="auto"/>
        <w:jc w:val="center"/>
      </w:pPr>
      <w:r>
        <w:t>OUF — AUTHORIZATION &amp; ACCESS CONTROL</w:t>
      </w:r>
    </w:p>
    <w:p>
      <w:pPr>
        <w:spacing w:before="0" w:after="120" w:line="240" w:lineRule="auto"/>
        <w:jc w:val="center"/>
      </w:pPr>
      <w:r>
        <w:rPr>
          <w:rFonts w:ascii="Noto Sans" w:hAnsi="Noto Sans" w:eastAsia="Noto Sans"/>
          <w:b w:val="0"/>
          <w:i w:val="0"/>
          <w:color w:val="000000"/>
          <w:sz w:val="24"/>
        </w:rPr>
        <w:t>Specifica trasversale di identità federata, policy applicative e controllo degli accessi</w:t>
      </w:r>
    </w:p>
    <w:p>
      <w:pPr>
        <w:jc w:val="center"/>
      </w:pPr>
      <w:r>
        <w:t>Implementation &amp; Runtime Authorization Specification — v1.5</w:t>
      </w:r>
    </w:p>
    <w:p/>
    <w:tbl>
      <w:tblPr>
        <w:tblStyle w:val="TableGrid"/>
        <w:tblW w:type="auto" w:w="0"/>
        <w:jc w:val="center"/>
        <w:tblLayout w:type="fixed"/>
        <w:tblLook w:firstColumn="1" w:firstRow="1" w:lastColumn="0" w:lastRow="0" w:noHBand="0" w:noVBand="1" w:val="04A0"/>
      </w:tblPr>
      <w:tblGrid>
        <w:gridCol w:w="2835"/>
        <w:gridCol w:w="5953"/>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Campo</w:t>
            </w:r>
          </w:p>
        </w:tc>
        <w:tc>
          <w:tcPr>
            <w:tcW w:type="dxa" w:w="4703"/>
            <w:shd w:fill="0B4F6C"/>
            <w:vAlign w:val="center"/>
          </w:tcPr>
          <w:p>
            <w:pPr>
              <w:spacing w:before="0" w:after="40" w:line="240" w:lineRule="auto"/>
              <w:jc w:val="left"/>
            </w:pPr>
            <w:r>
              <w:rPr>
                <w:rFonts w:ascii="Noto Sans" w:hAnsi="Noto Sans" w:eastAsia="Noto Sans"/>
                <w:b/>
                <w:i w:val="0"/>
                <w:color w:val="FFFFFF"/>
                <w:sz w:val="17"/>
              </w:rPr>
              <w:t>Valore</w:t>
            </w:r>
          </w:p>
        </w:tc>
      </w:tr>
      <w:tr>
        <w:tc>
          <w:tcPr>
            <w:tcW w:type="dxa" w:w="2835"/>
            <w:vAlign w:val="top"/>
            <w:shd w:fill="F8FAFC"/>
          </w:tcPr>
          <w:p>
            <w:pPr>
              <w:spacing w:before="0" w:after="40" w:line="252" w:lineRule="auto"/>
            </w:pPr>
            <w:r>
              <w:rPr>
                <w:rFonts w:ascii="Noto Sans" w:hAnsi="Noto Sans" w:eastAsia="Noto Sans"/>
                <w:b w:val="0"/>
                <w:i w:val="0"/>
                <w:color w:val="000000"/>
                <w:sz w:val="17"/>
              </w:rPr>
              <w:t>Versione documento</w:t>
            </w:r>
          </w:p>
        </w:tc>
        <w:tc>
          <w:tcPr>
            <w:tcW w:type="dxa" w:w="5953"/>
            <w:vAlign w:val="top"/>
            <w:shd w:fill="F8FAFC"/>
          </w:tcPr>
          <w:p>
            <w:r>
              <w:t>1.4 — Implementation Readiness Consolidation / DEVELOPMENT READY</w:t>
            </w:r>
          </w:p>
        </w:tc>
      </w:tr>
      <w:tr>
        <w:tc>
          <w:tcPr>
            <w:tcW w:type="dxa" w:w="2835"/>
            <w:vAlign w:val="top"/>
          </w:tcPr>
          <w:p>
            <w:pPr>
              <w:spacing w:before="0" w:after="40" w:line="252" w:lineRule="auto"/>
            </w:pPr>
            <w:r>
              <w:rPr>
                <w:rFonts w:ascii="Noto Sans" w:hAnsi="Noto Sans" w:eastAsia="Noto Sans"/>
                <w:b w:val="0"/>
                <w:i w:val="0"/>
                <w:color w:val="000000"/>
                <w:sz w:val="17"/>
              </w:rPr>
              <w:t>Data</w:t>
            </w:r>
          </w:p>
        </w:tc>
        <w:tc>
          <w:tcPr>
            <w:tcW w:type="dxa" w:w="5953"/>
            <w:vAlign w:val="top"/>
          </w:tcPr>
          <w:p>
            <w:r>
              <w:rPr>
                <w:rFonts w:ascii="Noto Sans" w:hAnsi="Noto Sans" w:eastAsia="Noto Sans"/>
                <w:sz w:val="17"/>
              </w:rPr>
              <w:t>Settembre 2026</w:t>
            </w:r>
          </w:p>
        </w:tc>
      </w:tr>
      <w:tr>
        <w:tc>
          <w:tcPr>
            <w:tcW w:type="dxa" w:w="2835"/>
            <w:vAlign w:val="top"/>
            <w:shd w:fill="F8FAFC"/>
          </w:tcPr>
          <w:p>
            <w:pPr>
              <w:spacing w:before="0" w:after="40" w:line="252" w:lineRule="auto"/>
            </w:pPr>
            <w:r>
              <w:rPr>
                <w:rFonts w:ascii="Noto Sans" w:hAnsi="Noto Sans" w:eastAsia="Noto Sans"/>
                <w:b w:val="0"/>
                <w:i w:val="0"/>
                <w:color w:val="000000"/>
                <w:sz w:val="17"/>
              </w:rPr>
              <w:t>Stato</w:t>
            </w:r>
          </w:p>
        </w:tc>
        <w:tc>
          <w:tcPr>
            <w:tcW w:type="dxa" w:w="5953"/>
            <w:vAlign w:val="top"/>
            <w:shd w:fill="F8FAFC"/>
          </w:tcPr>
          <w:p>
            <w:r>
              <w:t>DEVELOPMENT READY v1.4 — modello Authorization v1.3 preservato; SDK, contract artifacts, persistence, failure semantics, configuration, compatibility, observability, runbook, CI/CD e cross-module readiness allineati al gold standard Ingestion.</w:t>
            </w:r>
          </w:p>
        </w:tc>
      </w:tr>
      <w:tr>
        <w:tc>
          <w:tcPr>
            <w:tcW w:type="dxa" w:w="2835"/>
            <w:vAlign w:val="top"/>
          </w:tcPr>
          <w:p>
            <w:pPr>
              <w:spacing w:before="0" w:after="40" w:line="252" w:lineRule="auto"/>
            </w:pPr>
            <w:r>
              <w:rPr>
                <w:rFonts w:ascii="Noto Sans" w:hAnsi="Noto Sans" w:eastAsia="Noto Sans"/>
                <w:b w:val="0"/>
                <w:i w:val="0"/>
                <w:color w:val="000000"/>
                <w:sz w:val="17"/>
              </w:rPr>
              <w:t>Perimetro</w:t>
            </w:r>
          </w:p>
        </w:tc>
        <w:tc>
          <w:tcPr>
            <w:tcW w:type="dxa" w:w="5953"/>
            <w:vAlign w:val="top"/>
          </w:tcPr>
          <w:p>
            <w:r>
              <w:rPr>
                <w:rFonts w:ascii="Noto Sans" w:hAnsi="Noto Sans" w:eastAsia="Noto Sans"/>
                <w:sz w:val="17"/>
              </w:rPr>
              <w:t>Authorization applicativa OUF; HUMAN federation con EVO; authority M2M configurabile A/B/C</w:t>
            </w:r>
          </w:p>
        </w:tc>
      </w:tr>
      <w:tr>
        <w:tc>
          <w:tcPr>
            <w:tcW w:type="dxa" w:w="2835"/>
            <w:vAlign w:val="top"/>
            <w:shd w:fill="F8FAFC"/>
          </w:tcPr>
          <w:p>
            <w:pPr>
              <w:spacing w:before="0" w:after="40" w:line="252" w:lineRule="auto"/>
            </w:pPr>
            <w:r>
              <w:rPr>
                <w:rFonts w:ascii="Noto Sans" w:hAnsi="Noto Sans" w:eastAsia="Noto Sans"/>
                <w:b w:val="0"/>
                <w:i w:val="0"/>
                <w:color w:val="000000"/>
                <w:sz w:val="17"/>
              </w:rPr>
              <w:t>Collocazione fisica iniziale</w:t>
            </w:r>
          </w:p>
        </w:tc>
        <w:tc>
          <w:tcPr>
            <w:tcW w:type="dxa" w:w="5953"/>
            <w:vAlign w:val="top"/>
            <w:shd w:fill="F8FAFC"/>
          </w:tcPr>
          <w:p>
            <w:pPr>
              <w:spacing w:before="0" w:after="40" w:line="252" w:lineRule="auto"/>
            </w:pPr>
            <w:r>
              <w:rPr>
                <w:rFonts w:ascii="Noto Sans" w:hAnsi="Noto Sans" w:eastAsia="Noto Sans"/>
                <w:b w:val="0"/>
                <w:i w:val="0"/>
                <w:color w:val="000000"/>
                <w:sz w:val="17"/>
              </w:rPr>
              <w:t>Authorization Policy Registry co-locato nel deployable Source Onboarding &amp; Configuration</w:t>
            </w:r>
          </w:p>
        </w:tc>
      </w:tr>
      <w:tr>
        <w:tc>
          <w:tcPr>
            <w:tcW w:type="dxa" w:w="2835"/>
            <w:vAlign w:val="top"/>
          </w:tcPr>
          <w:p>
            <w:pPr>
              <w:spacing w:before="0" w:after="40" w:line="252" w:lineRule="auto"/>
            </w:pPr>
            <w:r>
              <w:rPr>
                <w:rFonts w:ascii="Noto Sans" w:hAnsi="Noto Sans" w:eastAsia="Noto Sans"/>
                <w:b w:val="0"/>
                <w:i w:val="0"/>
                <w:color w:val="000000"/>
                <w:sz w:val="17"/>
              </w:rPr>
              <w:t>Source of truth identità/organizzazione</w:t>
            </w:r>
          </w:p>
        </w:tc>
        <w:tc>
          <w:tcPr>
            <w:tcW w:type="dxa" w:w="5953"/>
            <w:vAlign w:val="top"/>
          </w:tcPr>
          <w:p>
            <w:r>
              <w:rPr>
                <w:rFonts w:ascii="Noto Sans" w:hAnsi="Noto Sans" w:eastAsia="Noto Sans"/>
                <w:sz w:val="17"/>
              </w:rPr>
              <w:t>HUMAN: IAM centrale EVO/Maggioli. M2M: authority tecnica secondo scenario A/B/C.</w:t>
            </w:r>
          </w:p>
        </w:tc>
      </w:tr>
      <w:tr>
        <w:tc>
          <w:tcPr>
            <w:tcW w:type="dxa" w:w="2835"/>
            <w:vAlign w:val="top"/>
            <w:shd w:fill="F8FAFC"/>
          </w:tcPr>
          <w:p>
            <w:pPr>
              <w:spacing w:before="0" w:after="40" w:line="252" w:lineRule="auto"/>
            </w:pPr>
            <w:r>
              <w:rPr>
                <w:rFonts w:ascii="Noto Sans" w:hAnsi="Noto Sans" w:eastAsia="Noto Sans"/>
                <w:b w:val="0"/>
                <w:i w:val="0"/>
                <w:color w:val="000000"/>
                <w:sz w:val="17"/>
              </w:rPr>
              <w:t>Design constraint</w:t>
            </w:r>
          </w:p>
        </w:tc>
        <w:tc>
          <w:tcPr>
            <w:tcW w:type="dxa" w:w="5953"/>
            <w:vAlign w:val="top"/>
            <w:shd w:fill="F8FAFC"/>
          </w:tcPr>
          <w:p>
            <w:r>
              <w:rPr>
                <w:rFonts w:ascii="Noto Sans" w:hAnsi="Noto Sans" w:eastAsia="Noto Sans"/>
                <w:sz w:val="17"/>
              </w:rPr>
              <w:t>Core OUF complessivo entro €150.000; preferire riuso IAM. Technical IAM separato solo minimale nello scenario C.</w:t>
            </w:r>
          </w:p>
        </w:tc>
      </w:tr>
    </w:tbl>
    <w:p>
      <w:pPr>
        <w:spacing w:after="40"/>
      </w:pPr>
    </w:p>
    <w:tbl>
      <w:tblPr>
        <w:tblW w:type="auto" w:w="0"/>
        <w:jc w:val="center"/>
        <w:tblLayout w:type="fixed"/>
        <w:tblLook w:firstColumn="1" w:firstRow="1" w:lastColumn="0" w:lastRow="0" w:noHBand="0" w:noVBand="1" w:val="04A0"/>
      </w:tblPr>
      <w:tblGrid>
        <w:gridCol w:w="8787"/>
      </w:tblGrid>
      <w:tr>
        <w:trPr>
          <w:tblHeader w:val="true"/>
        </w:trPr>
        <w:tc>
          <w:tcPr>
            <w:tcW w:type="dxa" w:w="9406"/>
            <w:shd w:fill="0B4F6C"/>
            <w:tcBorders>
              <w:top w:val="single" w:sz="10" w:color="2E7D32"/>
              <w:left w:val="single" w:sz="10" w:color="2E7D32"/>
              <w:bottom w:val="single" w:sz="10" w:color="2E7D32"/>
              <w:right w:val="single" w:sz="10" w:color="2E7D32"/>
            </w:tcBorders>
          </w:tcPr>
          <w:p>
            <w:pPr>
              <w:spacing w:before="40" w:after="80" w:line="264" w:lineRule="auto"/>
            </w:pPr>
            <w:r>
              <w:rPr>
                <w:rFonts w:ascii="Noto Sans" w:hAnsi="Noto Sans" w:eastAsia="Noto Sans"/>
                <w:b/>
                <w:i w:val="0"/>
                <w:color w:val="FFFFFF"/>
                <w:sz w:val="17"/>
              </w:rPr>
              <w:t>Decisione architetturale</w:t>
            </w:r>
          </w:p>
          <w:p>
            <w:pPr>
              <w:spacing w:before="0" w:after="40" w:line="264" w:lineRule="auto"/>
            </w:pPr>
            <w:r>
              <w:rPr>
                <w:rFonts w:ascii="Noto Sans" w:hAnsi="Noto Sans" w:eastAsia="Noto Sans"/>
                <w:b/>
                <w:i w:val="0"/>
                <w:color w:val="FFFFFF"/>
                <w:sz w:val="17"/>
              </w:rPr>
              <w:t>OUF non duplica utenti, password, MFA, sessioni, struttura organizzativa o ruoli dell’Ente. L’IAM centrale resta autoritativo per identità e appartenenza organizzativa. OUF governa esclusivamente la mappatura ruolo/attributi → capability e i vincoli applicativi necessari ai propri moduli.</w:t>
            </w:r>
          </w:p>
        </w:tc>
      </w:tr>
    </w:tbl>
    <w:p>
      <w:pPr>
        <w:spacing w:after="20"/>
      </w:pPr>
    </w:p>
    <w:tbl>
      <w:tblPr>
        <w:tblW w:type="auto" w:w="0"/>
        <w:jc w:val="center"/>
        <w:tblLayout w:type="fixed"/>
        <w:tblLook w:firstColumn="1" w:firstRow="1" w:lastColumn="0" w:lastRow="0" w:noHBand="0" w:noVBand="1" w:val="04A0"/>
      </w:tblPr>
      <w:tblGrid>
        <w:gridCol w:w="8787"/>
      </w:tblGrid>
      <w:tr>
        <w:trPr>
          <w:tblHeader w:val="true"/>
        </w:trPr>
        <w:tc>
          <w:tcPr>
            <w:tcW w:type="dxa" w:w="9406"/>
            <w:shd w:fill="0B4F6C"/>
            <w:tcBorders>
              <w:top w:val="single" w:sz="10" w:color="0B4F6C"/>
              <w:left w:val="single" w:sz="10" w:color="0B4F6C"/>
              <w:bottom w:val="single" w:sz="10" w:color="0B4F6C"/>
              <w:right w:val="single" w:sz="10" w:color="0B4F6C"/>
            </w:tcBorders>
          </w:tcPr>
          <w:p>
            <w:r>
              <w:rPr>
                <w:rFonts w:ascii="Noto Sans" w:hAnsi="Noto Sans" w:eastAsia="Noto Sans"/>
                <w:b/>
                <w:color w:val="FFFFFF"/>
                <w:sz w:val="17"/>
              </w:rPr>
              <w:t>Assunzione esterna da validare in integrazione</w:t>
              <w:br/>
              <w:t>Il progetto EVO con Maggioli renderà disponibili Keycloak/IAM e struttura organizzativa/ruoli per HUMAN_USER. Va verificato separatamente se lo stesso perimetro supporta e governa M2M; in caso contrario si applicano scenario B o C.</w:t>
            </w:r>
          </w:p>
        </w:tc>
      </w:tr>
    </w:tbl>
    <w:p>
      <w:pPr>
        <w:spacing w:after="20"/>
      </w:pPr>
    </w:p>
    <w:p>
      <w:r>
        <w:rPr>
          <w:rFonts w:ascii="Noto Sans" w:hAnsi="Noto Sans" w:eastAsia="Noto Sans"/>
        </w:rPr>
      </w:r>
    </w:p>
    <w:p>
      <w:pPr>
        <w:pStyle w:val="Heading2"/>
      </w:pPr>
      <w:r>
        <w:t>Executive delta v1.5 — Operational Awareness Authorization</w:t>
      </w:r>
    </w:p>
    <w:p>
      <w:pPr/>
      <w:r>
        <w:t>La v1.5 introduce le policy normative per la consultazione conversazionale dello stato operativo OUF. La lettura di health, fault, incidenti, retry ed evidence è una capability applicativa autorizzata, non un accesso implicito ai sistemi di monitoring. Il modello/chatbot non è un security boundary; tenant scope, source scope, visibility class e redaction sono applicati server-side.</w:t>
      </w:r>
    </w:p>
    <w:p>
      <w:pPr>
        <w:pStyle w:val="Heading1"/>
        <w:keepNext/>
      </w:pPr>
      <w:r>
        <w:rPr>
          <w:rFonts w:ascii="Noto Sans" w:hAnsi="Noto Sans" w:eastAsia="Noto Sans"/>
        </w:rPr>
        <w:t>0. Executive Summary</w:t>
      </w:r>
    </w:p>
    <w:p>
      <w:pPr>
        <w:spacing w:before="0" w:after="120" w:line="276" w:lineRule="auto"/>
      </w:pPr>
      <w:r>
        <w:rPr>
          <w:rFonts w:ascii="Noto Sans" w:hAnsi="Noto Sans" w:eastAsia="Noto Sans"/>
        </w:rPr>
        <w:t>La presente specifica definisce il modello trasversale di Authorization &amp; Access Control dell’Open Urban Framework. La v1.2 recepisce inoltre le capability operative e conversazionali introdotte dall’Ingestion Runtime v1.1 e dal Source Onboarding &amp; Configuration v1.2, senza trasformare l’Authorization Policy Registry in un IAM completo o in un orchestratore di runtime. Per le identità umane mantiene un unico punto di verità per identità, struttura organizzativa e ruoli dell’Ente, riutilizzando l’IAM centrale previsto dal progetto EVO/Maggioli. Per le identità macchina non assume che EVO supporti M2M: congela tre scenari interoperabili di authority tecnica. In tutti i casi OUF conserva soltanto le regole applicative che stabiliscono cosa ciascun ruolo, attore o servizio può fare sulle capability OUF.</w:t>
      </w:r>
    </w:p>
    <w:p>
      <w:pPr>
        <w:spacing w:before="0" w:after="120" w:line="276" w:lineRule="auto"/>
      </w:pPr>
      <w:r>
        <w:rPr>
          <w:rFonts w:ascii="Noto Sans" w:hAnsi="Noto Sans" w:eastAsia="Noto Sans"/>
          <w:b w:val="0"/>
          <w:i w:val="0"/>
          <w:color w:val="000000"/>
          <w:sz w:val="18"/>
        </w:rPr>
        <w:t>La soluzione evita la creazione di un secondo IAM e, coerentemente con il vincolo economico complessivo del core OUF, non introduce un nuovo deployable nella baseline v1.0. Il componente logico Authorization Policy Registry è implementato nello stesso deployable del Source Onboarding &amp; Configuration; l’enforcement resta distribuito nei servizi OUF attraverso una libreria comune e policy pubblicate/versionate.</w:t>
      </w:r>
    </w:p>
    <w:tbl>
      <w:tblPr>
        <w:tblStyle w:val="TableGrid"/>
        <w:tblW w:type="auto" w:w="0"/>
        <w:jc w:val="center"/>
        <w:tblLayout w:type="fixed"/>
        <w:tblLook w:firstColumn="1" w:firstRow="1" w:lastColumn="0" w:lastRow="0" w:noHBand="0" w:noVBand="1" w:val="04A0"/>
      </w:tblPr>
      <w:tblGrid>
        <w:gridCol w:w="2381"/>
        <w:gridCol w:w="6406"/>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Autorità</w:t>
            </w:r>
          </w:p>
        </w:tc>
        <w:tc>
          <w:tcPr>
            <w:tcW w:type="dxa" w:w="4703"/>
            <w:shd w:fill="0B4F6C"/>
            <w:vAlign w:val="center"/>
          </w:tcPr>
          <w:p>
            <w:pPr>
              <w:spacing w:before="0" w:after="40" w:line="240" w:lineRule="auto"/>
              <w:jc w:val="left"/>
            </w:pPr>
            <w:r>
              <w:rPr>
                <w:rFonts w:ascii="Noto Sans" w:hAnsi="Noto Sans" w:eastAsia="Noto Sans"/>
                <w:b/>
                <w:i w:val="0"/>
                <w:color w:val="FFFFFF"/>
                <w:sz w:val="17"/>
              </w:rPr>
              <w:t>Responsabilità</w:t>
            </w:r>
          </w:p>
        </w:tc>
      </w:tr>
      <w:tr>
        <w:tc>
          <w:tcPr>
            <w:tcW w:type="dxa" w:w="2381"/>
            <w:vAlign w:val="top"/>
            <w:shd w:fill="F8FAFC"/>
          </w:tcPr>
          <w:p>
            <w:r>
              <w:rPr>
                <w:rFonts w:ascii="Noto Sans" w:hAnsi="Noto Sans" w:eastAsia="Noto Sans"/>
                <w:sz w:val="17"/>
              </w:rPr>
              <w:t>IAM centrale Ente / EVO [HUMAN]</w:t>
            </w:r>
          </w:p>
        </w:tc>
        <w:tc>
          <w:tcPr>
            <w:tcW w:type="dxa" w:w="6406"/>
            <w:vAlign w:val="top"/>
            <w:shd w:fill="F8FAFC"/>
          </w:tcPr>
          <w:p>
            <w:r>
              <w:rPr>
                <w:rFonts w:ascii="Noto Sans" w:hAnsi="Noto Sans" w:eastAsia="Noto Sans"/>
                <w:sz w:val="17"/>
              </w:rPr>
              <w:t>Identità umane, autenticazione, MFA, sessioni, struttura organizzativa, ruoli istituzionali e lifecycle degli account umani.</w:t>
            </w:r>
          </w:p>
        </w:tc>
      </w:tr>
      <w:tr>
        <w:tc>
          <w:tcPr>
            <w:tcW w:type="dxa" w:w="2381"/>
            <w:vAlign w:val="top"/>
          </w:tcPr>
          <w:p>
            <w:pPr>
              <w:spacing w:before="0" w:after="40" w:line="252" w:lineRule="auto"/>
            </w:pPr>
            <w:r>
              <w:rPr>
                <w:rFonts w:ascii="Noto Sans" w:hAnsi="Noto Sans" w:eastAsia="Noto Sans"/>
                <w:b w:val="0"/>
                <w:i w:val="0"/>
                <w:color w:val="000000"/>
                <w:sz w:val="17"/>
              </w:rPr>
              <w:t>Urban API Gateway</w:t>
            </w:r>
          </w:p>
        </w:tc>
        <w:tc>
          <w:tcPr>
            <w:tcW w:type="dxa" w:w="6406"/>
            <w:vAlign w:val="top"/>
          </w:tcPr>
          <w:p>
            <w:pPr>
              <w:spacing w:before="0" w:after="40" w:line="252" w:lineRule="auto"/>
            </w:pPr>
            <w:r>
              <w:rPr>
                <w:rFonts w:ascii="Noto Sans" w:hAnsi="Noto Sans" w:eastAsia="Noto Sans"/>
                <w:b w:val="0"/>
                <w:i w:val="0"/>
                <w:color w:val="000000"/>
                <w:sz w:val="17"/>
              </w:rPr>
              <w:t>Validazione token, issuer/audience/signature/exp, coarse scopes, route policy, rate limiting e boundary enforcement.</w:t>
            </w:r>
          </w:p>
        </w:tc>
      </w:tr>
      <w:tr>
        <w:tc>
          <w:tcPr>
            <w:tcW w:type="dxa" w:w="2381"/>
            <w:vAlign w:val="top"/>
            <w:shd w:fill="F8FAFC"/>
          </w:tcPr>
          <w:p>
            <w:pPr>
              <w:spacing w:before="0" w:after="40" w:line="252" w:lineRule="auto"/>
            </w:pPr>
            <w:r>
              <w:rPr>
                <w:rFonts w:ascii="Noto Sans" w:hAnsi="Noto Sans" w:eastAsia="Noto Sans"/>
                <w:b w:val="0"/>
                <w:i w:val="0"/>
                <w:color w:val="000000"/>
                <w:sz w:val="17"/>
              </w:rPr>
              <w:t>OUF Authorization Policy Registry</w:t>
            </w:r>
          </w:p>
        </w:tc>
        <w:tc>
          <w:tcPr>
            <w:tcW w:type="dxa" w:w="6406"/>
            <w:vAlign w:val="top"/>
            <w:shd w:fill="F8FAFC"/>
          </w:tcPr>
          <w:p>
            <w:pPr>
              <w:spacing w:before="0" w:after="40" w:line="252" w:lineRule="auto"/>
            </w:pPr>
            <w:r>
              <w:rPr>
                <w:rFonts w:ascii="Noto Sans" w:hAnsi="Noto Sans" w:eastAsia="Noto Sans"/>
                <w:b w:val="0"/>
                <w:i w:val="0"/>
                <w:color w:val="000000"/>
                <w:sz w:val="17"/>
              </w:rPr>
              <w:t>System of record delle policy applicative OUF: ruolo/attributi → capability, scope organizzativi, vincoli actor-type, segregation of duties, policy versioning.</w:t>
            </w:r>
          </w:p>
        </w:tc>
      </w:tr>
      <w:tr>
        <w:tc>
          <w:tcPr>
            <w:tcW w:type="dxa" w:w="2381"/>
            <w:vAlign w:val="top"/>
          </w:tcPr>
          <w:p>
            <w:pPr>
              <w:spacing w:before="0" w:after="40" w:line="252" w:lineRule="auto"/>
            </w:pPr>
            <w:r>
              <w:rPr>
                <w:rFonts w:ascii="Noto Sans" w:hAnsi="Noto Sans" w:eastAsia="Noto Sans"/>
                <w:b w:val="0"/>
                <w:i w:val="0"/>
                <w:color w:val="000000"/>
                <w:sz w:val="17"/>
              </w:rPr>
              <w:t>Servizi OUF</w:t>
            </w:r>
          </w:p>
        </w:tc>
        <w:tc>
          <w:tcPr>
            <w:tcW w:type="dxa" w:w="6406"/>
            <w:vAlign w:val="top"/>
          </w:tcPr>
          <w:p>
            <w:pPr>
              <w:spacing w:before="0" w:after="40" w:line="252" w:lineRule="auto"/>
            </w:pPr>
            <w:r>
              <w:rPr>
                <w:rFonts w:ascii="Noto Sans" w:hAnsi="Noto Sans" w:eastAsia="Noto Sans"/>
                <w:b w:val="0"/>
                <w:i w:val="0"/>
                <w:color w:val="000000"/>
                <w:sz w:val="17"/>
              </w:rPr>
              <w:t>Policy Enforcement Point per le autorizzazioni fini e per le guard di stato del dominio.</w:t>
            </w:r>
          </w:p>
        </w:tc>
      </w:tr>
      <w:tr>
        <w:tc>
          <w:tcPr>
            <w:tcW w:type="dxa" w:w="2381"/>
            <w:vAlign w:val="top"/>
            <w:shd w:fill="F8FAFC"/>
          </w:tcPr>
          <w:p>
            <w:pPr>
              <w:spacing w:before="0" w:after="40" w:line="252" w:lineRule="auto"/>
            </w:pPr>
            <w:r>
              <w:rPr>
                <w:rFonts w:ascii="Noto Sans" w:hAnsi="Noto Sans" w:eastAsia="Noto Sans"/>
                <w:b w:val="0"/>
                <w:i w:val="0"/>
                <w:color w:val="000000"/>
                <w:sz w:val="17"/>
              </w:rPr>
              <w:t>Trusted Approval Surface</w:t>
            </w:r>
          </w:p>
        </w:tc>
        <w:tc>
          <w:tcPr>
            <w:tcW w:type="dxa" w:w="6406"/>
            <w:vAlign w:val="top"/>
            <w:shd w:fill="F8FAFC"/>
          </w:tcPr>
          <w:p>
            <w:pPr>
              <w:spacing w:before="0" w:after="40" w:line="252" w:lineRule="auto"/>
            </w:pPr>
            <w:r>
              <w:rPr>
                <w:rFonts w:ascii="Noto Sans" w:hAnsi="Noto Sans" w:eastAsia="Noto Sans"/>
                <w:b w:val="0"/>
                <w:i w:val="0"/>
                <w:color w:val="000000"/>
                <w:sz w:val="17"/>
              </w:rPr>
              <w:t>Conferma umana delle operazioni autoritative; non sostituisce IAM e non può essere controllata dall’AI.</w:t>
            </w:r>
          </w:p>
        </w:tc>
      </w:tr>
      <w:tr>
        <w:tc>
          <w:tcPr>
            <w:tcW w:type="dxa" w:w="2381"/>
          </w:tcPr>
          <w:p>
            <w:r>
              <w:rPr>
                <w:rFonts w:ascii="Noto Sans" w:hAnsi="Noto Sans" w:eastAsia="Noto Sans"/>
                <w:sz w:val="17"/>
              </w:rPr>
              <w:t>M2M Identity Authority [A/B/C]</w:t>
            </w:r>
          </w:p>
        </w:tc>
        <w:tc>
          <w:tcPr>
            <w:tcW w:type="dxa" w:w="6406"/>
          </w:tcPr>
          <w:p>
            <w:r>
              <w:rPr>
                <w:rFonts w:ascii="Noto Sans" w:hAnsi="Noto Sans" w:eastAsia="Noto Sans"/>
                <w:sz w:val="17"/>
              </w:rPr>
              <w:t>Emette/riconosce service e workload identity OUF; può coincidere con EVO, usare un realm/perimetro tecnico separato sulla stessa infrastruttura o essere un Technical IAM OUF minimale.</w:t>
            </w:r>
          </w:p>
        </w:tc>
      </w:tr>
    </w:tbl>
    <w:p>
      <w:pPr>
        <w:spacing w:after="40"/>
      </w:pPr>
    </w:p>
    <w:tbl>
      <w:tblPr>
        <w:tblW w:type="auto" w:w="0"/>
        <w:jc w:val="center"/>
        <w:tblLayout w:type="fixed"/>
        <w:tblLook w:firstColumn="1" w:firstRow="1" w:lastColumn="0" w:lastRow="0" w:noHBand="0" w:noVBand="1" w:val="04A0"/>
      </w:tblPr>
      <w:tblGrid>
        <w:gridCol w:w="8787"/>
      </w:tblGrid>
      <w:tr>
        <w:trPr>
          <w:tblHeader w:val="true"/>
        </w:trPr>
        <w:tc>
          <w:tcPr>
            <w:tcW w:type="dxa" w:w="9406"/>
            <w:shd w:fill="0B4F6C"/>
            <w:tcBorders>
              <w:top w:val="single" w:sz="10" w:color="0B4F6C"/>
              <w:left w:val="single" w:sz="10" w:color="0B4F6C"/>
              <w:bottom w:val="single" w:sz="10" w:color="0B4F6C"/>
              <w:right w:val="single" w:sz="10" w:color="0B4F6C"/>
            </w:tcBorders>
          </w:tcPr>
          <w:p>
            <w:pPr>
              <w:spacing w:before="40" w:after="80" w:line="264" w:lineRule="auto"/>
            </w:pPr>
            <w:r>
              <w:rPr>
                <w:rFonts w:ascii="Noto Sans" w:hAnsi="Noto Sans" w:eastAsia="Noto Sans"/>
                <w:b/>
                <w:i w:val="0"/>
                <w:color w:val="FFFFFF"/>
                <w:sz w:val="17"/>
              </w:rPr>
              <w:t>Principio fondamentale</w:t>
            </w:r>
          </w:p>
          <w:p>
            <w:pPr>
              <w:spacing w:before="0" w:after="40" w:line="264" w:lineRule="auto"/>
            </w:pPr>
            <w:r>
              <w:rPr>
                <w:rFonts w:ascii="Noto Sans" w:hAnsi="Noto Sans" w:eastAsia="Noto Sans"/>
                <w:b/>
                <w:i w:val="0"/>
                <w:color w:val="FFFFFF"/>
                <w:sz w:val="17"/>
              </w:rPr>
              <w:t>Authentication e organizational authority sono esterne e condivise; application authorization è OUF. Gateway = coarse enforcement. Servizi = fine-grained enforcement.</w:t>
            </w:r>
          </w:p>
        </w:tc>
      </w:tr>
    </w:tbl>
    <w:p>
      <w:pPr>
        <w:spacing w:after="20"/>
      </w:pPr>
    </w:p>
    <w:p>
      <w:pPr>
        <w:pStyle w:val="Heading2"/>
        <w:keepNext/>
      </w:pPr>
      <w:r>
        <w:t>0.1 Risultato della baseline</w:t>
      </w:r>
    </w:p>
    <w:p>
      <w:pPr>
        <w:pStyle w:val="ListBullet"/>
        <w:spacing w:before="0" w:after="60" w:line="264" w:lineRule="auto"/>
      </w:pPr>
      <w:r>
        <w:rPr>
          <w:rFonts w:ascii="Noto Sans" w:hAnsi="Noto Sans" w:eastAsia="Noto Sans"/>
        </w:rPr>
        <w:t>Un solo source of truth per identità umane, ruoli organizzativi e struttura dell’Ente: EVO/IAM centrale.</w:t>
      </w:r>
    </w:p>
    <w:p>
      <w:pPr>
        <w:pStyle w:val="ListBullet"/>
        <w:spacing w:before="0" w:after="60" w:line="264" w:lineRule="auto"/>
      </w:pPr>
      <w:r>
        <w:rPr>
          <w:rFonts w:ascii="Noto Sans" w:hAnsi="Noto Sans" w:eastAsia="Noto Sans"/>
          <w:b w:val="0"/>
          <w:i w:val="0"/>
          <w:color w:val="000000"/>
          <w:sz w:val="18"/>
        </w:rPr>
        <w:t>Nessun database locale OUF degli utenti o replica autoritativa del DB ruoli.</w:t>
      </w:r>
    </w:p>
    <w:p>
      <w:pPr>
        <w:pStyle w:val="ListBullet"/>
        <w:spacing w:before="0" w:after="60" w:line="264" w:lineRule="auto"/>
      </w:pPr>
      <w:r>
        <w:rPr>
          <w:rFonts w:ascii="Noto Sans" w:hAnsi="Noto Sans" w:eastAsia="Noto Sans"/>
          <w:b w:val="0"/>
          <w:i w:val="0"/>
          <w:color w:val="000000"/>
          <w:sz w:val="18"/>
        </w:rPr>
        <w:t>Policy OUF versionate, approvate, auditabili e pubblicabili come bundle immutabili.</w:t>
      </w:r>
    </w:p>
    <w:p>
      <w:pPr>
        <w:pStyle w:val="ListBullet"/>
        <w:spacing w:before="0" w:after="60" w:line="264" w:lineRule="auto"/>
      </w:pPr>
      <w:r>
        <w:rPr>
          <w:rFonts w:ascii="Noto Sans" w:hAnsi="Noto Sans" w:eastAsia="Noto Sans"/>
          <w:b w:val="0"/>
          <w:i w:val="0"/>
          <w:color w:val="000000"/>
          <w:sz w:val="18"/>
        </w:rPr>
        <w:t>Separazione verificabile HUMAN_USER / AI_AGENT / MCP_SERVER / SERVICE_IDENTITY.</w:t>
      </w:r>
    </w:p>
    <w:p>
      <w:pPr>
        <w:pStyle w:val="ListBullet"/>
        <w:spacing w:before="0" w:after="60" w:line="264" w:lineRule="auto"/>
      </w:pPr>
      <w:r>
        <w:rPr>
          <w:rFonts w:ascii="Noto Sans" w:hAnsi="Noto Sans" w:eastAsia="Noto Sans"/>
          <w:b w:val="0"/>
          <w:i w:val="0"/>
          <w:color w:val="000000"/>
          <w:sz w:val="18"/>
        </w:rPr>
        <w:t>Azioni approve/publish/activate human-only quando richiesto dalla policy.</w:t>
      </w:r>
    </w:p>
    <w:p>
      <w:pPr>
        <w:pStyle w:val="ListBullet"/>
        <w:spacing w:before="0" w:after="60" w:line="264" w:lineRule="auto"/>
      </w:pPr>
      <w:r>
        <w:rPr>
          <w:rFonts w:ascii="Noto Sans" w:hAnsi="Noto Sans" w:eastAsia="Noto Sans"/>
          <w:b w:val="0"/>
          <w:i w:val="0"/>
          <w:color w:val="000000"/>
          <w:sz w:val="18"/>
        </w:rPr>
        <w:t>Possibilità di usare claim del token e, solo quando necessario, lookup governato dell’organizzazione/ruoli.</w:t>
      </w:r>
    </w:p>
    <w:p>
      <w:pPr>
        <w:pStyle w:val="ListBullet"/>
        <w:spacing w:before="0" w:after="60" w:line="264" w:lineRule="auto"/>
      </w:pPr>
      <w:r>
        <w:rPr>
          <w:rFonts w:ascii="Noto Sans" w:hAnsi="Noto Sans" w:eastAsia="Noto Sans"/>
          <w:b w:val="0"/>
          <w:i w:val="0"/>
          <w:color w:val="000000"/>
          <w:sz w:val="18"/>
        </w:rPr>
        <w:t>Integrazione fisica minimale: nessun nuovo microservizio IAM nella release iniziale.</w:t>
      </w:r>
    </w:p>
    <w:p>
      <w:r>
        <w:rPr>
          <w:rFonts w:ascii="Noto Sans" w:hAnsi="Noto Sans" w:eastAsia="Noto Sans"/>
        </w:rPr>
      </w:r>
    </w:p>
    <w:p/>
    <w:p>
      <w:pPr>
        <w:pStyle w:val="Heading2"/>
      </w:pPr>
      <w:r>
        <w:t>Executive delta v1.4 — Implementation Readiness Consolidation</w:t>
      </w:r>
    </w:p>
    <w:p/>
    <w:p>
      <w:r>
        <w:t>La v1.4 assume l’Ingestion Runtime v1.2 come gold standard di completezza esecutiva. Non modifica il trust model, la separazione HUMAN/SERVICE/AI_AGENT, la collocazione iniziale dell’Authorization Policy Registry nel control plane o il principio di enforcement locale tramite shared Authorization SDK. La revisione chiude i gap implementativi su contract artifacts, API/SPI Java, persistence/migrations, failure taxonomy, retry e cache semantics, compatibility N/N+1, runtime configuration, BOM, observability, runbook, recovery, CI/CD, supplier evidence e readiness gate dei policy bundle. La scelta M2M A/B/C resta una decisione di piattaforma obbligatoria prima dell’integrazione reale, non una scelta demandata al team Authorization.</w:t>
      </w:r>
    </w:p>
    <w:p>
      <w:pPr>
        <w:pStyle w:val="Heading2"/>
      </w:pPr>
      <w:r>
        <w:t>Executive delta v1.3 — UDP v1.2 / Cross-Module Alignment</w:t>
      </w:r>
    </w:p>
    <w:p>
      <w:pPr/>
      <w:r>
        <w:t>La v1.3 allinea Authorization &amp; Access Control alla Cross-Module Alignment Matrix v1.1, alla UDP / Urban Object Registry v1.2 baseline, all'Ingestion Runtime v1.2 EF e al Source Onboarding &amp; Configuration v1.3 EF. Il perimetro resta trasversale e lean: Authorization decide chi può invocare una capability e quali dati/risorse può vedere; il Query Complexity Governor decide invece se un workload autorizzato è ammissibile entro budget e limiti operativi. La revisione estende il capability catalog a object serving, relationship, graph, spatial, lineage, history, export, resolution e approval; rende normativo l'enforcement fine-grained server-side prima di MCP/AI e distingue esplicitamente raw, lineage, history ed export access. Non viene introdotto un nuovo deployable o un policy engine esterno obbligatorio.</w:t>
      </w:r>
    </w:p>
    <w:p>
      <w:pPr>
        <w:pStyle w:val="Heading1"/>
        <w:keepNext/>
      </w:pPr>
      <w:r>
        <w:rPr>
          <w:rFonts w:ascii="Noto Sans" w:hAnsi="Noto Sans" w:eastAsia="Noto Sans"/>
        </w:rPr>
        <w:t>1. Scopo, perimetro e non-obiettivi</w:t>
      </w:r>
    </w:p>
    <w:p>
      <w:pPr>
        <w:pStyle w:val="Heading2"/>
        <w:keepNext/>
      </w:pPr>
      <w:r>
        <w:rPr>
          <w:rFonts w:ascii="Noto Sans" w:hAnsi="Noto Sans" w:eastAsia="Noto Sans"/>
        </w:rPr>
        <w:t>1.1 Scopo</w:t>
      </w:r>
    </w:p>
    <w:p>
      <w:pPr>
        <w:spacing w:before="0" w:after="120" w:line="276" w:lineRule="auto"/>
      </w:pPr>
      <w:r>
        <w:rPr>
          <w:rFonts w:ascii="Noto Sans" w:hAnsi="Noto Sans" w:eastAsia="Noto Sans"/>
        </w:rPr>
        <w:t>La specifica stabilisce i contratti e i vincoli con cui OUF interpreta identità umane, ruoli e attributi provenienti dall’IAM centrale dell’Ente e identità tecniche provenienti dall’authority M2M selezionata, traducendoli in decisioni autorizzative sulle capability della piattaforma. Definisce inoltre il modello di policy, il lifecycle, la distribuzione, l’enforcement, l’audit e i criteri di collaudo.</w:t>
      </w:r>
    </w:p>
    <w:p>
      <w:pPr>
        <w:pStyle w:val="Heading2"/>
        <w:keepNext/>
      </w:pPr>
      <w:r>
        <w:rPr>
          <w:rFonts w:ascii="Noto Sans" w:hAnsi="Noto Sans" w:eastAsia="Noto Sans"/>
        </w:rPr>
        <w:t>1.2 In scope</w:t>
      </w:r>
    </w:p>
    <w:p>
      <w:pPr>
        <w:pStyle w:val="ListBullet"/>
        <w:spacing w:before="0" w:after="60" w:line="264" w:lineRule="auto"/>
      </w:pPr>
      <w:r>
        <w:rPr>
          <w:rFonts w:ascii="Noto Sans" w:hAnsi="Noto Sans" w:eastAsia="Noto Sans"/>
        </w:rPr>
        <w:t>Federazione OIDC/OAuth2 con l’IAM centrale dell’Ente per HUMAN_USER e con una authority M2M conforme per workload/service identity.</w:t>
      </w:r>
    </w:p>
    <w:p>
      <w:pPr>
        <w:pStyle w:val="ListBullet"/>
        <w:spacing w:before="0" w:after="60" w:line="264" w:lineRule="auto"/>
      </w:pPr>
      <w:r>
        <w:rPr>
          <w:rFonts w:ascii="Noto Sans" w:hAnsi="Noto Sans" w:eastAsia="Noto Sans"/>
          <w:b w:val="0"/>
          <w:i w:val="0"/>
          <w:color w:val="000000"/>
          <w:sz w:val="18"/>
        </w:rPr>
        <w:t>Modello degli attori umani, agentici e service-to-service.</w:t>
      </w:r>
    </w:p>
    <w:p>
      <w:pPr>
        <w:pStyle w:val="ListBullet"/>
        <w:spacing w:before="0" w:after="60" w:line="264" w:lineRule="auto"/>
      </w:pPr>
      <w:r>
        <w:rPr>
          <w:rFonts w:ascii="Noto Sans" w:hAnsi="Noto Sans" w:eastAsia="Noto Sans"/>
          <w:b w:val="0"/>
          <w:i w:val="0"/>
          <w:color w:val="000000"/>
          <w:sz w:val="18"/>
        </w:rPr>
        <w:t>Contratto minimo dei claim utilizzabili da OUF.</w:t>
      </w:r>
    </w:p>
    <w:p>
      <w:pPr>
        <w:pStyle w:val="ListBullet"/>
        <w:spacing w:before="0" w:after="60" w:line="264" w:lineRule="auto"/>
      </w:pPr>
      <w:r>
        <w:rPr>
          <w:rFonts w:ascii="Noto Sans" w:hAnsi="Noto Sans" w:eastAsia="Noto Sans"/>
          <w:b w:val="0"/>
          <w:i w:val="0"/>
          <w:color w:val="000000"/>
          <w:sz w:val="18"/>
        </w:rPr>
        <w:t>Mappatura externalRoleRef / organizational attributes → OUF capability grants.</w:t>
      </w:r>
    </w:p>
    <w:p>
      <w:pPr>
        <w:pStyle w:val="ListBullet"/>
        <w:spacing w:before="0" w:after="60" w:line="264" w:lineRule="auto"/>
      </w:pPr>
      <w:r>
        <w:rPr>
          <w:rFonts w:ascii="Noto Sans" w:hAnsi="Noto Sans" w:eastAsia="Noto Sans"/>
          <w:b w:val="0"/>
          <w:i w:val="0"/>
          <w:color w:val="000000"/>
          <w:sz w:val="18"/>
        </w:rPr>
        <w:t>Vincoli per unità organizzativa, dominio, risorsa, purpose e actor type quando necessari.</w:t>
      </w:r>
    </w:p>
    <w:p>
      <w:pPr>
        <w:pStyle w:val="ListBullet"/>
        <w:spacing w:before="0" w:after="60" w:line="264" w:lineRule="auto"/>
      </w:pPr>
      <w:r>
        <w:rPr>
          <w:rFonts w:ascii="Noto Sans" w:hAnsi="Noto Sans" w:eastAsia="Noto Sans"/>
          <w:b w:val="0"/>
          <w:i w:val="0"/>
          <w:color w:val="000000"/>
          <w:sz w:val="18"/>
        </w:rPr>
        <w:t>Policy lifecycle DRAFT → IN_REVIEW → APPROVED → ACTIVE → SUPERSEDED/REVOKED.</w:t>
      </w:r>
    </w:p>
    <w:p>
      <w:pPr>
        <w:pStyle w:val="ListBullet"/>
        <w:spacing w:before="0" w:after="60" w:line="264" w:lineRule="auto"/>
      </w:pPr>
      <w:r>
        <w:rPr>
          <w:rFonts w:ascii="Noto Sans" w:hAnsi="Noto Sans" w:eastAsia="Noto Sans"/>
          <w:b w:val="0"/>
          <w:i w:val="0"/>
          <w:color w:val="000000"/>
          <w:sz w:val="18"/>
        </w:rPr>
        <w:t>Policy publication bundle immutabile e distribuzione ai servizi.</w:t>
      </w:r>
    </w:p>
    <w:p>
      <w:pPr>
        <w:pStyle w:val="ListBullet"/>
        <w:spacing w:before="0" w:after="60" w:line="264" w:lineRule="auto"/>
      </w:pPr>
      <w:r>
        <w:rPr>
          <w:rFonts w:ascii="Noto Sans" w:hAnsi="Noto Sans" w:eastAsia="Noto Sans"/>
          <w:b w:val="0"/>
          <w:i w:val="0"/>
          <w:color w:val="000000"/>
          <w:sz w:val="18"/>
        </w:rPr>
        <w:t>Fine-grained authorization nei moduli OUF.</w:t>
      </w:r>
    </w:p>
    <w:p>
      <w:pPr>
        <w:pStyle w:val="ListBullet"/>
        <w:spacing w:before="0" w:after="60" w:line="264" w:lineRule="auto"/>
      </w:pPr>
      <w:r>
        <w:rPr>
          <w:rFonts w:ascii="Noto Sans" w:hAnsi="Noto Sans" w:eastAsia="Noto Sans"/>
          <w:b w:val="0"/>
          <w:i w:val="0"/>
          <w:color w:val="000000"/>
          <w:sz w:val="18"/>
        </w:rPr>
        <w:t>Segregation of duties e human-only operations.</w:t>
      </w:r>
    </w:p>
    <w:p>
      <w:pPr>
        <w:pStyle w:val="ListBullet"/>
        <w:spacing w:before="0" w:after="60" w:line="264" w:lineRule="auto"/>
      </w:pPr>
      <w:r>
        <w:rPr>
          <w:rFonts w:ascii="Noto Sans" w:hAnsi="Noto Sans" w:eastAsia="Noto Sans"/>
          <w:b w:val="0"/>
          <w:i w:val="0"/>
          <w:color w:val="000000"/>
          <w:sz w:val="18"/>
        </w:rPr>
        <w:t>Authorization context nell’audit e nelle ApprovalDecision.</w:t>
      </w:r>
    </w:p>
    <w:p>
      <w:pPr>
        <w:pStyle w:val="ListBullet"/>
        <w:spacing w:before="0" w:after="60" w:line="264" w:lineRule="auto"/>
      </w:pPr>
      <w:r>
        <w:rPr>
          <w:rFonts w:ascii="Noto Sans" w:hAnsi="Noto Sans" w:eastAsia="Noto Sans"/>
          <w:b w:val="0"/>
          <w:i w:val="0"/>
          <w:color w:val="000000"/>
          <w:sz w:val="18"/>
        </w:rPr>
        <w:t>Test di conformance e failure-mode.</w:t>
      </w:r>
    </w:p>
    <w:p>
      <w:pPr>
        <w:pStyle w:val="Heading2"/>
        <w:keepNext/>
      </w:pPr>
      <w:r>
        <w:rPr>
          <w:rFonts w:ascii="Noto Sans" w:hAnsi="Noto Sans" w:eastAsia="Noto Sans"/>
        </w:rPr>
        <w:t>1.3 Out of scope</w:t>
      </w:r>
    </w:p>
    <w:p>
      <w:pPr>
        <w:pStyle w:val="ListBullet"/>
        <w:spacing w:before="0" w:after="60" w:line="264" w:lineRule="auto"/>
      </w:pPr>
      <w:r>
        <w:rPr>
          <w:rFonts w:ascii="Noto Sans" w:hAnsi="Noto Sans" w:eastAsia="Noto Sans"/>
          <w:b w:val="0"/>
          <w:i w:val="0"/>
          <w:color w:val="000000"/>
          <w:sz w:val="18"/>
        </w:rPr>
        <w:t>Creazione o gestione di account utente, password, MFA, recovery o sessioni locali.</w:t>
      </w:r>
    </w:p>
    <w:p>
      <w:pPr>
        <w:pStyle w:val="ListBullet"/>
        <w:spacing w:before="0" w:after="60" w:line="264" w:lineRule="auto"/>
      </w:pPr>
      <w:r>
        <w:rPr>
          <w:rFonts w:ascii="Noto Sans" w:hAnsi="Noto Sans" w:eastAsia="Noto Sans"/>
          <w:b w:val="0"/>
          <w:i w:val="0"/>
          <w:color w:val="000000"/>
          <w:sz w:val="18"/>
        </w:rPr>
        <w:t>Replica autoritativa della struttura organizzativa dell’Ente.</w:t>
      </w:r>
    </w:p>
    <w:p>
      <w:pPr>
        <w:pStyle w:val="ListBullet"/>
        <w:spacing w:before="0" w:after="60" w:line="264" w:lineRule="auto"/>
      </w:pPr>
      <w:r>
        <w:rPr>
          <w:rFonts w:ascii="Noto Sans" w:hAnsi="Noto Sans" w:eastAsia="Noto Sans"/>
          <w:b w:val="0"/>
          <w:i w:val="0"/>
          <w:color w:val="000000"/>
          <w:sz w:val="18"/>
        </w:rPr>
        <w:t>Gestione anagrafica HR o lifecycle del personale.</w:t>
      </w:r>
    </w:p>
    <w:p>
      <w:pPr>
        <w:pStyle w:val="ListBullet"/>
        <w:spacing w:before="0" w:after="60" w:line="264" w:lineRule="auto"/>
      </w:pPr>
      <w:r>
        <w:rPr>
          <w:rFonts w:ascii="Noto Sans" w:hAnsi="Noto Sans" w:eastAsia="Noto Sans"/>
        </w:rPr>
        <w:t>Sostituzione di Keycloak/IAM EVO o del database ruoli dell’Ente per le identità umane; è invece ammessa una Technical Identity Authority OUF minimale per le sole identità macchina nello scenario C.</w:t>
      </w:r>
    </w:p>
    <w:p>
      <w:pPr>
        <w:pStyle w:val="ListBullet"/>
        <w:spacing w:before="0" w:after="60" w:line="264" w:lineRule="auto"/>
      </w:pPr>
      <w:r>
        <w:rPr>
          <w:rFonts w:ascii="Noto Sans" w:hAnsi="Noto Sans" w:eastAsia="Noto Sans"/>
          <w:b w:val="0"/>
          <w:i w:val="0"/>
          <w:color w:val="000000"/>
          <w:sz w:val="18"/>
        </w:rPr>
        <w:t>Implementazione di un prodotto IAM autonomo dentro OUF.</w:t>
      </w:r>
    </w:p>
    <w:p>
      <w:pPr>
        <w:pStyle w:val="ListBullet"/>
        <w:spacing w:before="0" w:after="60" w:line="264" w:lineRule="auto"/>
      </w:pPr>
      <w:r>
        <w:rPr>
          <w:rFonts w:ascii="Noto Sans" w:hAnsi="Noto Sans" w:eastAsia="Noto Sans"/>
          <w:b w:val="0"/>
          <w:i w:val="0"/>
          <w:color w:val="000000"/>
          <w:sz w:val="18"/>
        </w:rPr>
        <w:t>Introduzione obbligatoria di un policy engine esterno (OPA, Cedar o equivalente).</w:t>
      </w:r>
    </w:p>
    <w:p>
      <w:pPr>
        <w:pStyle w:val="ListBullet"/>
        <w:spacing w:before="0" w:after="60" w:line="264" w:lineRule="auto"/>
      </w:pPr>
      <w:r>
        <w:rPr>
          <w:rFonts w:ascii="Noto Sans" w:hAnsi="Noto Sans" w:eastAsia="Noto Sans"/>
          <w:b w:val="0"/>
          <w:i w:val="0"/>
          <w:color w:val="000000"/>
          <w:sz w:val="18"/>
        </w:rPr>
        <w:t>Autorizzazione di business specifica di domini non ancora progettati oltre alle regole trasversali congelate qui.</w:t>
      </w:r>
    </w:p>
    <w:p>
      <w:r>
        <w:rPr>
          <w:rFonts w:ascii="Noto Sans" w:hAnsi="Noto Sans" w:eastAsia="Noto Sans"/>
        </w:rPr>
      </w:r>
    </w:p>
    <w:p>
      <w:pPr>
        <w:pStyle w:val="Heading1"/>
        <w:keepNext/>
      </w:pPr>
      <w:r>
        <w:rPr>
          <w:rFonts w:ascii="Noto Sans" w:hAnsi="Noto Sans" w:eastAsia="Noto Sans"/>
        </w:rPr>
        <w:t>2. Baseline, riferimenti e assunzioni</w:t>
      </w:r>
    </w:p>
    <w:p>
      <w:pPr>
        <w:spacing w:before="0" w:after="120" w:line="276" w:lineRule="auto"/>
      </w:pPr>
      <w:r>
        <w:rPr>
          <w:rFonts w:ascii="Noto Sans" w:hAnsi="Noto Sans" w:eastAsia="Noto Sans"/>
        </w:rPr>
        <w:t>La specifica consolida decisioni già presenti nei progetti esecutivi OUF. EVO/Maggioli è assunto come autorità per identità umane, autenticazione, struttura organizzativa e ruoli dell’Ente. La capacità di EVO di governare identità machine-to-machine non è assunta: viene verificata in integrazione e sono congelati tre scenari alternativi.</w:t>
      </w:r>
    </w:p>
    <w:tbl>
      <w:tblPr>
        <w:tblStyle w:val="TableGrid"/>
        <w:tblW w:type="auto" w:w="0"/>
        <w:jc w:val="center"/>
        <w:tblLayout w:type="fixed"/>
        <w:tblLook w:firstColumn="1" w:firstRow="1" w:lastColumn="0" w:lastRow="0" w:noHBand="0" w:noVBand="1" w:val="04A0"/>
      </w:tblPr>
      <w:tblGrid>
        <w:gridCol w:w="2835"/>
        <w:gridCol w:w="5953"/>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Riferimento</w:t>
            </w:r>
          </w:p>
        </w:tc>
        <w:tc>
          <w:tcPr>
            <w:tcW w:type="dxa" w:w="4703"/>
            <w:shd w:fill="0B4F6C"/>
            <w:vAlign w:val="center"/>
          </w:tcPr>
          <w:p>
            <w:pPr>
              <w:spacing w:before="0" w:after="40" w:line="240" w:lineRule="auto"/>
              <w:jc w:val="left"/>
            </w:pPr>
            <w:r>
              <w:rPr>
                <w:rFonts w:ascii="Noto Sans" w:hAnsi="Noto Sans" w:eastAsia="Noto Sans"/>
                <w:b/>
                <w:i w:val="0"/>
                <w:color w:val="FFFFFF"/>
                <w:sz w:val="17"/>
              </w:rPr>
              <w:t>Decisione riusata</w:t>
            </w:r>
          </w:p>
        </w:tc>
      </w:tr>
      <w:tr>
        <w:tc>
          <w:tcPr>
            <w:tcW w:type="dxa" w:w="2835"/>
            <w:vAlign w:val="top"/>
            <w:shd w:fill="F8FAFC"/>
          </w:tcPr>
          <w:p>
            <w:pPr>
              <w:spacing w:before="0" w:after="40" w:line="252" w:lineRule="auto"/>
            </w:pPr>
            <w:r>
              <w:rPr>
                <w:rFonts w:ascii="Noto Sans" w:hAnsi="Noto Sans" w:eastAsia="Noto Sans"/>
                <w:b w:val="0"/>
                <w:i w:val="0"/>
                <w:color w:val="000000"/>
                <w:sz w:val="17"/>
              </w:rPr>
              <w:t>Urban API Gateway v1.0.5</w:t>
            </w:r>
          </w:p>
        </w:tc>
        <w:tc>
          <w:tcPr>
            <w:tcW w:type="dxa" w:w="5953"/>
            <w:vAlign w:val="top"/>
            <w:shd w:fill="F8FAFC"/>
          </w:tcPr>
          <w:p>
            <w:pPr>
              <w:spacing w:before="0" w:after="40" w:line="252" w:lineRule="auto"/>
            </w:pPr>
            <w:r>
              <w:rPr>
                <w:rFonts w:ascii="Noto Sans" w:hAnsi="Noto Sans" w:eastAsia="Noto Sans"/>
                <w:b w:val="0"/>
                <w:i w:val="0"/>
                <w:color w:val="000000"/>
                <w:sz w:val="17"/>
              </w:rPr>
              <w:t>IdP OIDC riusabile; Keycloak non va duplicato quando esiste IAM comunale compatibile; Gateway valida token e scopes, senza logica di business.</w:t>
            </w:r>
          </w:p>
        </w:tc>
      </w:tr>
      <w:tr>
        <w:tc>
          <w:tcPr>
            <w:tcW w:type="dxa" w:w="2835"/>
            <w:vAlign w:val="top"/>
          </w:tcPr>
          <w:p>
            <w:pPr>
              <w:spacing w:before="0" w:after="40" w:line="252" w:lineRule="auto"/>
            </w:pPr>
            <w:r>
              <w:rPr>
                <w:rFonts w:ascii="Noto Sans" w:hAnsi="Noto Sans" w:eastAsia="Noto Sans"/>
                <w:b w:val="0"/>
                <w:i w:val="0"/>
                <w:color w:val="000000"/>
                <w:sz w:val="17"/>
              </w:rPr>
              <w:t>Source Onboarding &amp; Configuration v1.0</w:t>
            </w:r>
          </w:p>
        </w:tc>
        <w:tc>
          <w:tcPr>
            <w:tcW w:type="dxa" w:w="5953"/>
            <w:vAlign w:val="top"/>
          </w:tcPr>
          <w:p>
            <w:pPr>
              <w:spacing w:before="0" w:after="40" w:line="252" w:lineRule="auto"/>
            </w:pPr>
            <w:r>
              <w:rPr>
                <w:rFonts w:ascii="Noto Sans" w:hAnsi="Noto Sans" w:eastAsia="Noto Sans"/>
                <w:b w:val="0"/>
                <w:i w:val="0"/>
                <w:color w:val="000000"/>
                <w:sz w:val="17"/>
              </w:rPr>
              <w:t>SSO federato, actor separation HUMAN/AI/MCP/service, approval challenge, human-only approve/activate, audit append-only.</w:t>
            </w:r>
          </w:p>
        </w:tc>
      </w:tr>
      <w:tr>
        <w:tc>
          <w:tcPr>
            <w:tcW w:type="dxa" w:w="2835"/>
            <w:vAlign w:val="top"/>
            <w:shd w:fill="F8FAFC"/>
          </w:tcPr>
          <w:p>
            <w:pPr>
              <w:spacing w:before="0" w:after="40" w:line="252" w:lineRule="auto"/>
            </w:pPr>
            <w:r>
              <w:rPr>
                <w:rFonts w:ascii="Noto Sans" w:hAnsi="Noto Sans" w:eastAsia="Noto Sans"/>
                <w:b w:val="0"/>
                <w:i w:val="0"/>
                <w:color w:val="000000"/>
                <w:sz w:val="17"/>
              </w:rPr>
              <w:t>Semantic Model / Registry v1.0</w:t>
            </w:r>
          </w:p>
        </w:tc>
        <w:tc>
          <w:tcPr>
            <w:tcW w:type="dxa" w:w="5953"/>
            <w:vAlign w:val="top"/>
            <w:shd w:fill="F8FAFC"/>
          </w:tcPr>
          <w:p>
            <w:pPr>
              <w:spacing w:before="0" w:after="40" w:line="252" w:lineRule="auto"/>
            </w:pPr>
            <w:r>
              <w:rPr>
                <w:rFonts w:ascii="Noto Sans" w:hAnsi="Noto Sans" w:eastAsia="Noto Sans"/>
                <w:b w:val="0"/>
                <w:i w:val="0"/>
                <w:color w:val="000000"/>
                <w:sz w:val="17"/>
              </w:rPr>
              <w:t>HUMAN_USER distinto da AI_AGENT/MCP_SERVER/SERVICE_IDENTITY; approve/publish human-only secondo scope/policy.</w:t>
            </w:r>
          </w:p>
        </w:tc>
      </w:tr>
      <w:tr>
        <w:tc>
          <w:tcPr>
            <w:tcW w:type="dxa" w:w="2835"/>
            <w:vAlign w:val="top"/>
          </w:tcPr>
          <w:p>
            <w:pPr>
              <w:spacing w:before="0" w:after="40" w:line="252" w:lineRule="auto"/>
            </w:pPr>
            <w:r>
              <w:rPr>
                <w:rFonts w:ascii="Noto Sans" w:hAnsi="Noto Sans" w:eastAsia="Noto Sans"/>
                <w:b w:val="0"/>
                <w:i w:val="0"/>
                <w:color w:val="000000"/>
                <w:sz w:val="17"/>
              </w:rPr>
              <w:t>Blue Paper OUF</w:t>
            </w:r>
          </w:p>
        </w:tc>
        <w:tc>
          <w:tcPr>
            <w:tcW w:type="dxa" w:w="5953"/>
            <w:vAlign w:val="top"/>
          </w:tcPr>
          <w:p>
            <w:pPr>
              <w:spacing w:before="0" w:after="40" w:line="252" w:lineRule="auto"/>
            </w:pPr>
            <w:r>
              <w:rPr>
                <w:rFonts w:ascii="Noto Sans" w:hAnsi="Noto Sans" w:eastAsia="Noto Sans"/>
                <w:b w:val="0"/>
                <w:i w:val="0"/>
                <w:color w:val="000000"/>
                <w:sz w:val="17"/>
              </w:rPr>
              <w:t>Technology reuse, API-first, governance, separazione delle responsabilità e agent-readiness.</w:t>
            </w:r>
          </w:p>
        </w:tc>
      </w:tr>
      <w:tr>
        <w:tc>
          <w:tcPr>
            <w:tcW w:type="dxa" w:w="2835"/>
            <w:vAlign w:val="top"/>
            <w:shd w:fill="F8FAFC"/>
          </w:tcPr>
          <w:p>
            <w:pPr>
              <w:spacing w:before="0" w:after="40" w:line="252" w:lineRule="auto"/>
            </w:pPr>
            <w:r>
              <w:rPr>
                <w:rFonts w:ascii="Noto Sans" w:hAnsi="Noto Sans" w:eastAsia="Noto Sans"/>
                <w:b w:val="0"/>
                <w:i w:val="0"/>
                <w:color w:val="000000"/>
                <w:sz w:val="17"/>
              </w:rPr>
              <w:t>Progetto EVO/Maggioli — assunzione del committente</w:t>
            </w:r>
          </w:p>
        </w:tc>
        <w:tc>
          <w:tcPr>
            <w:tcW w:type="dxa" w:w="5953"/>
            <w:vAlign w:val="top"/>
            <w:shd w:fill="F8FAFC"/>
          </w:tcPr>
          <w:p>
            <w:r>
              <w:rPr>
                <w:rFonts w:ascii="Noto Sans" w:hAnsi="Noto Sans" w:eastAsia="Noto Sans"/>
                <w:sz w:val="17"/>
              </w:rPr>
              <w:t>IAM/Keycloak e struttura organizzativa con ruoli/permessi come source of truth HUMAN. Supporto M2M da verificare; non assunto dalla baseline.</w:t>
            </w:r>
          </w:p>
        </w:tc>
      </w:tr>
    </w:tbl>
    <w:p>
      <w:pPr>
        <w:spacing w:after="40"/>
      </w:pPr>
    </w:p>
    <w:p>
      <w:pPr>
        <w:pStyle w:val="Heading2"/>
        <w:keepNext/>
      </w:pPr>
      <w:r>
        <w:rPr>
          <w:rFonts w:ascii="Noto Sans" w:hAnsi="Noto Sans" w:eastAsia="Noto Sans"/>
        </w:rPr>
        <w:t>2.1 Assunzioni da confermare prima del go-live</w:t>
      </w:r>
    </w:p>
    <w:p>
      <w:pPr>
        <w:pStyle w:val="ListBullet"/>
        <w:spacing w:before="0" w:after="60" w:line="264" w:lineRule="auto"/>
      </w:pPr>
      <w:r>
        <w:rPr>
          <w:rFonts w:ascii="Noto Sans" w:hAnsi="Noto Sans" w:eastAsia="Noto Sans"/>
        </w:rPr>
        <w:t>L’IAM EVO espone, per HUMAN_USER, un issuer OIDC stabile e supportato con JWKS/discovery endpoint. Per M2M deve essere disponibile almeno una authority tecnica OIDC/OAuth2 conforme secondo uno dei tre scenari della sezione 6.</w:t>
      </w:r>
    </w:p>
    <w:p>
      <w:pPr>
        <w:pStyle w:val="ListBullet"/>
        <w:spacing w:before="0" w:after="60" w:line="264" w:lineRule="auto"/>
      </w:pPr>
      <w:r>
        <w:rPr>
          <w:rFonts w:ascii="Noto Sans" w:hAnsi="Noto Sans" w:eastAsia="Noto Sans"/>
          <w:b w:val="0"/>
          <w:i w:val="0"/>
          <w:color w:val="000000"/>
          <w:sz w:val="18"/>
        </w:rPr>
        <w:t>I ruoli e/o gruppi organizzativi rilevanti possono essere esposti come claim token oppure interrogati tramite API governata.</w:t>
      </w:r>
    </w:p>
    <w:p>
      <w:pPr>
        <w:pStyle w:val="ListBullet"/>
        <w:spacing w:before="0" w:after="60" w:line="264" w:lineRule="auto"/>
      </w:pPr>
      <w:r>
        <w:rPr>
          <w:rFonts w:ascii="Noto Sans" w:hAnsi="Noto Sans" w:eastAsia="Noto Sans"/>
          <w:b w:val="0"/>
          <w:i w:val="0"/>
          <w:color w:val="000000"/>
          <w:sz w:val="18"/>
        </w:rPr>
        <w:t>Esiste un identificatore stabile per ruolo e unità organizzativa, non basato sul solo label visuale.</w:t>
      </w:r>
    </w:p>
    <w:p>
      <w:pPr>
        <w:pStyle w:val="ListBullet"/>
        <w:spacing w:before="0" w:after="60" w:line="264" w:lineRule="auto"/>
      </w:pPr>
      <w:r>
        <w:rPr>
          <w:rFonts w:ascii="Noto Sans" w:hAnsi="Noto Sans" w:eastAsia="Noto Sans"/>
          <w:b w:val="0"/>
          <w:i w:val="0"/>
          <w:color w:val="000000"/>
          <w:sz w:val="18"/>
        </w:rPr>
        <w:t>È definita una politica di revoca/aggiornamento dei token coerente con i tempi di propagazione accettabili delle variazioni di ruolo.</w:t>
      </w:r>
    </w:p>
    <w:p>
      <w:pPr>
        <w:pStyle w:val="ListBullet"/>
        <w:spacing w:before="0" w:after="60" w:line="264" w:lineRule="auto"/>
      </w:pPr>
      <w:r>
        <w:rPr>
          <w:rFonts w:ascii="Noto Sans" w:hAnsi="Noto Sans" w:eastAsia="Noto Sans"/>
        </w:rPr>
        <w:t>OUF può ottenere ambienti/realm di collaudo equivalenti alla produzione sia per HUMAN_USER sia per service/workload identity secondo lo scenario M2M selezionato.</w:t>
      </w:r>
    </w:p>
    <w:p>
      <w:r>
        <w:rPr>
          <w:rFonts w:ascii="Noto Sans" w:hAnsi="Noto Sans" w:eastAsia="Noto Sans"/>
        </w:rPr>
      </w:r>
    </w:p>
    <w:p>
      <w:pPr>
        <w:pStyle w:val="Heading1"/>
        <w:keepNext/>
      </w:pPr>
      <w:r>
        <w:rPr>
          <w:rFonts w:ascii="Noto Sans" w:hAnsi="Noto Sans" w:eastAsia="Noto Sans"/>
        </w:rPr>
        <w:t>3. Principi architetturali</w:t>
      </w:r>
    </w:p>
    <w:tbl>
      <w:tblPr>
        <w:tblStyle w:val="TableGrid"/>
        <w:tblW w:type="auto" w:w="0"/>
        <w:jc w:val="center"/>
        <w:tblLayout w:type="fixed"/>
        <w:tblLook w:firstColumn="1" w:firstRow="1" w:lastColumn="0" w:lastRow="0" w:noHBand="0" w:noVBand="1" w:val="04A0"/>
      </w:tblPr>
      <w:tblGrid>
        <w:gridCol w:w="1247"/>
        <w:gridCol w:w="2381"/>
        <w:gridCol w:w="5102"/>
      </w:tblGrid>
      <w:tr>
        <w:trPr>
          <w:tblHeader w:val="true"/>
          <w:tblHeader w:val="true"/>
        </w:trPr>
        <w:tc>
          <w:tcPr>
            <w:tcW w:type="dxa" w:w="3135"/>
            <w:shd w:fill="0B4F6C"/>
            <w:vAlign w:val="center"/>
          </w:tcPr>
          <w:p>
            <w:pPr>
              <w:spacing w:before="0" w:after="40" w:line="240" w:lineRule="auto"/>
              <w:jc w:val="left"/>
            </w:pPr>
            <w:r>
              <w:rPr>
                <w:rFonts w:ascii="Noto Sans" w:hAnsi="Noto Sans" w:eastAsia="Noto Sans"/>
                <w:b/>
                <w:i w:val="0"/>
                <w:color w:val="FFFFFF"/>
                <w:sz w:val="17"/>
              </w:rPr>
              <w:t>ID</w:t>
            </w:r>
          </w:p>
        </w:tc>
        <w:tc>
          <w:tcPr>
            <w:tcW w:type="dxa" w:w="3135"/>
            <w:shd w:fill="0B4F6C"/>
            <w:vAlign w:val="center"/>
          </w:tcPr>
          <w:p>
            <w:pPr>
              <w:spacing w:before="0" w:after="40" w:line="240" w:lineRule="auto"/>
              <w:jc w:val="left"/>
            </w:pPr>
            <w:r>
              <w:rPr>
                <w:rFonts w:ascii="Noto Sans" w:hAnsi="Noto Sans" w:eastAsia="Noto Sans"/>
                <w:b/>
                <w:i w:val="0"/>
                <w:color w:val="FFFFFF"/>
                <w:sz w:val="17"/>
              </w:rPr>
              <w:t>Principio</w:t>
            </w:r>
          </w:p>
        </w:tc>
        <w:tc>
          <w:tcPr>
            <w:tcW w:type="dxa" w:w="3135"/>
            <w:shd w:fill="0B4F6C"/>
            <w:vAlign w:val="center"/>
          </w:tcPr>
          <w:p>
            <w:pPr>
              <w:spacing w:before="0" w:after="40" w:line="240" w:lineRule="auto"/>
              <w:jc w:val="left"/>
            </w:pPr>
            <w:r>
              <w:rPr>
                <w:rFonts w:ascii="Noto Sans" w:hAnsi="Noto Sans" w:eastAsia="Noto Sans"/>
                <w:b/>
                <w:i w:val="0"/>
                <w:color w:val="FFFFFF"/>
                <w:sz w:val="17"/>
              </w:rPr>
              <w:t>Vincolo</w:t>
            </w:r>
          </w:p>
        </w:tc>
      </w:tr>
      <w:tr>
        <w:tc>
          <w:tcPr>
            <w:tcW w:type="dxa" w:w="1247"/>
            <w:vAlign w:val="top"/>
            <w:shd w:fill="F8FAFC"/>
          </w:tcPr>
          <w:p>
            <w:pPr>
              <w:spacing w:before="0" w:after="40" w:line="252" w:lineRule="auto"/>
            </w:pPr>
            <w:r>
              <w:rPr>
                <w:rFonts w:ascii="Noto Sans" w:hAnsi="Noto Sans" w:eastAsia="Noto Sans"/>
                <w:b w:val="0"/>
                <w:i w:val="0"/>
                <w:color w:val="000000"/>
                <w:sz w:val="17"/>
              </w:rPr>
              <w:t>AUTH-01</w:t>
            </w:r>
          </w:p>
        </w:tc>
        <w:tc>
          <w:tcPr>
            <w:tcW w:type="dxa" w:w="2381"/>
            <w:vAlign w:val="top"/>
            <w:shd w:fill="F8FAFC"/>
          </w:tcPr>
          <w:p>
            <w:r>
              <w:rPr>
                <w:rFonts w:ascii="Noto Sans" w:hAnsi="Noto Sans" w:eastAsia="Noto Sans"/>
                <w:sz w:val="17"/>
              </w:rPr>
              <w:t>Single Human Identity Authority</w:t>
            </w:r>
          </w:p>
        </w:tc>
        <w:tc>
          <w:tcPr>
            <w:tcW w:type="dxa" w:w="5102"/>
            <w:vAlign w:val="top"/>
            <w:shd w:fill="F8FAFC"/>
          </w:tcPr>
          <w:p>
            <w:r>
              <w:rPr>
                <w:rFonts w:ascii="Noto Sans" w:hAnsi="Noto Sans" w:eastAsia="Noto Sans"/>
                <w:sz w:val="17"/>
              </w:rPr>
              <w:t>OUF riusa EVO/IAM centrale per HUMAN_USER; nessun secondo user store umano.</w:t>
            </w:r>
          </w:p>
        </w:tc>
      </w:tr>
      <w:tr>
        <w:tc>
          <w:tcPr>
            <w:tcW w:type="dxa" w:w="1247"/>
            <w:vAlign w:val="top"/>
          </w:tcPr>
          <w:p>
            <w:pPr>
              <w:spacing w:before="0" w:after="40" w:line="252" w:lineRule="auto"/>
            </w:pPr>
            <w:r>
              <w:rPr>
                <w:rFonts w:ascii="Noto Sans" w:hAnsi="Noto Sans" w:eastAsia="Noto Sans"/>
                <w:b w:val="0"/>
                <w:i w:val="0"/>
                <w:color w:val="000000"/>
                <w:sz w:val="17"/>
              </w:rPr>
              <w:t>AUTH-02</w:t>
            </w:r>
          </w:p>
        </w:tc>
        <w:tc>
          <w:tcPr>
            <w:tcW w:type="dxa" w:w="2381"/>
            <w:vAlign w:val="top"/>
          </w:tcPr>
          <w:p>
            <w:pPr>
              <w:spacing w:before="0" w:after="40" w:line="252" w:lineRule="auto"/>
            </w:pPr>
            <w:r>
              <w:rPr>
                <w:rFonts w:ascii="Noto Sans" w:hAnsi="Noto Sans" w:eastAsia="Noto Sans"/>
                <w:b w:val="0"/>
                <w:i w:val="0"/>
                <w:color w:val="000000"/>
                <w:sz w:val="17"/>
              </w:rPr>
              <w:t>Organizational Authority External</w:t>
            </w:r>
          </w:p>
        </w:tc>
        <w:tc>
          <w:tcPr>
            <w:tcW w:type="dxa" w:w="5102"/>
            <w:vAlign w:val="top"/>
          </w:tcPr>
          <w:p>
            <w:pPr>
              <w:spacing w:before="0" w:after="40" w:line="252" w:lineRule="auto"/>
            </w:pPr>
            <w:r>
              <w:rPr>
                <w:rFonts w:ascii="Noto Sans" w:hAnsi="Noto Sans" w:eastAsia="Noto Sans"/>
                <w:b w:val="0"/>
                <w:i w:val="0"/>
                <w:color w:val="000000"/>
                <w:sz w:val="17"/>
              </w:rPr>
              <w:t>Ruoli e struttura Ente restano governati dal sistema autoritativo dell’Ente.</w:t>
            </w:r>
          </w:p>
        </w:tc>
      </w:tr>
      <w:tr>
        <w:tc>
          <w:tcPr>
            <w:tcW w:type="dxa" w:w="1247"/>
            <w:vAlign w:val="top"/>
            <w:shd w:fill="F8FAFC"/>
          </w:tcPr>
          <w:p>
            <w:pPr>
              <w:spacing w:before="0" w:after="40" w:line="252" w:lineRule="auto"/>
            </w:pPr>
            <w:r>
              <w:rPr>
                <w:rFonts w:ascii="Noto Sans" w:hAnsi="Noto Sans" w:eastAsia="Noto Sans"/>
                <w:b w:val="0"/>
                <w:i w:val="0"/>
                <w:color w:val="000000"/>
                <w:sz w:val="17"/>
              </w:rPr>
              <w:t>AUTH-03</w:t>
            </w:r>
          </w:p>
        </w:tc>
        <w:tc>
          <w:tcPr>
            <w:tcW w:type="dxa" w:w="2381"/>
            <w:vAlign w:val="top"/>
            <w:shd w:fill="F8FAFC"/>
          </w:tcPr>
          <w:p>
            <w:pPr>
              <w:spacing w:before="0" w:after="40" w:line="252" w:lineRule="auto"/>
            </w:pPr>
            <w:r>
              <w:rPr>
                <w:rFonts w:ascii="Noto Sans" w:hAnsi="Noto Sans" w:eastAsia="Noto Sans"/>
                <w:b w:val="0"/>
                <w:i w:val="0"/>
                <w:color w:val="000000"/>
                <w:sz w:val="17"/>
              </w:rPr>
              <w:t>Application Authorization OUF</w:t>
            </w:r>
          </w:p>
        </w:tc>
        <w:tc>
          <w:tcPr>
            <w:tcW w:type="dxa" w:w="5102"/>
            <w:vAlign w:val="top"/>
            <w:shd w:fill="F8FAFC"/>
          </w:tcPr>
          <w:p>
            <w:pPr>
              <w:spacing w:before="0" w:after="40" w:line="252" w:lineRule="auto"/>
            </w:pPr>
            <w:r>
              <w:rPr>
                <w:rFonts w:ascii="Noto Sans" w:hAnsi="Noto Sans" w:eastAsia="Noto Sans"/>
                <w:b w:val="0"/>
                <w:i w:val="0"/>
                <w:color w:val="000000"/>
                <w:sz w:val="17"/>
              </w:rPr>
              <w:t>OUF è system of record esclusivamente delle proprie policy applicative.</w:t>
            </w:r>
          </w:p>
        </w:tc>
      </w:tr>
      <w:tr>
        <w:tc>
          <w:tcPr>
            <w:tcW w:type="dxa" w:w="1247"/>
            <w:vAlign w:val="top"/>
          </w:tcPr>
          <w:p>
            <w:pPr>
              <w:spacing w:before="0" w:after="40" w:line="252" w:lineRule="auto"/>
            </w:pPr>
            <w:r>
              <w:rPr>
                <w:rFonts w:ascii="Noto Sans" w:hAnsi="Noto Sans" w:eastAsia="Noto Sans"/>
                <w:b w:val="0"/>
                <w:i w:val="0"/>
                <w:color w:val="000000"/>
                <w:sz w:val="17"/>
              </w:rPr>
              <w:t>AUTH-04</w:t>
            </w:r>
          </w:p>
        </w:tc>
        <w:tc>
          <w:tcPr>
            <w:tcW w:type="dxa" w:w="2381"/>
            <w:vAlign w:val="top"/>
          </w:tcPr>
          <w:p>
            <w:pPr>
              <w:spacing w:before="0" w:after="40" w:line="252" w:lineRule="auto"/>
            </w:pPr>
            <w:r>
              <w:rPr>
                <w:rFonts w:ascii="Noto Sans" w:hAnsi="Noto Sans" w:eastAsia="Noto Sans"/>
                <w:b w:val="0"/>
                <w:i w:val="0"/>
                <w:color w:val="000000"/>
                <w:sz w:val="17"/>
              </w:rPr>
              <w:t>Gateway ≠ Business Authorization</w:t>
            </w:r>
          </w:p>
        </w:tc>
        <w:tc>
          <w:tcPr>
            <w:tcW w:type="dxa" w:w="5102"/>
            <w:vAlign w:val="top"/>
          </w:tcPr>
          <w:p>
            <w:pPr>
              <w:spacing w:before="0" w:after="40" w:line="252" w:lineRule="auto"/>
            </w:pPr>
            <w:r>
              <w:rPr>
                <w:rFonts w:ascii="Noto Sans" w:hAnsi="Noto Sans" w:eastAsia="Noto Sans"/>
                <w:b w:val="0"/>
                <w:i w:val="0"/>
                <w:color w:val="000000"/>
                <w:sz w:val="17"/>
              </w:rPr>
              <w:t>Il Gateway applica controlli coarse-grained; la decisione fine resta nel servizio.</w:t>
            </w:r>
          </w:p>
        </w:tc>
      </w:tr>
      <w:tr>
        <w:tc>
          <w:tcPr>
            <w:tcW w:type="dxa" w:w="1247"/>
            <w:vAlign w:val="top"/>
            <w:shd w:fill="F8FAFC"/>
          </w:tcPr>
          <w:p>
            <w:pPr>
              <w:spacing w:before="0" w:after="40" w:line="252" w:lineRule="auto"/>
            </w:pPr>
            <w:r>
              <w:rPr>
                <w:rFonts w:ascii="Noto Sans" w:hAnsi="Noto Sans" w:eastAsia="Noto Sans"/>
                <w:b w:val="0"/>
                <w:i w:val="0"/>
                <w:color w:val="000000"/>
                <w:sz w:val="17"/>
              </w:rPr>
              <w:t>AUTH-05</w:t>
            </w:r>
          </w:p>
        </w:tc>
        <w:tc>
          <w:tcPr>
            <w:tcW w:type="dxa" w:w="2381"/>
            <w:vAlign w:val="top"/>
            <w:shd w:fill="F8FAFC"/>
          </w:tcPr>
          <w:p>
            <w:pPr>
              <w:spacing w:before="0" w:after="40" w:line="252" w:lineRule="auto"/>
            </w:pPr>
            <w:r>
              <w:rPr>
                <w:rFonts w:ascii="Noto Sans" w:hAnsi="Noto Sans" w:eastAsia="Noto Sans"/>
                <w:b w:val="0"/>
                <w:i w:val="0"/>
                <w:color w:val="000000"/>
                <w:sz w:val="17"/>
              </w:rPr>
              <w:t>Human ≠ Agent ≠ Service</w:t>
            </w:r>
          </w:p>
        </w:tc>
        <w:tc>
          <w:tcPr>
            <w:tcW w:type="dxa" w:w="5102"/>
            <w:vAlign w:val="top"/>
            <w:shd w:fill="F8FAFC"/>
          </w:tcPr>
          <w:p>
            <w:pPr>
              <w:spacing w:before="0" w:after="40" w:line="252" w:lineRule="auto"/>
            </w:pPr>
            <w:r>
              <w:rPr>
                <w:rFonts w:ascii="Noto Sans" w:hAnsi="Noto Sans" w:eastAsia="Noto Sans"/>
                <w:b w:val="0"/>
                <w:i w:val="0"/>
                <w:color w:val="000000"/>
                <w:sz w:val="17"/>
              </w:rPr>
              <w:t>Actor type distinti e non convertibili tramite payload o delega.</w:t>
            </w:r>
          </w:p>
        </w:tc>
      </w:tr>
      <w:tr>
        <w:tc>
          <w:tcPr>
            <w:tcW w:type="dxa" w:w="1247"/>
            <w:vAlign w:val="top"/>
          </w:tcPr>
          <w:p>
            <w:pPr>
              <w:spacing w:before="0" w:after="40" w:line="252" w:lineRule="auto"/>
            </w:pPr>
            <w:r>
              <w:rPr>
                <w:rFonts w:ascii="Noto Sans" w:hAnsi="Noto Sans" w:eastAsia="Noto Sans"/>
                <w:b w:val="0"/>
                <w:i w:val="0"/>
                <w:color w:val="000000"/>
                <w:sz w:val="17"/>
              </w:rPr>
              <w:t>AUTH-06</w:t>
            </w:r>
          </w:p>
        </w:tc>
        <w:tc>
          <w:tcPr>
            <w:tcW w:type="dxa" w:w="2381"/>
            <w:vAlign w:val="top"/>
          </w:tcPr>
          <w:p>
            <w:pPr>
              <w:spacing w:before="0" w:after="40" w:line="252" w:lineRule="auto"/>
            </w:pPr>
            <w:r>
              <w:rPr>
                <w:rFonts w:ascii="Noto Sans" w:hAnsi="Noto Sans" w:eastAsia="Noto Sans"/>
                <w:b w:val="0"/>
                <w:i w:val="0"/>
                <w:color w:val="000000"/>
                <w:sz w:val="17"/>
              </w:rPr>
              <w:t>Least Privilege</w:t>
            </w:r>
          </w:p>
        </w:tc>
        <w:tc>
          <w:tcPr>
            <w:tcW w:type="dxa" w:w="5102"/>
            <w:vAlign w:val="top"/>
          </w:tcPr>
          <w:p>
            <w:pPr>
              <w:spacing w:before="0" w:after="40" w:line="252" w:lineRule="auto"/>
            </w:pPr>
            <w:r>
              <w:rPr>
                <w:rFonts w:ascii="Noto Sans" w:hAnsi="Noto Sans" w:eastAsia="Noto Sans"/>
                <w:b w:val="0"/>
                <w:i w:val="0"/>
                <w:color w:val="000000"/>
                <w:sz w:val="17"/>
              </w:rPr>
              <w:t>Default deny; grant espliciti; niente capability implicite.</w:t>
            </w:r>
          </w:p>
        </w:tc>
      </w:tr>
      <w:tr>
        <w:tc>
          <w:tcPr>
            <w:tcW w:type="dxa" w:w="1247"/>
            <w:vAlign w:val="top"/>
            <w:shd w:fill="F8FAFC"/>
          </w:tcPr>
          <w:p>
            <w:pPr>
              <w:spacing w:before="0" w:after="40" w:line="252" w:lineRule="auto"/>
            </w:pPr>
            <w:r>
              <w:rPr>
                <w:rFonts w:ascii="Noto Sans" w:hAnsi="Noto Sans" w:eastAsia="Noto Sans"/>
                <w:b w:val="0"/>
                <w:i w:val="0"/>
                <w:color w:val="000000"/>
                <w:sz w:val="17"/>
              </w:rPr>
              <w:t>AUTH-07</w:t>
            </w:r>
          </w:p>
        </w:tc>
        <w:tc>
          <w:tcPr>
            <w:tcW w:type="dxa" w:w="2381"/>
            <w:vAlign w:val="top"/>
            <w:shd w:fill="F8FAFC"/>
          </w:tcPr>
          <w:p>
            <w:pPr>
              <w:spacing w:before="0" w:after="40" w:line="252" w:lineRule="auto"/>
            </w:pPr>
            <w:r>
              <w:rPr>
                <w:rFonts w:ascii="Noto Sans" w:hAnsi="Noto Sans" w:eastAsia="Noto Sans"/>
                <w:b w:val="0"/>
                <w:i w:val="0"/>
                <w:color w:val="000000"/>
                <w:sz w:val="17"/>
              </w:rPr>
              <w:t>No Client Asserted Authority</w:t>
            </w:r>
          </w:p>
        </w:tc>
        <w:tc>
          <w:tcPr>
            <w:tcW w:type="dxa" w:w="5102"/>
            <w:vAlign w:val="top"/>
            <w:shd w:fill="F8FAFC"/>
          </w:tcPr>
          <w:p>
            <w:pPr>
              <w:spacing w:before="0" w:after="40" w:line="252" w:lineRule="auto"/>
            </w:pPr>
            <w:r>
              <w:rPr>
                <w:rFonts w:ascii="Noto Sans" w:hAnsi="Noto Sans" w:eastAsia="Noto Sans"/>
                <w:b w:val="0"/>
                <w:i w:val="0"/>
                <w:color w:val="000000"/>
                <w:sz w:val="17"/>
              </w:rPr>
              <w:t>actor, role, orgUnit e approver derivano da token/contesto trusted, non dal body.</w:t>
            </w:r>
          </w:p>
        </w:tc>
      </w:tr>
      <w:tr>
        <w:tc>
          <w:tcPr>
            <w:tcW w:type="dxa" w:w="1247"/>
            <w:vAlign w:val="top"/>
          </w:tcPr>
          <w:p>
            <w:pPr>
              <w:spacing w:before="0" w:after="40" w:line="252" w:lineRule="auto"/>
            </w:pPr>
            <w:r>
              <w:rPr>
                <w:rFonts w:ascii="Noto Sans" w:hAnsi="Noto Sans" w:eastAsia="Noto Sans"/>
                <w:b w:val="0"/>
                <w:i w:val="0"/>
                <w:color w:val="000000"/>
                <w:sz w:val="17"/>
              </w:rPr>
              <w:t>AUTH-08</w:t>
            </w:r>
          </w:p>
        </w:tc>
        <w:tc>
          <w:tcPr>
            <w:tcW w:type="dxa" w:w="2381"/>
            <w:vAlign w:val="top"/>
          </w:tcPr>
          <w:p>
            <w:pPr>
              <w:spacing w:before="0" w:after="40" w:line="252" w:lineRule="auto"/>
            </w:pPr>
            <w:r>
              <w:rPr>
                <w:rFonts w:ascii="Noto Sans" w:hAnsi="Noto Sans" w:eastAsia="Noto Sans"/>
                <w:b w:val="0"/>
                <w:i w:val="0"/>
                <w:color w:val="000000"/>
                <w:sz w:val="17"/>
              </w:rPr>
              <w:t>Version Everything</w:t>
            </w:r>
          </w:p>
        </w:tc>
        <w:tc>
          <w:tcPr>
            <w:tcW w:type="dxa" w:w="5102"/>
            <w:vAlign w:val="top"/>
          </w:tcPr>
          <w:p>
            <w:pPr>
              <w:spacing w:before="0" w:after="40" w:line="252" w:lineRule="auto"/>
            </w:pPr>
            <w:r>
              <w:rPr>
                <w:rFonts w:ascii="Noto Sans" w:hAnsi="Noto Sans" w:eastAsia="Noto Sans"/>
                <w:b w:val="0"/>
                <w:i w:val="0"/>
                <w:color w:val="000000"/>
                <w:sz w:val="17"/>
              </w:rPr>
              <w:t>Policy ACTIVE immutabile; modifica = nuova draft/versione.</w:t>
            </w:r>
          </w:p>
        </w:tc>
      </w:tr>
      <w:tr>
        <w:tc>
          <w:tcPr>
            <w:tcW w:type="dxa" w:w="1247"/>
            <w:vAlign w:val="top"/>
            <w:shd w:fill="F8FAFC"/>
          </w:tcPr>
          <w:p>
            <w:pPr>
              <w:spacing w:before="0" w:after="40" w:line="252" w:lineRule="auto"/>
            </w:pPr>
            <w:r>
              <w:rPr>
                <w:rFonts w:ascii="Noto Sans" w:hAnsi="Noto Sans" w:eastAsia="Noto Sans"/>
                <w:b w:val="0"/>
                <w:i w:val="0"/>
                <w:color w:val="000000"/>
                <w:sz w:val="17"/>
              </w:rPr>
              <w:t>AUTH-09</w:t>
            </w:r>
          </w:p>
        </w:tc>
        <w:tc>
          <w:tcPr>
            <w:tcW w:type="dxa" w:w="2381"/>
            <w:vAlign w:val="top"/>
            <w:shd w:fill="F8FAFC"/>
          </w:tcPr>
          <w:p>
            <w:pPr>
              <w:spacing w:before="0" w:after="40" w:line="252" w:lineRule="auto"/>
            </w:pPr>
            <w:r>
              <w:rPr>
                <w:rFonts w:ascii="Noto Sans" w:hAnsi="Noto Sans" w:eastAsia="Noto Sans"/>
                <w:b w:val="0"/>
                <w:i w:val="0"/>
                <w:color w:val="000000"/>
                <w:sz w:val="17"/>
              </w:rPr>
              <w:t>Auditability</w:t>
            </w:r>
          </w:p>
        </w:tc>
        <w:tc>
          <w:tcPr>
            <w:tcW w:type="dxa" w:w="5102"/>
            <w:vAlign w:val="top"/>
            <w:shd w:fill="F8FAFC"/>
          </w:tcPr>
          <w:p>
            <w:pPr>
              <w:spacing w:before="0" w:after="40" w:line="252" w:lineRule="auto"/>
            </w:pPr>
            <w:r>
              <w:rPr>
                <w:rFonts w:ascii="Noto Sans" w:hAnsi="Noto Sans" w:eastAsia="Noto Sans"/>
                <w:b w:val="0"/>
                <w:i w:val="0"/>
                <w:color w:val="000000"/>
                <w:sz w:val="17"/>
              </w:rPr>
              <w:t>Ogni decisione critica conserva policyVersion, subject, claims rilevanti e correlationId.</w:t>
            </w:r>
          </w:p>
        </w:tc>
      </w:tr>
      <w:tr>
        <w:tc>
          <w:tcPr>
            <w:tcW w:type="dxa" w:w="1247"/>
            <w:vAlign w:val="top"/>
          </w:tcPr>
          <w:p>
            <w:pPr>
              <w:spacing w:before="0" w:after="40" w:line="252" w:lineRule="auto"/>
            </w:pPr>
            <w:r>
              <w:rPr>
                <w:rFonts w:ascii="Noto Sans" w:hAnsi="Noto Sans" w:eastAsia="Noto Sans"/>
                <w:b w:val="0"/>
                <w:i w:val="0"/>
                <w:color w:val="000000"/>
                <w:sz w:val="17"/>
              </w:rPr>
              <w:t>AUTH-10</w:t>
            </w:r>
          </w:p>
        </w:tc>
        <w:tc>
          <w:tcPr>
            <w:tcW w:type="dxa" w:w="2381"/>
            <w:vAlign w:val="top"/>
          </w:tcPr>
          <w:p>
            <w:pPr>
              <w:spacing w:before="0" w:after="40" w:line="252" w:lineRule="auto"/>
            </w:pPr>
            <w:r>
              <w:rPr>
                <w:rFonts w:ascii="Noto Sans" w:hAnsi="Noto Sans" w:eastAsia="Noto Sans"/>
                <w:b w:val="0"/>
                <w:i w:val="0"/>
                <w:color w:val="000000"/>
                <w:sz w:val="17"/>
              </w:rPr>
              <w:t>Cost Constraint</w:t>
            </w:r>
          </w:p>
        </w:tc>
        <w:tc>
          <w:tcPr>
            <w:tcW w:type="dxa" w:w="5102"/>
            <w:vAlign w:val="top"/>
          </w:tcPr>
          <w:p>
            <w:pPr>
              <w:spacing w:before="0" w:after="40" w:line="252" w:lineRule="auto"/>
            </w:pPr>
            <w:r>
              <w:rPr>
                <w:rFonts w:ascii="Noto Sans" w:hAnsi="Noto Sans" w:eastAsia="Noto Sans"/>
                <w:b w:val="0"/>
                <w:i w:val="0"/>
                <w:color w:val="000000"/>
                <w:sz w:val="17"/>
              </w:rPr>
              <w:t>Nessun nuovo deployable o policy engine senza requisito misurabile non soddisfatto dalla baseline.</w:t>
            </w:r>
          </w:p>
        </w:tc>
      </w:tr>
      <w:tr>
        <w:tc>
          <w:tcPr>
            <w:tcW w:type="dxa" w:w="1247"/>
            <w:vAlign w:val="top"/>
            <w:shd w:fill="F8FAFC"/>
          </w:tcPr>
          <w:p>
            <w:pPr>
              <w:spacing w:before="0" w:after="40" w:line="252" w:lineRule="auto"/>
            </w:pPr>
            <w:r>
              <w:rPr>
                <w:rFonts w:ascii="Noto Sans" w:hAnsi="Noto Sans" w:eastAsia="Noto Sans"/>
                <w:b w:val="0"/>
                <w:i w:val="0"/>
                <w:color w:val="000000"/>
                <w:sz w:val="17"/>
              </w:rPr>
              <w:t>AUTH-11</w:t>
            </w:r>
          </w:p>
        </w:tc>
        <w:tc>
          <w:tcPr>
            <w:tcW w:type="dxa" w:w="2381"/>
            <w:vAlign w:val="top"/>
            <w:shd w:fill="F8FAFC"/>
          </w:tcPr>
          <w:p>
            <w:pPr>
              <w:spacing w:before="0" w:after="40" w:line="252" w:lineRule="auto"/>
            </w:pPr>
            <w:r>
              <w:rPr>
                <w:rFonts w:ascii="Noto Sans" w:hAnsi="Noto Sans" w:eastAsia="Noto Sans"/>
                <w:b w:val="0"/>
                <w:i w:val="0"/>
                <w:color w:val="000000"/>
                <w:sz w:val="17"/>
              </w:rPr>
              <w:t>Technology Reuse</w:t>
            </w:r>
          </w:p>
        </w:tc>
        <w:tc>
          <w:tcPr>
            <w:tcW w:type="dxa" w:w="5102"/>
            <w:vAlign w:val="top"/>
            <w:shd w:fill="F8FAFC"/>
          </w:tcPr>
          <w:p>
            <w:pPr>
              <w:spacing w:before="0" w:after="40" w:line="252" w:lineRule="auto"/>
            </w:pPr>
            <w:r>
              <w:rPr>
                <w:rFonts w:ascii="Noto Sans" w:hAnsi="Noto Sans" w:eastAsia="Noto Sans"/>
                <w:b w:val="0"/>
                <w:i w:val="0"/>
                <w:color w:val="000000"/>
                <w:sz w:val="17"/>
              </w:rPr>
              <w:t>Spring Security/JWT/PostgreSQL e servizi OUF condivisi prima di nuovi prodotti.</w:t>
            </w:r>
          </w:p>
        </w:tc>
      </w:tr>
      <w:tr>
        <w:tc>
          <w:tcPr>
            <w:tcW w:type="dxa" w:w="1247"/>
            <w:vAlign w:val="top"/>
          </w:tcPr>
          <w:p>
            <w:pPr>
              <w:spacing w:before="0" w:after="40" w:line="252" w:lineRule="auto"/>
            </w:pPr>
            <w:r>
              <w:rPr>
                <w:rFonts w:ascii="Noto Sans" w:hAnsi="Noto Sans" w:eastAsia="Noto Sans"/>
                <w:b w:val="0"/>
                <w:i w:val="0"/>
                <w:color w:val="000000"/>
                <w:sz w:val="17"/>
              </w:rPr>
              <w:t>AUTH-12</w:t>
            </w:r>
          </w:p>
        </w:tc>
        <w:tc>
          <w:tcPr>
            <w:tcW w:type="dxa" w:w="2381"/>
            <w:vAlign w:val="top"/>
          </w:tcPr>
          <w:p>
            <w:pPr>
              <w:spacing w:before="0" w:after="40" w:line="252" w:lineRule="auto"/>
            </w:pPr>
            <w:r>
              <w:rPr>
                <w:rFonts w:ascii="Noto Sans" w:hAnsi="Noto Sans" w:eastAsia="Noto Sans"/>
                <w:b w:val="0"/>
                <w:i w:val="0"/>
                <w:color w:val="000000"/>
                <w:sz w:val="17"/>
              </w:rPr>
              <w:t>Fail Closed</w:t>
            </w:r>
          </w:p>
        </w:tc>
        <w:tc>
          <w:tcPr>
            <w:tcW w:type="dxa" w:w="5102"/>
            <w:vAlign w:val="top"/>
          </w:tcPr>
          <w:p>
            <w:pPr>
              <w:spacing w:before="0" w:after="40" w:line="252" w:lineRule="auto"/>
            </w:pPr>
            <w:r>
              <w:rPr>
                <w:rFonts w:ascii="Noto Sans" w:hAnsi="Noto Sans" w:eastAsia="Noto Sans"/>
                <w:b w:val="0"/>
                <w:i w:val="0"/>
                <w:color w:val="000000"/>
                <w:sz w:val="17"/>
              </w:rPr>
              <w:t>Su assenza o invalidità di evidenze necessarie, l’operazione privilegiata viene negata.</w:t>
            </w:r>
          </w:p>
        </w:tc>
      </w:tr>
      <w:tr>
        <w:tc>
          <w:tcPr>
            <w:tcW w:type="dxa" w:w="1247"/>
          </w:tcPr>
          <w:p>
            <w:r>
              <w:rPr>
                <w:rFonts w:ascii="Noto Sans" w:hAnsi="Noto Sans" w:eastAsia="Noto Sans"/>
                <w:sz w:val="17"/>
              </w:rPr>
              <w:t>AUTH-13</w:t>
            </w:r>
          </w:p>
        </w:tc>
        <w:tc>
          <w:tcPr>
            <w:tcW w:type="dxa" w:w="2381"/>
          </w:tcPr>
          <w:p>
            <w:r>
              <w:rPr>
                <w:rFonts w:ascii="Noto Sans" w:hAnsi="Noto Sans" w:eastAsia="Noto Sans"/>
                <w:sz w:val="17"/>
              </w:rPr>
              <w:t>M2M Identity Authority Pluggable</w:t>
            </w:r>
          </w:p>
        </w:tc>
        <w:tc>
          <w:tcPr>
            <w:tcW w:type="dxa" w:w="5102"/>
          </w:tcPr>
          <w:p>
            <w:r>
              <w:rPr>
                <w:rFonts w:ascii="Noto Sans" w:hAnsi="Noto Sans" w:eastAsia="Noto Sans"/>
                <w:sz w:val="17"/>
              </w:rPr>
              <w:t>SERVICE_IDENTITY usa una authority tecnica esplicita secondo scenario A/B/C; internal network trust non sostituisce autenticazione.</w:t>
            </w:r>
          </w:p>
        </w:tc>
      </w:tr>
    </w:tbl>
    <w:p>
      <w:pPr>
        <w:spacing w:after="40"/>
      </w:pPr>
    </w:p>
    <w:p>
      <w:r>
        <w:rPr>
          <w:rFonts w:ascii="Noto Sans" w:hAnsi="Noto Sans" w:eastAsia="Noto Sans"/>
        </w:rPr>
      </w:r>
    </w:p>
    <w:p>
      <w:pPr>
        <w:pStyle w:val="Heading1"/>
        <w:keepNext/>
      </w:pPr>
      <w:r>
        <w:rPr>
          <w:rFonts w:ascii="Noto Sans" w:hAnsi="Noto Sans" w:eastAsia="Noto Sans"/>
        </w:rPr>
        <w:t>4. Architettura logica e collocazione fisica</w:t>
      </w:r>
    </w:p>
    <w:p>
      <w:pPr>
        <w:pStyle w:val="Heading2"/>
        <w:keepNext/>
      </w:pPr>
      <w:r>
        <w:rPr>
          <w:rFonts w:ascii="Noto Sans" w:hAnsi="Noto Sans" w:eastAsia="Noto Sans"/>
        </w:rPr>
        <w:t>4.1 Vista di insieme</w:t>
      </w:r>
    </w:p>
    <w:p>
      <w:pPr>
        <w:pStyle w:val="CodeBlock"/>
        <w:shd w:fill="F2F2F2"/>
      </w:pPr>
      <w:r>
        <w:rPr>
          <w:rFonts w:ascii="DejaVu Sans Mono" w:hAnsi="DejaVu Sans Mono" w:eastAsia="DejaVu Sans Mono"/>
          <w:sz w:val="17"/>
        </w:rPr>
        <w:t>EVO / IAM centrale / Keycloak [HUMAN AUTHORITY]</w:t>
      </w:r>
    </w:p>
    <w:p>
      <w:pPr>
        <w:pStyle w:val="CodeBlock"/>
        <w:shd w:fill="F2F2F2"/>
      </w:pPr>
      <w:r>
        <w:rPr>
          <w:rFonts w:ascii="DejaVu Sans Mono" w:hAnsi="DejaVu Sans Mono" w:eastAsia="DejaVu Sans Mono"/>
          <w:sz w:val="17"/>
        </w:rPr>
        <w:t>├─ utenti umani e autenticazione</w:t>
      </w:r>
    </w:p>
    <w:p>
      <w:pPr>
        <w:pStyle w:val="CodeBlock"/>
        <w:shd w:fill="F2F2F2"/>
      </w:pPr>
      <w:r>
        <w:rPr>
          <w:rFonts w:ascii="DejaVu Sans Mono" w:hAnsi="DejaVu Sans Mono" w:eastAsia="DejaVu Sans Mono"/>
          <w:b w:val="0"/>
          <w:i w:val="0"/>
          <w:color w:val="000000"/>
          <w:sz w:val="17"/>
        </w:rPr>
        <w:t xml:space="preserve">  ├─ MFA / sessioni</w:t>
      </w:r>
    </w:p>
    <w:p>
      <w:pPr>
        <w:pStyle w:val="CodeBlock"/>
        <w:shd w:fill="F2F2F2"/>
      </w:pPr>
      <w:r>
        <w:rPr>
          <w:rFonts w:ascii="DejaVu Sans Mono" w:hAnsi="DejaVu Sans Mono" w:eastAsia="DejaVu Sans Mono"/>
          <w:b w:val="0"/>
          <w:i w:val="0"/>
          <w:color w:val="000000"/>
          <w:sz w:val="17"/>
        </w:rPr>
        <w:t xml:space="preserve">  ├─ struttura organizzativa</w:t>
      </w:r>
    </w:p>
    <w:p>
      <w:pPr>
        <w:pStyle w:val="CodeBlock"/>
        <w:shd w:fill="F2F2F2"/>
      </w:pPr>
      <w:r>
        <w:rPr>
          <w:rFonts w:ascii="DejaVu Sans Mono" w:hAnsi="DejaVu Sans Mono" w:eastAsia="DejaVu Sans Mono"/>
          <w:sz w:val="17"/>
        </w:rPr>
        <w:t>└─ ruoli istituzionali</w:t>
        <w:br/>
        <w:br/>
        <w:t>M2M Identity Authority [scenario A / B / C]</w:t>
        <w:br/>
        <w:t>├─ stesso EVO IAM, oppure</w:t>
        <w:br/>
        <w:t>├─ realm/perimetro tecnico separato, oppure</w:t>
        <w:br/>
        <w:t>└─ Technical IAM OUF minimale</w:t>
        <w:br/>
        <w:t>│ service/workload token</w:t>
      </w:r>
    </w:p>
    <w:p>
      <w:pPr>
        <w:pStyle w:val="CodeBlock"/>
        <w:shd w:fill="F2F2F2"/>
      </w:pPr>
      <w:r>
        <w:rPr>
          <w:rFonts w:ascii="DejaVu Sans Mono" w:hAnsi="DejaVu Sans Mono" w:eastAsia="DejaVu Sans Mono"/>
          <w:b w:val="0"/>
          <w:i w:val="0"/>
          <w:color w:val="000000"/>
          <w:sz w:val="17"/>
        </w:rPr>
        <w:t xml:space="preserve">          │ OIDC/OAuth2 + claim / lookup governato</w:t>
      </w:r>
    </w:p>
    <w:p>
      <w:pPr>
        <w:pStyle w:val="CodeBlock"/>
        <w:shd w:fill="F2F2F2"/>
      </w:pPr>
      <w:r>
        <w:rPr>
          <w:rFonts w:ascii="DejaVu Sans Mono" w:hAnsi="DejaVu Sans Mono" w:eastAsia="DejaVu Sans Mono"/>
          <w:b w:val="0"/>
          <w:i w:val="0"/>
          <w:color w:val="000000"/>
          <w:sz w:val="17"/>
        </w:rPr>
        <w:t xml:space="preserve">          ▼</w:t>
      </w:r>
    </w:p>
    <w:p>
      <w:pPr>
        <w:pStyle w:val="CodeBlock"/>
        <w:shd w:fill="F2F2F2"/>
      </w:pPr>
      <w:r>
        <w:rPr>
          <w:rFonts w:ascii="DejaVu Sans Mono" w:hAnsi="DejaVu Sans Mono" w:eastAsia="DejaVu Sans Mono"/>
          <w:b w:val="0"/>
          <w:i w:val="0"/>
          <w:color w:val="000000"/>
          <w:sz w:val="17"/>
        </w:rPr>
        <w:t>Urban API Gateway</w:t>
      </w:r>
    </w:p>
    <w:p>
      <w:pPr>
        <w:pStyle w:val="CodeBlock"/>
        <w:shd w:fill="F2F2F2"/>
      </w:pPr>
      <w:r>
        <w:rPr>
          <w:rFonts w:ascii="DejaVu Sans Mono" w:hAnsi="DejaVu Sans Mono" w:eastAsia="DejaVu Sans Mono"/>
          <w:b w:val="0"/>
          <w:i w:val="0"/>
          <w:color w:val="000000"/>
          <w:sz w:val="17"/>
        </w:rPr>
        <w:t xml:space="preserve">  ├─ token validation</w:t>
      </w:r>
    </w:p>
    <w:p>
      <w:pPr>
        <w:pStyle w:val="CodeBlock"/>
        <w:shd w:fill="F2F2F2"/>
      </w:pPr>
      <w:r>
        <w:rPr>
          <w:rFonts w:ascii="DejaVu Sans Mono" w:hAnsi="DejaVu Sans Mono" w:eastAsia="DejaVu Sans Mono"/>
          <w:b w:val="0"/>
          <w:i w:val="0"/>
          <w:color w:val="000000"/>
          <w:sz w:val="17"/>
        </w:rPr>
        <w:t xml:space="preserve">  ├─ audience / scope coarse</w:t>
      </w:r>
    </w:p>
    <w:p>
      <w:pPr>
        <w:pStyle w:val="CodeBlock"/>
        <w:shd w:fill="F2F2F2"/>
      </w:pPr>
      <w:r>
        <w:rPr>
          <w:rFonts w:ascii="DejaVu Sans Mono" w:hAnsi="DejaVu Sans Mono" w:eastAsia="DejaVu Sans Mono"/>
          <w:b w:val="0"/>
          <w:i w:val="0"/>
          <w:color w:val="000000"/>
          <w:sz w:val="17"/>
        </w:rPr>
        <w:t xml:space="preserve">  └─ boundary enforcement</w:t>
      </w:r>
    </w:p>
    <w:p>
      <w:pPr>
        <w:pStyle w:val="CodeBlock"/>
        <w:shd w:fill="F2F2F2"/>
      </w:pPr>
      <w:r>
        <w:rPr>
          <w:rFonts w:ascii="DejaVu Sans Mono" w:hAnsi="DejaVu Sans Mono" w:eastAsia="DejaVu Sans Mono"/>
          <w:b w:val="0"/>
          <w:i w:val="0"/>
          <w:color w:val="000000"/>
          <w:sz w:val="17"/>
        </w:rPr>
        <w:t xml:space="preserve">          │</w:t>
      </w:r>
    </w:p>
    <w:p>
      <w:pPr>
        <w:pStyle w:val="CodeBlock"/>
        <w:shd w:fill="F2F2F2"/>
      </w:pPr>
      <w:r>
        <w:rPr>
          <w:rFonts w:ascii="DejaVu Sans Mono" w:hAnsi="DejaVu Sans Mono" w:eastAsia="DejaVu Sans Mono"/>
          <w:b w:val="0"/>
          <w:i w:val="0"/>
          <w:color w:val="000000"/>
          <w:sz w:val="17"/>
        </w:rPr>
        <w:t xml:space="preserve">          ▼</w:t>
      </w:r>
    </w:p>
    <w:p>
      <w:pPr>
        <w:pStyle w:val="CodeBlock"/>
        <w:shd w:fill="F2F2F2"/>
      </w:pPr>
      <w:r>
        <w:rPr>
          <w:rFonts w:ascii="DejaVu Sans Mono" w:hAnsi="DejaVu Sans Mono" w:eastAsia="DejaVu Sans Mono"/>
          <w:b w:val="0"/>
          <w:i w:val="0"/>
          <w:color w:val="000000"/>
          <w:sz w:val="17"/>
        </w:rPr>
        <w:t>OUF Services + shared authorization library</w:t>
      </w:r>
    </w:p>
    <w:p>
      <w:pPr>
        <w:pStyle w:val="CodeBlock"/>
        <w:shd w:fill="F2F2F2"/>
      </w:pPr>
      <w:r>
        <w:rPr>
          <w:rFonts w:ascii="DejaVu Sans Mono" w:hAnsi="DejaVu Sans Mono" w:eastAsia="DejaVu Sans Mono"/>
          <w:b w:val="0"/>
          <w:i w:val="0"/>
          <w:color w:val="000000"/>
          <w:sz w:val="17"/>
        </w:rPr>
        <w:t xml:space="preserve">  ├─ Source Onboarding &amp; Configuration</w:t>
      </w:r>
    </w:p>
    <w:p>
      <w:pPr>
        <w:pStyle w:val="CodeBlock"/>
        <w:shd w:fill="F2F2F2"/>
      </w:pPr>
      <w:r>
        <w:rPr>
          <w:rFonts w:ascii="DejaVu Sans Mono" w:hAnsi="DejaVu Sans Mono" w:eastAsia="DejaVu Sans Mono"/>
          <w:b w:val="0"/>
          <w:i w:val="0"/>
          <w:color w:val="000000"/>
          <w:sz w:val="17"/>
        </w:rPr>
        <w:t xml:space="preserve">  │    └─ Authorization Policy Registry [physical owner]</w:t>
      </w:r>
    </w:p>
    <w:p>
      <w:pPr>
        <w:pStyle w:val="CodeBlock"/>
        <w:shd w:fill="F2F2F2"/>
      </w:pPr>
      <w:r>
        <w:rPr>
          <w:rFonts w:ascii="DejaVu Sans Mono" w:hAnsi="DejaVu Sans Mono" w:eastAsia="DejaVu Sans Mono"/>
          <w:b w:val="0"/>
          <w:i w:val="0"/>
          <w:color w:val="000000"/>
          <w:sz w:val="17"/>
        </w:rPr>
        <w:t xml:space="preserve">  ├─ Semantic Model / Registry</w:t>
      </w:r>
    </w:p>
    <w:p>
      <w:pPr>
        <w:pStyle w:val="CodeBlock"/>
        <w:shd w:fill="F2F2F2"/>
      </w:pPr>
      <w:r>
        <w:rPr>
          <w:rFonts w:ascii="DejaVu Sans Mono" w:hAnsi="DejaVu Sans Mono" w:eastAsia="DejaVu Sans Mono"/>
          <w:b w:val="0"/>
          <w:i w:val="0"/>
          <w:color w:val="000000"/>
          <w:sz w:val="17"/>
        </w:rPr>
        <w:t xml:space="preserve">  ├─ Ingestion Runtime</w:t>
      </w:r>
    </w:p>
    <w:p>
      <w:pPr>
        <w:pStyle w:val="CodeBlock"/>
        <w:shd w:fill="F2F2F2"/>
      </w:pPr>
      <w:r>
        <w:rPr>
          <w:rFonts w:ascii="DejaVu Sans Mono" w:hAnsi="DejaVu Sans Mono" w:eastAsia="DejaVu Sans Mono"/>
          <w:b w:val="0"/>
          <w:i w:val="0"/>
          <w:color w:val="000000"/>
          <w:sz w:val="17"/>
        </w:rPr>
        <w:t xml:space="preserve">  ├─ UDP / Object Service</w:t>
      </w:r>
    </w:p>
    <w:p>
      <w:pPr>
        <w:pStyle w:val="CodeBlock"/>
        <w:shd w:fill="F2F2F2"/>
      </w:pPr>
      <w:r>
        <w:rPr>
          <w:rFonts w:ascii="DejaVu Sans Mono" w:hAnsi="DejaVu Sans Mono" w:eastAsia="DejaVu Sans Mono"/>
          <w:b w:val="0"/>
          <w:i w:val="0"/>
          <w:color w:val="000000"/>
          <w:sz w:val="17"/>
        </w:rPr>
        <w:t xml:space="preserve">  └─ MCP Server</w:t>
      </w:r>
    </w:p>
    <w:p>
      <w:pPr>
        <w:pStyle w:val="CodeBlock"/>
        <w:shd w:fill="F2F2F2"/>
      </w:pPr>
      <w:r>
        <w:rPr>
          <w:rFonts w:ascii="DejaVu Sans Mono" w:hAnsi="DejaVu Sans Mono" w:eastAsia="DejaVu Sans Mono"/>
          <w:b w:val="0"/>
          <w:i w:val="0"/>
          <w:color w:val="000000"/>
          <w:sz w:val="17"/>
        </w:rPr>
        <w:t xml:space="preserve">          │</w:t>
      </w:r>
    </w:p>
    <w:p>
      <w:pPr>
        <w:pStyle w:val="CodeBlock"/>
        <w:shd w:fill="F2F2F2"/>
      </w:pPr>
      <w:r>
        <w:rPr>
          <w:rFonts w:ascii="DejaVu Sans Mono" w:hAnsi="DejaVu Sans Mono" w:eastAsia="DejaVu Sans Mono"/>
          <w:b w:val="0"/>
          <w:i w:val="0"/>
          <w:color w:val="000000"/>
          <w:sz w:val="17"/>
        </w:rPr>
        <w:t xml:space="preserve">          └─ fine-grained policy enforcement</w:t>
      </w:r>
    </w:p>
    <w:p>
      <w:pPr>
        <w:pStyle w:val="Heading2"/>
        <w:keepNext/>
      </w:pPr>
      <w:r>
        <w:rPr>
          <w:rFonts w:ascii="Noto Sans" w:hAnsi="Noto Sans" w:eastAsia="Noto Sans"/>
        </w:rPr>
        <w:t>4.2 Decisione fisica v1.0</w:t>
      </w:r>
    </w:p>
    <w:p>
      <w:pPr>
        <w:spacing w:before="0" w:after="120" w:line="276" w:lineRule="auto"/>
      </w:pPr>
      <w:r>
        <w:rPr>
          <w:rFonts w:ascii="Noto Sans" w:hAnsi="Noto Sans" w:eastAsia="Noto Sans"/>
          <w:b w:val="0"/>
          <w:i w:val="0"/>
          <w:color w:val="000000"/>
          <w:sz w:val="18"/>
        </w:rPr>
        <w:t>Authorization Policy Registry è un componente logico trasversale ma viene implementato, nella prima release, nello stesso deployable del Source Onboarding &amp; Configuration. La scelta riduce costi, infrastruttura, CI/CD, osservabilità e gestione operativa senza trasferire nel dominio Onboarding la semantica delle capability degli altri moduli.</w:t>
      </w:r>
    </w:p>
    <w:tbl>
      <w:tblPr>
        <w:tblW w:type="auto" w:w="0"/>
        <w:jc w:val="center"/>
        <w:tblLayout w:type="fixed"/>
        <w:tblLook w:firstColumn="1" w:firstRow="1" w:lastColumn="0" w:lastRow="0" w:noHBand="0" w:noVBand="1" w:val="04A0"/>
      </w:tblPr>
      <w:tblGrid>
        <w:gridCol w:w="8787"/>
      </w:tblGrid>
      <w:tr>
        <w:trPr>
          <w:tblHeader w:val="true"/>
        </w:trPr>
        <w:tc>
          <w:tcPr>
            <w:tcW w:type="dxa" w:w="9406"/>
            <w:shd w:fill="0B4F6C"/>
            <w:tcBorders>
              <w:top w:val="single" w:sz="10" w:color="F39C12"/>
              <w:left w:val="single" w:sz="10" w:color="F39C12"/>
              <w:bottom w:val="single" w:sz="10" w:color="F39C12"/>
              <w:right w:val="single" w:sz="10" w:color="F39C12"/>
            </w:tcBorders>
          </w:tcPr>
          <w:p>
            <w:pPr>
              <w:spacing w:before="40" w:after="80" w:line="264" w:lineRule="auto"/>
            </w:pPr>
            <w:r>
              <w:rPr>
                <w:rFonts w:ascii="Noto Sans" w:hAnsi="Noto Sans" w:eastAsia="Noto Sans"/>
                <w:b/>
                <w:i w:val="0"/>
                <w:color w:val="FFFFFF"/>
                <w:sz w:val="17"/>
              </w:rPr>
              <w:t>Confine importante</w:t>
            </w:r>
          </w:p>
          <w:p>
            <w:pPr>
              <w:spacing w:before="0" w:after="40" w:line="264" w:lineRule="auto"/>
            </w:pPr>
            <w:r>
              <w:rPr>
                <w:rFonts w:ascii="Noto Sans" w:hAnsi="Noto Sans" w:eastAsia="Noto Sans"/>
                <w:b/>
                <w:i w:val="0"/>
                <w:color w:val="FFFFFF"/>
                <w:sz w:val="17"/>
              </w:rPr>
              <w:t>Co-locazione fisica non significa ownership funzionale dell’Onboarding su tutte le autorizzazioni. Il componente Authorization possiede il modello di policy trasversale; ciascun modulo possiede il catalogo delle proprie capability e le proprie guard di dominio.</w:t>
            </w:r>
          </w:p>
        </w:tc>
      </w:tr>
    </w:tbl>
    <w:p>
      <w:pPr>
        <w:spacing w:after="20"/>
      </w:pPr>
    </w:p>
    <w:p>
      <w:pPr>
        <w:pStyle w:val="Heading2"/>
        <w:keepNext/>
      </w:pPr>
      <w:r>
        <w:rPr>
          <w:rFonts w:ascii="Noto Sans" w:hAnsi="Noto Sans" w:eastAsia="Noto Sans"/>
        </w:rPr>
        <w:t>4.3 Componenti logici</w:t>
      </w:r>
    </w:p>
    <w:tbl>
      <w:tblPr>
        <w:tblStyle w:val="TableGrid"/>
        <w:tblW w:type="auto" w:w="0"/>
        <w:jc w:val="center"/>
        <w:tblLayout w:type="fixed"/>
        <w:tblLook w:firstColumn="1" w:firstRow="1" w:lastColumn="0" w:lastRow="0" w:noHBand="0" w:noVBand="1" w:val="04A0"/>
      </w:tblPr>
      <w:tblGrid>
        <w:gridCol w:w="2835"/>
        <w:gridCol w:w="5953"/>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Componente</w:t>
            </w:r>
          </w:p>
        </w:tc>
        <w:tc>
          <w:tcPr>
            <w:tcW w:type="dxa" w:w="4703"/>
            <w:shd w:fill="0B4F6C"/>
            <w:vAlign w:val="center"/>
          </w:tcPr>
          <w:p>
            <w:pPr>
              <w:spacing w:before="0" w:after="40" w:line="240" w:lineRule="auto"/>
              <w:jc w:val="left"/>
            </w:pPr>
            <w:r>
              <w:rPr>
                <w:rFonts w:ascii="Noto Sans" w:hAnsi="Noto Sans" w:eastAsia="Noto Sans"/>
                <w:b/>
                <w:i w:val="0"/>
                <w:color w:val="FFFFFF"/>
                <w:sz w:val="17"/>
              </w:rPr>
              <w:t>Responsabilità</w:t>
            </w:r>
          </w:p>
        </w:tc>
      </w:tr>
      <w:tr>
        <w:tc>
          <w:tcPr>
            <w:tcW w:type="dxa" w:w="2835"/>
            <w:vAlign w:val="top"/>
            <w:shd w:fill="F8FAFC"/>
          </w:tcPr>
          <w:p>
            <w:pPr>
              <w:spacing w:before="0" w:after="40" w:line="252" w:lineRule="auto"/>
            </w:pPr>
            <w:r>
              <w:rPr>
                <w:rFonts w:ascii="Noto Sans" w:hAnsi="Noto Sans" w:eastAsia="Noto Sans"/>
                <w:b w:val="0"/>
                <w:i w:val="0"/>
                <w:color w:val="000000"/>
                <w:sz w:val="17"/>
              </w:rPr>
              <w:t>Identity Context Adapter</w:t>
            </w:r>
          </w:p>
        </w:tc>
        <w:tc>
          <w:tcPr>
            <w:tcW w:type="dxa" w:w="5953"/>
            <w:vAlign w:val="top"/>
            <w:shd w:fill="F8FAFC"/>
          </w:tcPr>
          <w:p>
            <w:pPr>
              <w:spacing w:before="0" w:after="40" w:line="252" w:lineRule="auto"/>
            </w:pPr>
            <w:r>
              <w:rPr>
                <w:rFonts w:ascii="Noto Sans" w:hAnsi="Noto Sans" w:eastAsia="Noto Sans"/>
                <w:b w:val="0"/>
                <w:i w:val="0"/>
                <w:color w:val="000000"/>
                <w:sz w:val="17"/>
              </w:rPr>
              <w:t>Normalizza il contesto trusted ricavato dal JWT / security principal.</w:t>
            </w:r>
          </w:p>
        </w:tc>
      </w:tr>
      <w:tr>
        <w:tc>
          <w:tcPr>
            <w:tcW w:type="dxa" w:w="2835"/>
            <w:vAlign w:val="top"/>
          </w:tcPr>
          <w:p>
            <w:pPr>
              <w:spacing w:before="0" w:after="40" w:line="252" w:lineRule="auto"/>
            </w:pPr>
            <w:r>
              <w:rPr>
                <w:rFonts w:ascii="Noto Sans" w:hAnsi="Noto Sans" w:eastAsia="Noto Sans"/>
                <w:b w:val="0"/>
                <w:i w:val="0"/>
                <w:color w:val="000000"/>
                <w:sz w:val="17"/>
              </w:rPr>
              <w:t>Authorization Policy Registry</w:t>
            </w:r>
          </w:p>
        </w:tc>
        <w:tc>
          <w:tcPr>
            <w:tcW w:type="dxa" w:w="5953"/>
            <w:vAlign w:val="top"/>
          </w:tcPr>
          <w:p>
            <w:pPr>
              <w:spacing w:before="0" w:after="40" w:line="252" w:lineRule="auto"/>
            </w:pPr>
            <w:r>
              <w:rPr>
                <w:rFonts w:ascii="Noto Sans" w:hAnsi="Noto Sans" w:eastAsia="Noto Sans"/>
                <w:b w:val="0"/>
                <w:i w:val="0"/>
                <w:color w:val="000000"/>
                <w:sz w:val="17"/>
              </w:rPr>
              <w:t>CRUD governato di policy, grant, scope e riferimenti a ruoli esterni.</w:t>
            </w:r>
          </w:p>
        </w:tc>
      </w:tr>
      <w:tr>
        <w:tc>
          <w:tcPr>
            <w:tcW w:type="dxa" w:w="2835"/>
            <w:vAlign w:val="top"/>
            <w:shd w:fill="F8FAFC"/>
          </w:tcPr>
          <w:p>
            <w:pPr>
              <w:spacing w:before="0" w:after="40" w:line="252" w:lineRule="auto"/>
            </w:pPr>
            <w:r>
              <w:rPr>
                <w:rFonts w:ascii="Noto Sans" w:hAnsi="Noto Sans" w:eastAsia="Noto Sans"/>
                <w:b w:val="0"/>
                <w:i w:val="0"/>
                <w:color w:val="000000"/>
                <w:sz w:val="17"/>
              </w:rPr>
              <w:t>Capability Catalog Aggregator</w:t>
            </w:r>
          </w:p>
        </w:tc>
        <w:tc>
          <w:tcPr>
            <w:tcW w:type="dxa" w:w="5953"/>
            <w:vAlign w:val="top"/>
            <w:shd w:fill="F8FAFC"/>
          </w:tcPr>
          <w:p>
            <w:pPr>
              <w:spacing w:before="0" w:after="40" w:line="252" w:lineRule="auto"/>
            </w:pPr>
            <w:r>
              <w:rPr>
                <w:rFonts w:ascii="Noto Sans" w:hAnsi="Noto Sans" w:eastAsia="Noto Sans"/>
                <w:b w:val="0"/>
                <w:i w:val="0"/>
                <w:color w:val="000000"/>
                <w:sz w:val="17"/>
              </w:rPr>
              <w:t>Registra/valida le capability dichiarate dai moduli senza duplicarne la semantica.</w:t>
            </w:r>
          </w:p>
        </w:tc>
      </w:tr>
      <w:tr>
        <w:tc>
          <w:tcPr>
            <w:tcW w:type="dxa" w:w="2835"/>
            <w:vAlign w:val="top"/>
          </w:tcPr>
          <w:p>
            <w:pPr>
              <w:spacing w:before="0" w:after="40" w:line="252" w:lineRule="auto"/>
            </w:pPr>
            <w:r>
              <w:rPr>
                <w:rFonts w:ascii="Noto Sans" w:hAnsi="Noto Sans" w:eastAsia="Noto Sans"/>
                <w:b w:val="0"/>
                <w:i w:val="0"/>
                <w:color w:val="000000"/>
                <w:sz w:val="17"/>
              </w:rPr>
              <w:t>Policy Evaluator</w:t>
            </w:r>
          </w:p>
        </w:tc>
        <w:tc>
          <w:tcPr>
            <w:tcW w:type="dxa" w:w="5953"/>
            <w:vAlign w:val="top"/>
          </w:tcPr>
          <w:p>
            <w:pPr>
              <w:spacing w:before="0" w:after="40" w:line="252" w:lineRule="auto"/>
            </w:pPr>
            <w:r>
              <w:rPr>
                <w:rFonts w:ascii="Noto Sans" w:hAnsi="Noto Sans" w:eastAsia="Noto Sans"/>
                <w:b w:val="0"/>
                <w:i w:val="0"/>
                <w:color w:val="000000"/>
                <w:sz w:val="17"/>
              </w:rPr>
              <w:t>Valuta actor type, role grants, org scope e condizioni supportate.</w:t>
            </w:r>
          </w:p>
        </w:tc>
      </w:tr>
      <w:tr>
        <w:tc>
          <w:tcPr>
            <w:tcW w:type="dxa" w:w="2835"/>
            <w:vAlign w:val="top"/>
            <w:shd w:fill="F8FAFC"/>
          </w:tcPr>
          <w:p>
            <w:pPr>
              <w:spacing w:before="0" w:after="40" w:line="252" w:lineRule="auto"/>
            </w:pPr>
            <w:r>
              <w:rPr>
                <w:rFonts w:ascii="Noto Sans" w:hAnsi="Noto Sans" w:eastAsia="Noto Sans"/>
                <w:b w:val="0"/>
                <w:i w:val="0"/>
                <w:color w:val="000000"/>
                <w:sz w:val="17"/>
              </w:rPr>
              <w:t>Policy Publisher</w:t>
            </w:r>
          </w:p>
        </w:tc>
        <w:tc>
          <w:tcPr>
            <w:tcW w:type="dxa" w:w="5953"/>
            <w:vAlign w:val="top"/>
            <w:shd w:fill="F8FAFC"/>
          </w:tcPr>
          <w:p>
            <w:pPr>
              <w:spacing w:before="0" w:after="40" w:line="252" w:lineRule="auto"/>
            </w:pPr>
            <w:r>
              <w:rPr>
                <w:rFonts w:ascii="Noto Sans" w:hAnsi="Noto Sans" w:eastAsia="Noto Sans"/>
                <w:b w:val="0"/>
                <w:i w:val="0"/>
                <w:color w:val="000000"/>
                <w:sz w:val="17"/>
              </w:rPr>
              <w:t>Produce AuthorizationPolicyBundle immutabili e active pointer.</w:t>
            </w:r>
          </w:p>
        </w:tc>
      </w:tr>
      <w:tr>
        <w:tc>
          <w:tcPr>
            <w:tcW w:type="dxa" w:w="2835"/>
            <w:vAlign w:val="top"/>
          </w:tcPr>
          <w:p>
            <w:pPr>
              <w:spacing w:before="0" w:after="40" w:line="252" w:lineRule="auto"/>
            </w:pPr>
            <w:r>
              <w:rPr>
                <w:rFonts w:ascii="Noto Sans" w:hAnsi="Noto Sans" w:eastAsia="Noto Sans"/>
                <w:b w:val="0"/>
                <w:i w:val="0"/>
                <w:color w:val="000000"/>
                <w:sz w:val="17"/>
              </w:rPr>
              <w:t>Authorization SDK / Shared Library</w:t>
            </w:r>
          </w:p>
        </w:tc>
        <w:tc>
          <w:tcPr>
            <w:tcW w:type="dxa" w:w="5953"/>
            <w:vAlign w:val="top"/>
          </w:tcPr>
          <w:p>
            <w:pPr>
              <w:spacing w:before="0" w:after="40" w:line="252" w:lineRule="auto"/>
            </w:pPr>
            <w:r>
              <w:rPr>
                <w:rFonts w:ascii="Noto Sans" w:hAnsi="Noto Sans" w:eastAsia="Noto Sans"/>
                <w:b w:val="0"/>
                <w:i w:val="0"/>
                <w:color w:val="000000"/>
                <w:sz w:val="17"/>
              </w:rPr>
              <w:t>Enforcement locale nei servizi; caching e decision logging.</w:t>
            </w:r>
          </w:p>
        </w:tc>
      </w:tr>
      <w:tr>
        <w:tc>
          <w:tcPr>
            <w:tcW w:type="dxa" w:w="2835"/>
            <w:vAlign w:val="top"/>
            <w:shd w:fill="F8FAFC"/>
          </w:tcPr>
          <w:p>
            <w:pPr>
              <w:spacing w:before="0" w:after="40" w:line="252" w:lineRule="auto"/>
            </w:pPr>
            <w:r>
              <w:rPr>
                <w:rFonts w:ascii="Noto Sans" w:hAnsi="Noto Sans" w:eastAsia="Noto Sans"/>
                <w:b w:val="0"/>
                <w:i w:val="0"/>
                <w:color w:val="000000"/>
                <w:sz w:val="17"/>
              </w:rPr>
              <w:t>Audit Adapter</w:t>
            </w:r>
          </w:p>
        </w:tc>
        <w:tc>
          <w:tcPr>
            <w:tcW w:type="dxa" w:w="5953"/>
            <w:vAlign w:val="top"/>
            <w:shd w:fill="F8FAFC"/>
          </w:tcPr>
          <w:p>
            <w:pPr>
              <w:spacing w:before="0" w:after="40" w:line="252" w:lineRule="auto"/>
            </w:pPr>
            <w:r>
              <w:rPr>
                <w:rFonts w:ascii="Noto Sans" w:hAnsi="Noto Sans" w:eastAsia="Noto Sans"/>
                <w:b w:val="0"/>
                <w:i w:val="0"/>
                <w:color w:val="000000"/>
                <w:sz w:val="17"/>
              </w:rPr>
              <w:t>Registra decisioni critiche e authorization evidence.</w:t>
            </w:r>
          </w:p>
        </w:tc>
      </w:tr>
      <w:tr>
        <w:tc>
          <w:tcPr>
            <w:tcW w:type="dxa" w:w="2835"/>
            <w:vAlign w:val="top"/>
          </w:tcPr>
          <w:p>
            <w:pPr>
              <w:spacing w:before="0" w:after="40" w:line="252" w:lineRule="auto"/>
            </w:pPr>
            <w:r>
              <w:rPr>
                <w:rFonts w:ascii="Noto Sans" w:hAnsi="Noto Sans" w:eastAsia="Noto Sans"/>
                <w:b w:val="0"/>
                <w:i w:val="0"/>
                <w:color w:val="000000"/>
                <w:sz w:val="17"/>
              </w:rPr>
              <w:t>IAM Directory Adapter (optional)</w:t>
            </w:r>
          </w:p>
        </w:tc>
        <w:tc>
          <w:tcPr>
            <w:tcW w:type="dxa" w:w="5953"/>
            <w:vAlign w:val="top"/>
          </w:tcPr>
          <w:p>
            <w:pPr>
              <w:spacing w:before="0" w:after="40" w:line="252" w:lineRule="auto"/>
            </w:pPr>
            <w:r>
              <w:rPr>
                <w:rFonts w:ascii="Noto Sans" w:hAnsi="Noto Sans" w:eastAsia="Noto Sans"/>
                <w:b w:val="0"/>
                <w:i w:val="0"/>
                <w:color w:val="000000"/>
                <w:sz w:val="17"/>
              </w:rPr>
              <w:t>Lookup di ruolo/org quando i claim non sono sufficienti; cache tecnica non autoritativa.</w:t>
            </w:r>
          </w:p>
        </w:tc>
      </w:tr>
    </w:tbl>
    <w:p>
      <w:pPr>
        <w:spacing w:after="40"/>
      </w:pPr>
    </w:p>
    <w:p>
      <w:r>
        <w:rPr>
          <w:rFonts w:ascii="Noto Sans" w:hAnsi="Noto Sans" w:eastAsia="Noto Sans"/>
        </w:rPr>
      </w:r>
    </w:p>
    <w:p>
      <w:pPr>
        <w:pStyle w:val="Heading1"/>
        <w:keepNext/>
      </w:pPr>
      <w:r>
        <w:rPr>
          <w:rFonts w:ascii="Noto Sans" w:hAnsi="Noto Sans" w:eastAsia="Noto Sans"/>
        </w:rPr>
        <w:t>5. Trust boundary e modello delle identità</w:t>
      </w:r>
    </w:p>
    <w:p>
      <w:pPr>
        <w:pStyle w:val="Heading2"/>
        <w:keepNext/>
      </w:pPr>
      <w:r>
        <w:rPr>
          <w:rFonts w:ascii="Noto Sans" w:hAnsi="Noto Sans" w:eastAsia="Noto Sans"/>
        </w:rPr>
        <w:t>5.1 Actor types normativi</w:t>
      </w:r>
    </w:p>
    <w:tbl>
      <w:tblPr>
        <w:tblStyle w:val="TableGrid"/>
        <w:tblW w:type="auto" w:w="0"/>
        <w:jc w:val="center"/>
        <w:tblLayout w:type="fixed"/>
        <w:tblLook w:firstColumn="1" w:firstRow="1" w:lastColumn="0" w:lastRow="0" w:noHBand="0" w:noVBand="1" w:val="04A0"/>
      </w:tblPr>
      <w:tblGrid>
        <w:gridCol w:w="1814"/>
        <w:gridCol w:w="2268"/>
        <w:gridCol w:w="3118"/>
        <w:gridCol w:w="1701"/>
      </w:tblGrid>
      <w:tr>
        <w:trPr>
          <w:tblHeader w:val="true"/>
          <w:tblHeader w:val="true"/>
        </w:trPr>
        <w:tc>
          <w:tcPr>
            <w:tcW w:type="dxa" w:w="2351"/>
            <w:shd w:fill="0B4F6C"/>
            <w:vAlign w:val="center"/>
          </w:tcPr>
          <w:p>
            <w:pPr>
              <w:spacing w:before="0" w:after="40" w:line="240" w:lineRule="auto"/>
              <w:jc w:val="left"/>
            </w:pPr>
            <w:r>
              <w:rPr>
                <w:rFonts w:ascii="Noto Sans" w:hAnsi="Noto Sans" w:eastAsia="Noto Sans"/>
                <w:b/>
                <w:i w:val="0"/>
                <w:color w:val="FFFFFF"/>
                <w:sz w:val="17"/>
              </w:rPr>
              <w:t>Actor type</w:t>
            </w:r>
          </w:p>
        </w:tc>
        <w:tc>
          <w:tcPr>
            <w:tcW w:type="dxa" w:w="2351"/>
            <w:shd w:fill="0B4F6C"/>
            <w:vAlign w:val="center"/>
          </w:tcPr>
          <w:p>
            <w:pPr>
              <w:spacing w:before="0" w:after="40" w:line="240" w:lineRule="auto"/>
              <w:jc w:val="left"/>
            </w:pPr>
            <w:r>
              <w:rPr>
                <w:rFonts w:ascii="Noto Sans" w:hAnsi="Noto Sans" w:eastAsia="Noto Sans"/>
                <w:b/>
                <w:i w:val="0"/>
                <w:color w:val="FFFFFF"/>
                <w:sz w:val="17"/>
              </w:rPr>
              <w:t>Fonte identità</w:t>
            </w:r>
          </w:p>
        </w:tc>
        <w:tc>
          <w:tcPr>
            <w:tcW w:type="dxa" w:w="2351"/>
            <w:shd w:fill="0B4F6C"/>
            <w:vAlign w:val="center"/>
          </w:tcPr>
          <w:p>
            <w:pPr>
              <w:spacing w:before="0" w:after="40" w:line="240" w:lineRule="auto"/>
              <w:jc w:val="left"/>
            </w:pPr>
            <w:r>
              <w:rPr>
                <w:rFonts w:ascii="Noto Sans" w:hAnsi="Noto Sans" w:eastAsia="Noto Sans"/>
                <w:b/>
                <w:i w:val="0"/>
                <w:color w:val="FFFFFF"/>
                <w:sz w:val="17"/>
              </w:rPr>
              <w:t>Uso</w:t>
            </w:r>
          </w:p>
        </w:tc>
        <w:tc>
          <w:tcPr>
            <w:tcW w:type="dxa" w:w="2351"/>
            <w:shd w:fill="0B4F6C"/>
            <w:vAlign w:val="center"/>
          </w:tcPr>
          <w:p>
            <w:pPr>
              <w:spacing w:before="0" w:after="40" w:line="240" w:lineRule="auto"/>
              <w:jc w:val="left"/>
            </w:pPr>
            <w:r>
              <w:rPr>
                <w:rFonts w:ascii="Noto Sans" w:hAnsi="Noto Sans" w:eastAsia="Noto Sans"/>
                <w:b/>
                <w:i w:val="0"/>
                <w:color w:val="FFFFFF"/>
                <w:sz w:val="17"/>
              </w:rPr>
              <w:t>Operazioni autoritative</w:t>
            </w:r>
          </w:p>
        </w:tc>
      </w:tr>
      <w:tr>
        <w:tc>
          <w:tcPr>
            <w:tcW w:type="dxa" w:w="1814"/>
            <w:vAlign w:val="top"/>
            <w:shd w:fill="F8FAFC"/>
          </w:tcPr>
          <w:p>
            <w:pPr>
              <w:spacing w:before="0" w:after="40" w:line="252" w:lineRule="auto"/>
            </w:pPr>
            <w:r>
              <w:rPr>
                <w:rFonts w:ascii="Noto Sans" w:hAnsi="Noto Sans" w:eastAsia="Noto Sans"/>
                <w:b w:val="0"/>
                <w:i w:val="0"/>
                <w:color w:val="000000"/>
                <w:sz w:val="17"/>
              </w:rPr>
              <w:t>HUMAN_USER</w:t>
            </w:r>
          </w:p>
        </w:tc>
        <w:tc>
          <w:tcPr>
            <w:tcW w:type="dxa" w:w="2268"/>
            <w:vAlign w:val="top"/>
            <w:shd w:fill="F8FAFC"/>
          </w:tcPr>
          <w:p>
            <w:pPr>
              <w:spacing w:before="0" w:after="40" w:line="252" w:lineRule="auto"/>
            </w:pPr>
            <w:r>
              <w:rPr>
                <w:rFonts w:ascii="Noto Sans" w:hAnsi="Noto Sans" w:eastAsia="Noto Sans"/>
                <w:b w:val="0"/>
                <w:i w:val="0"/>
                <w:color w:val="000000"/>
                <w:sz w:val="17"/>
              </w:rPr>
              <w:t>Token user-bound IAM centrale</w:t>
            </w:r>
          </w:p>
        </w:tc>
        <w:tc>
          <w:tcPr>
            <w:tcW w:type="dxa" w:w="3118"/>
            <w:vAlign w:val="top"/>
            <w:shd w:fill="F8FAFC"/>
          </w:tcPr>
          <w:p>
            <w:pPr>
              <w:spacing w:before="0" w:after="40" w:line="252" w:lineRule="auto"/>
            </w:pPr>
            <w:r>
              <w:rPr>
                <w:rFonts w:ascii="Noto Sans" w:hAnsi="Noto Sans" w:eastAsia="Noto Sans"/>
                <w:b w:val="0"/>
                <w:i w:val="0"/>
                <w:color w:val="000000"/>
                <w:sz w:val="17"/>
              </w:rPr>
              <w:t>read/edit/review/approve secondo policy</w:t>
            </w:r>
          </w:p>
        </w:tc>
        <w:tc>
          <w:tcPr>
            <w:tcW w:type="dxa" w:w="1701"/>
            <w:vAlign w:val="top"/>
            <w:shd w:fill="F8FAFC"/>
          </w:tcPr>
          <w:p>
            <w:pPr>
              <w:spacing w:before="0" w:after="40" w:line="252" w:lineRule="auto"/>
            </w:pPr>
            <w:r>
              <w:rPr>
                <w:rFonts w:ascii="Noto Sans" w:hAnsi="Noto Sans" w:eastAsia="Noto Sans"/>
                <w:b w:val="0"/>
                <w:i w:val="0"/>
                <w:color w:val="000000"/>
                <w:sz w:val="17"/>
              </w:rPr>
              <w:t>Sì, se capability e assurance richiesti sono soddisfatti.</w:t>
            </w:r>
          </w:p>
        </w:tc>
      </w:tr>
      <w:tr>
        <w:tc>
          <w:tcPr>
            <w:tcW w:type="dxa" w:w="1814"/>
            <w:vAlign w:val="top"/>
          </w:tcPr>
          <w:p>
            <w:pPr>
              <w:spacing w:before="0" w:after="40" w:line="252" w:lineRule="auto"/>
            </w:pPr>
            <w:r>
              <w:rPr>
                <w:rFonts w:ascii="Noto Sans" w:hAnsi="Noto Sans" w:eastAsia="Noto Sans"/>
                <w:b w:val="0"/>
                <w:i w:val="0"/>
                <w:color w:val="000000"/>
                <w:sz w:val="17"/>
              </w:rPr>
              <w:t>AI_AGENT</w:t>
            </w:r>
          </w:p>
        </w:tc>
        <w:tc>
          <w:tcPr>
            <w:tcW w:type="dxa" w:w="2268"/>
            <w:vAlign w:val="top"/>
          </w:tcPr>
          <w:p>
            <w:pPr>
              <w:spacing w:before="0" w:after="40" w:line="252" w:lineRule="auto"/>
            </w:pPr>
            <w:r>
              <w:rPr>
                <w:rFonts w:ascii="Noto Sans" w:hAnsi="Noto Sans" w:eastAsia="Noto Sans"/>
                <w:b w:val="0"/>
                <w:i w:val="0"/>
                <w:color w:val="000000"/>
                <w:sz w:val="17"/>
              </w:rPr>
              <w:t>client/workload identity o agent context</w:t>
            </w:r>
          </w:p>
        </w:tc>
        <w:tc>
          <w:tcPr>
            <w:tcW w:type="dxa" w:w="3118"/>
            <w:vAlign w:val="top"/>
          </w:tcPr>
          <w:p>
            <w:pPr>
              <w:spacing w:before="0" w:after="40" w:line="252" w:lineRule="auto"/>
            </w:pPr>
            <w:r>
              <w:rPr>
                <w:rFonts w:ascii="Noto Sans" w:hAnsi="Noto Sans" w:eastAsia="Noto Sans"/>
                <w:b w:val="0"/>
                <w:i w:val="0"/>
                <w:color w:val="000000"/>
                <w:sz w:val="17"/>
              </w:rPr>
              <w:t>search/propose/compute/assist</w:t>
            </w:r>
          </w:p>
        </w:tc>
        <w:tc>
          <w:tcPr>
            <w:tcW w:type="dxa" w:w="1701"/>
            <w:vAlign w:val="top"/>
          </w:tcPr>
          <w:p>
            <w:pPr>
              <w:spacing w:before="0" w:after="40" w:line="252" w:lineRule="auto"/>
            </w:pPr>
            <w:r>
              <w:rPr>
                <w:rFonts w:ascii="Noto Sans" w:hAnsi="Noto Sans" w:eastAsia="Noto Sans"/>
                <w:b w:val="0"/>
                <w:i w:val="0"/>
                <w:color w:val="000000"/>
                <w:sz w:val="17"/>
              </w:rPr>
              <w:t>No per approve/publish/activate human-only.</w:t>
            </w:r>
          </w:p>
        </w:tc>
      </w:tr>
      <w:tr>
        <w:tc>
          <w:tcPr>
            <w:tcW w:type="dxa" w:w="1814"/>
            <w:vAlign w:val="top"/>
            <w:shd w:fill="F8FAFC"/>
          </w:tcPr>
          <w:p>
            <w:pPr>
              <w:spacing w:before="0" w:after="40" w:line="252" w:lineRule="auto"/>
            </w:pPr>
            <w:r>
              <w:rPr>
                <w:rFonts w:ascii="Noto Sans" w:hAnsi="Noto Sans" w:eastAsia="Noto Sans"/>
                <w:b w:val="0"/>
                <w:i w:val="0"/>
                <w:color w:val="000000"/>
                <w:sz w:val="17"/>
              </w:rPr>
              <w:t>MCP_SERVER</w:t>
            </w:r>
          </w:p>
        </w:tc>
        <w:tc>
          <w:tcPr>
            <w:tcW w:type="dxa" w:w="2268"/>
            <w:vAlign w:val="top"/>
            <w:shd w:fill="F8FAFC"/>
          </w:tcPr>
          <w:p>
            <w:r>
              <w:rPr>
                <w:rFonts w:ascii="Noto Sans" w:hAnsi="Noto Sans" w:eastAsia="Noto Sans"/>
                <w:sz w:val="17"/>
              </w:rPr>
              <w:t>service identity da authority M2M A/B/C</w:t>
            </w:r>
          </w:p>
        </w:tc>
        <w:tc>
          <w:tcPr>
            <w:tcW w:type="dxa" w:w="3118"/>
            <w:vAlign w:val="top"/>
            <w:shd w:fill="F8FAFC"/>
          </w:tcPr>
          <w:p>
            <w:pPr>
              <w:spacing w:before="0" w:after="40" w:line="252" w:lineRule="auto"/>
            </w:pPr>
            <w:r>
              <w:rPr>
                <w:rFonts w:ascii="Noto Sans" w:hAnsi="Noto Sans" w:eastAsia="Noto Sans"/>
                <w:b w:val="0"/>
                <w:i w:val="0"/>
                <w:color w:val="000000"/>
                <w:sz w:val="17"/>
              </w:rPr>
              <w:t>mediazione tool/capability</w:t>
            </w:r>
          </w:p>
        </w:tc>
        <w:tc>
          <w:tcPr>
            <w:tcW w:type="dxa" w:w="1701"/>
            <w:vAlign w:val="top"/>
            <w:shd w:fill="F8FAFC"/>
          </w:tcPr>
          <w:p>
            <w:pPr>
              <w:spacing w:before="0" w:after="40" w:line="252" w:lineRule="auto"/>
            </w:pPr>
            <w:r>
              <w:rPr>
                <w:rFonts w:ascii="Noto Sans" w:hAnsi="Noto Sans" w:eastAsia="Noto Sans"/>
                <w:b w:val="0"/>
                <w:i w:val="0"/>
                <w:color w:val="000000"/>
                <w:sz w:val="17"/>
              </w:rPr>
              <w:t>No; non trasforma una service identity in HUMAN_USER.</w:t>
            </w:r>
          </w:p>
        </w:tc>
      </w:tr>
      <w:tr>
        <w:tc>
          <w:tcPr>
            <w:tcW w:type="dxa" w:w="1814"/>
            <w:vAlign w:val="top"/>
          </w:tcPr>
          <w:p>
            <w:pPr>
              <w:spacing w:before="0" w:after="40" w:line="252" w:lineRule="auto"/>
            </w:pPr>
            <w:r>
              <w:rPr>
                <w:rFonts w:ascii="Noto Sans" w:hAnsi="Noto Sans" w:eastAsia="Noto Sans"/>
                <w:b w:val="0"/>
                <w:i w:val="0"/>
                <w:color w:val="000000"/>
                <w:sz w:val="17"/>
              </w:rPr>
              <w:t>SERVICE_IDENTITY</w:t>
            </w:r>
          </w:p>
        </w:tc>
        <w:tc>
          <w:tcPr>
            <w:tcW w:type="dxa" w:w="2268"/>
            <w:vAlign w:val="top"/>
          </w:tcPr>
          <w:p>
            <w:r>
              <w:rPr>
                <w:rFonts w:ascii="Noto Sans" w:hAnsi="Noto Sans" w:eastAsia="Noto Sans"/>
                <w:sz w:val="17"/>
              </w:rPr>
              <w:t>client credentials/workload identity da authority M2M A/B/C</w:t>
            </w:r>
          </w:p>
        </w:tc>
        <w:tc>
          <w:tcPr>
            <w:tcW w:type="dxa" w:w="3118"/>
            <w:vAlign w:val="top"/>
          </w:tcPr>
          <w:p>
            <w:pPr>
              <w:spacing w:before="0" w:after="40" w:line="252" w:lineRule="auto"/>
            </w:pPr>
            <w:r>
              <w:rPr>
                <w:rFonts w:ascii="Noto Sans" w:hAnsi="Noto Sans" w:eastAsia="Noto Sans"/>
                <w:b w:val="0"/>
                <w:i w:val="0"/>
                <w:color w:val="000000"/>
                <w:sz w:val="17"/>
              </w:rPr>
              <w:t>job, sync, internal integration</w:t>
            </w:r>
          </w:p>
        </w:tc>
        <w:tc>
          <w:tcPr>
            <w:tcW w:type="dxa" w:w="1701"/>
            <w:vAlign w:val="top"/>
          </w:tcPr>
          <w:p>
            <w:pPr>
              <w:spacing w:before="0" w:after="40" w:line="252" w:lineRule="auto"/>
            </w:pPr>
            <w:r>
              <w:rPr>
                <w:rFonts w:ascii="Noto Sans" w:hAnsi="Noto Sans" w:eastAsia="Noto Sans"/>
                <w:b w:val="0"/>
                <w:i w:val="0"/>
                <w:color w:val="000000"/>
                <w:sz w:val="17"/>
              </w:rPr>
              <w:t>No per decisioni umane.</w:t>
            </w:r>
          </w:p>
        </w:tc>
      </w:tr>
      <w:tr>
        <w:tc>
          <w:tcPr>
            <w:tcW w:type="dxa" w:w="1814"/>
            <w:vAlign w:val="top"/>
            <w:shd w:fill="F8FAFC"/>
          </w:tcPr>
          <w:p>
            <w:pPr>
              <w:spacing w:before="0" w:after="40" w:line="252" w:lineRule="auto"/>
            </w:pPr>
            <w:r>
              <w:rPr>
                <w:rFonts w:ascii="Noto Sans" w:hAnsi="Noto Sans" w:eastAsia="Noto Sans"/>
                <w:b w:val="0"/>
                <w:i w:val="0"/>
                <w:color w:val="000000"/>
                <w:sz w:val="17"/>
              </w:rPr>
              <w:t>EXTERNAL_SYSTEM</w:t>
            </w:r>
          </w:p>
        </w:tc>
        <w:tc>
          <w:tcPr>
            <w:tcW w:type="dxa" w:w="2268"/>
            <w:vAlign w:val="top"/>
            <w:shd w:fill="F8FAFC"/>
          </w:tcPr>
          <w:p>
            <w:r>
              <w:rPr>
                <w:rFonts w:ascii="Noto Sans" w:hAnsi="Noto Sans" w:eastAsia="Noto Sans"/>
                <w:sz w:val="17"/>
              </w:rPr>
              <w:t>client credentials/mTLS da authority tecnica configurata</w:t>
            </w:r>
          </w:p>
        </w:tc>
        <w:tc>
          <w:tcPr>
            <w:tcW w:type="dxa" w:w="3118"/>
            <w:vAlign w:val="top"/>
            <w:shd w:fill="F8FAFC"/>
          </w:tcPr>
          <w:p>
            <w:pPr>
              <w:spacing w:before="0" w:after="40" w:line="252" w:lineRule="auto"/>
            </w:pPr>
            <w:r>
              <w:rPr>
                <w:rFonts w:ascii="Noto Sans" w:hAnsi="Noto Sans" w:eastAsia="Noto Sans"/>
                <w:b w:val="0"/>
                <w:i w:val="0"/>
                <w:color w:val="000000"/>
                <w:sz w:val="17"/>
              </w:rPr>
              <w:t>source/API integration</w:t>
            </w:r>
          </w:p>
        </w:tc>
        <w:tc>
          <w:tcPr>
            <w:tcW w:type="dxa" w:w="1701"/>
            <w:vAlign w:val="top"/>
            <w:shd w:fill="F8FAFC"/>
          </w:tcPr>
          <w:p>
            <w:pPr>
              <w:spacing w:before="0" w:after="40" w:line="252" w:lineRule="auto"/>
            </w:pPr>
            <w:r>
              <w:rPr>
                <w:rFonts w:ascii="Noto Sans" w:hAnsi="Noto Sans" w:eastAsia="Noto Sans"/>
                <w:b w:val="0"/>
                <w:i w:val="0"/>
                <w:color w:val="000000"/>
                <w:sz w:val="17"/>
              </w:rPr>
              <w:t>Solo capability tecniche esplicitamente assegnate.</w:t>
            </w:r>
          </w:p>
        </w:tc>
      </w:tr>
    </w:tbl>
    <w:p>
      <w:pPr>
        <w:spacing w:after="40"/>
      </w:pPr>
    </w:p>
    <w:p>
      <w:pPr>
        <w:pStyle w:val="Heading2"/>
        <w:keepNext/>
      </w:pPr>
      <w:r>
        <w:rPr>
          <w:rFonts w:ascii="Noto Sans" w:hAnsi="Noto Sans" w:eastAsia="Noto Sans"/>
        </w:rPr>
        <w:t>5.2 Regole inderogabili</w:t>
      </w:r>
    </w:p>
    <w:p>
      <w:pPr>
        <w:pStyle w:val="ListBullet"/>
        <w:spacing w:before="0" w:after="60" w:line="264" w:lineRule="auto"/>
      </w:pPr>
      <w:r>
        <w:rPr>
          <w:rFonts w:ascii="Noto Sans" w:hAnsi="Noto Sans" w:eastAsia="Noto Sans"/>
          <w:b w:val="0"/>
          <w:i w:val="0"/>
          <w:color w:val="000000"/>
          <w:sz w:val="18"/>
        </w:rPr>
        <w:t>Il tipo di attore deriva dal token validato e dal client trust model, non dal payload.</w:t>
      </w:r>
    </w:p>
    <w:p>
      <w:pPr>
        <w:pStyle w:val="ListBullet"/>
        <w:spacing w:before="0" w:after="60" w:line="264" w:lineRule="auto"/>
      </w:pPr>
      <w:r>
        <w:rPr>
          <w:rFonts w:ascii="Noto Sans" w:hAnsi="Noto Sans" w:eastAsia="Noto Sans"/>
          <w:b w:val="0"/>
          <w:i w:val="0"/>
          <w:color w:val="000000"/>
          <w:sz w:val="18"/>
        </w:rPr>
        <w:t>Un AI_AGENT che opera in una sessione utente resta AI_AGENT salvo invocazione separata della trusted approval surface con token HUMAN_USER.</w:t>
      </w:r>
    </w:p>
    <w:p>
      <w:pPr>
        <w:pStyle w:val="ListBullet"/>
        <w:spacing w:before="0" w:after="60" w:line="264" w:lineRule="auto"/>
      </w:pPr>
      <w:r>
        <w:rPr>
          <w:rFonts w:ascii="Noto Sans" w:hAnsi="Noto Sans" w:eastAsia="Noto Sans"/>
          <w:b w:val="0"/>
          <w:i w:val="0"/>
          <w:color w:val="000000"/>
          <w:sz w:val="18"/>
        </w:rPr>
        <w:t>Il campo delegatedVia può descrivere la mediazione tecnica ma non modifica l’autorità del subject.</w:t>
      </w:r>
    </w:p>
    <w:p>
      <w:pPr>
        <w:pStyle w:val="ListBullet"/>
        <w:spacing w:before="0" w:after="60" w:line="264" w:lineRule="auto"/>
      </w:pPr>
      <w:r>
        <w:rPr>
          <w:rFonts w:ascii="Noto Sans" w:hAnsi="Noto Sans" w:eastAsia="Noto Sans"/>
          <w:b w:val="0"/>
          <w:i w:val="0"/>
          <w:color w:val="000000"/>
          <w:sz w:val="18"/>
        </w:rPr>
        <w:t>approvedBy, actor, role o orgUnit inviati nel body sono informativi e mai autoritativi.</w:t>
      </w:r>
    </w:p>
    <w:p>
      <w:pPr>
        <w:pStyle w:val="ListBullet"/>
        <w:spacing w:before="0" w:after="60" w:line="264" w:lineRule="auto"/>
      </w:pPr>
      <w:r>
        <w:rPr>
          <w:rFonts w:ascii="Noto Sans" w:hAnsi="Noto Sans" w:eastAsia="Noto Sans"/>
          <w:b w:val="0"/>
          <w:i w:val="0"/>
          <w:color w:val="000000"/>
          <w:sz w:val="18"/>
        </w:rPr>
        <w:t>Una service identity non soddisfa mai una guard actorType=HUMAN_USER.</w:t>
      </w:r>
    </w:p>
    <w:p>
      <w:r>
        <w:rPr>
          <w:rFonts w:ascii="Noto Sans" w:hAnsi="Noto Sans" w:eastAsia="Noto Sans"/>
        </w:rPr>
      </w:r>
    </w:p>
    <w:p>
      <w:pPr>
        <w:pStyle w:val="Heading1"/>
        <w:keepNext/>
      </w:pPr>
      <w:r>
        <w:rPr>
          <w:rFonts w:ascii="Noto Sans" w:hAnsi="Noto Sans" w:eastAsia="Noto Sans"/>
        </w:rPr>
        <w:t>6. Contratto con le Identity Authority: EVO per HUMAN e authority M2M configurabile</w:t>
      </w:r>
    </w:p>
    <w:p>
      <w:pPr>
        <w:pStyle w:val="Heading2"/>
        <w:keepNext/>
      </w:pPr>
      <w:r>
        <w:rPr>
          <w:rFonts w:ascii="Noto Sans" w:hAnsi="Noto Sans" w:eastAsia="Noto Sans"/>
        </w:rPr>
        <w:t>6.1 Protocollo</w:t>
      </w:r>
    </w:p>
    <w:p>
      <w:pPr>
        <w:spacing w:before="0" w:after="120" w:line="276" w:lineRule="auto"/>
      </w:pPr>
      <w:r>
        <w:rPr>
          <w:rFonts w:ascii="Noto Sans" w:hAnsi="Noto Sans" w:eastAsia="Noto Sans"/>
        </w:rPr>
        <w:t>La baseline usa OIDC/OAuth2. Per HUMAN_USER: Authorization Code + PKCE tramite client trusted/BFF o Trusted Approval Surface, con EVO/IAM centrale come authority. Per M2M: Client Credentials, workload identity e/o mTLS secondo lo scenario selezionato. La scelta dell’authority M2M non modifica il modello di autorizzazione OUF né rende trusted una chiamata solo perché interna al cluster.</w:t>
      </w:r>
    </w:p>
    <w:p>
      <w:pPr>
        <w:pStyle w:val="Heading2"/>
      </w:pPr>
      <w:r>
        <w:rPr>
          <w:rFonts w:ascii="Noto Sans" w:hAnsi="Noto Sans" w:eastAsia="Noto Sans"/>
        </w:rPr>
        <w:t>6.2 Authority delle identità M2M: tre scenari ammessi</w:t>
      </w:r>
    </w:p>
    <w:p>
      <w:pPr/>
      <w:r>
        <w:rPr>
          <w:rFonts w:ascii="Noto Sans" w:hAnsi="Noto Sans" w:eastAsia="Noto Sans"/>
        </w:rPr>
        <w:t>La baseline non considera la rete interna o il namespace Kubernetes come prova di identità. Ogni modulo fisico che invoca capability di un altro modulo usa una service/workload identity distinta. L’authority che emette o riconosce tale identità è scelta tra i tre scenari seguenti senza modificare le policy applicative OUF.</w:t>
      </w:r>
    </w:p>
    <w:tbl>
      <w:tblPr>
        <w:tblStyle w:val="TableGrid"/>
        <w:tblW w:type="auto" w:w="0"/>
        <w:tblLook w:firstColumn="1" w:firstRow="1" w:lastColumn="0" w:lastRow="0" w:noHBand="0" w:noVBand="1" w:val="04A0"/>
      </w:tblPr>
      <w:tblGrid>
        <w:gridCol w:w="1881"/>
        <w:gridCol w:w="1881"/>
        <w:gridCol w:w="1881"/>
        <w:gridCol w:w="1881"/>
        <w:gridCol w:w="1881"/>
      </w:tblGrid>
      <w:tr>
        <w:trPr>
          <w:tblHeader w:val="true"/>
        </w:trPr>
        <w:tc>
          <w:tcPr>
            <w:tcW w:type="dxa" w:w="1881"/>
            <w:shd w:fill="0B4F6C"/>
          </w:tcPr>
          <w:p>
            <w:r>
              <w:rPr>
                <w:rFonts w:ascii="Noto Sans" w:hAnsi="Noto Sans" w:eastAsia="Noto Sans"/>
                <w:b/>
                <w:color w:val="FFFFFF"/>
                <w:sz w:val="17"/>
              </w:rPr>
              <w:t>Scenario</w:t>
            </w:r>
          </w:p>
        </w:tc>
        <w:tc>
          <w:tcPr>
            <w:tcW w:type="dxa" w:w="1881"/>
            <w:shd w:fill="0B4F6C"/>
          </w:tcPr>
          <w:p>
            <w:r>
              <w:rPr>
                <w:rFonts w:ascii="Noto Sans" w:hAnsi="Noto Sans" w:eastAsia="Noto Sans"/>
                <w:b/>
                <w:color w:val="FFFFFF"/>
                <w:sz w:val="17"/>
              </w:rPr>
              <w:t>Authority M2M</w:t>
            </w:r>
          </w:p>
        </w:tc>
        <w:tc>
          <w:tcPr>
            <w:tcW w:type="dxa" w:w="1881"/>
            <w:shd w:fill="0B4F6C"/>
          </w:tcPr>
          <w:p>
            <w:r>
              <w:rPr>
                <w:rFonts w:ascii="Noto Sans" w:hAnsi="Noto Sans" w:eastAsia="Noto Sans"/>
                <w:b/>
                <w:color w:val="FFFFFF"/>
                <w:sz w:val="17"/>
              </w:rPr>
              <w:t>Quando usarlo</w:t>
            </w:r>
          </w:p>
        </w:tc>
        <w:tc>
          <w:tcPr>
            <w:tcW w:type="dxa" w:w="1881"/>
            <w:shd w:fill="0B4F6C"/>
          </w:tcPr>
          <w:p>
            <w:r>
              <w:rPr>
                <w:rFonts w:ascii="Noto Sans" w:hAnsi="Noto Sans" w:eastAsia="Noto Sans"/>
                <w:b/>
                <w:color w:val="FFFFFF"/>
                <w:sz w:val="17"/>
              </w:rPr>
              <w:t>Vantaggi</w:t>
            </w:r>
          </w:p>
        </w:tc>
        <w:tc>
          <w:tcPr>
            <w:tcW w:type="dxa" w:w="1881"/>
            <w:shd w:fill="0B4F6C"/>
          </w:tcPr>
          <w:p>
            <w:r>
              <w:rPr>
                <w:rFonts w:ascii="Noto Sans" w:hAnsi="Noto Sans" w:eastAsia="Noto Sans"/>
                <w:b/>
                <w:color w:val="FFFFFF"/>
                <w:sz w:val="17"/>
              </w:rPr>
              <w:t>Vincoli</w:t>
            </w:r>
          </w:p>
        </w:tc>
      </w:tr>
      <w:tr>
        <w:tc>
          <w:tcPr>
            <w:tcW w:type="dxa" w:w="1881"/>
          </w:tcPr>
          <w:p>
            <w:r>
              <w:rPr>
                <w:rFonts w:ascii="Noto Sans" w:hAnsi="Noto Sans" w:eastAsia="Noto Sans"/>
                <w:sz w:val="17"/>
              </w:rPr>
              <w:t>A — EVO supporta M2M</w:t>
            </w:r>
          </w:p>
        </w:tc>
        <w:tc>
          <w:tcPr>
            <w:tcW w:type="dxa" w:w="1881"/>
          </w:tcPr>
          <w:p>
            <w:r>
              <w:rPr>
                <w:rFonts w:ascii="Noto Sans" w:hAnsi="Noto Sans" w:eastAsia="Noto Sans"/>
                <w:sz w:val="17"/>
              </w:rPr>
              <w:t>Stesso IAM/Keycloak EVO per HUMAN_USER e SERVICE_IDENTITY.</w:t>
            </w:r>
          </w:p>
        </w:tc>
        <w:tc>
          <w:tcPr>
            <w:tcW w:type="dxa" w:w="1881"/>
          </w:tcPr>
          <w:p>
            <w:r>
              <w:rPr>
                <w:rFonts w:ascii="Noto Sans" w:hAnsi="Noto Sans" w:eastAsia="Noto Sans"/>
                <w:sz w:val="17"/>
              </w:rPr>
              <w:t>EVO espone e governa client OUF, OAuth2 Client Credentials o workload identity, audience/scopes e lifecycle adeguati.</w:t>
            </w:r>
          </w:p>
        </w:tc>
        <w:tc>
          <w:tcPr>
            <w:tcW w:type="dxa" w:w="1881"/>
          </w:tcPr>
          <w:p>
            <w:r>
              <w:rPr>
                <w:rFonts w:ascii="Noto Sans" w:hAnsi="Noto Sans" w:eastAsia="Noto Sans"/>
                <w:sz w:val="17"/>
              </w:rPr>
              <w:t>Massimo riuso; un solo IAM; costo minimo.</w:t>
            </w:r>
          </w:p>
        </w:tc>
        <w:tc>
          <w:tcPr>
            <w:tcW w:type="dxa" w:w="1881"/>
          </w:tcPr>
          <w:p>
            <w:r>
              <w:rPr>
                <w:rFonts w:ascii="Noto Sans" w:hAnsi="Noto Sans" w:eastAsia="Noto Sans"/>
                <w:sz w:val="17"/>
              </w:rPr>
              <w:t>Separazione rigorosa tra client umani e tecnici; lifecycle e rotazione devono essere realmente supportati da EVO.</w:t>
            </w:r>
          </w:p>
        </w:tc>
      </w:tr>
      <w:tr>
        <w:tc>
          <w:tcPr>
            <w:tcW w:type="dxa" w:w="1881"/>
          </w:tcPr>
          <w:p>
            <w:r>
              <w:rPr>
                <w:rFonts w:ascii="Noto Sans" w:hAnsi="Noto Sans" w:eastAsia="Noto Sans"/>
                <w:sz w:val="17"/>
              </w:rPr>
              <w:t>B — stesso Keycloak, perimetro tecnico separato</w:t>
            </w:r>
          </w:p>
        </w:tc>
        <w:tc>
          <w:tcPr>
            <w:tcW w:type="dxa" w:w="1881"/>
          </w:tcPr>
          <w:p>
            <w:r>
              <w:rPr>
                <w:rFonts w:ascii="Noto Sans" w:hAnsi="Noto Sans" w:eastAsia="Noto Sans"/>
                <w:sz w:val="17"/>
              </w:rPr>
              <w:t>Stessa infrastruttura Keycloak con realm/tenant/area tecnica OUF separata da EVO umano.</w:t>
            </w:r>
          </w:p>
        </w:tc>
        <w:tc>
          <w:tcPr>
            <w:tcW w:type="dxa" w:w="1881"/>
          </w:tcPr>
          <w:p>
            <w:r>
              <w:rPr>
                <w:rFonts w:ascii="Noto Sans" w:hAnsi="Noto Sans" w:eastAsia="Noto Sans"/>
                <w:sz w:val="17"/>
              </w:rPr>
              <w:t>EVO non governa client tecnici nel proprio dominio applicativo ma consente riuso dell’infrastruttura IAM.</w:t>
            </w:r>
          </w:p>
        </w:tc>
        <w:tc>
          <w:tcPr>
            <w:tcW w:type="dxa" w:w="1881"/>
          </w:tcPr>
          <w:p>
            <w:r>
              <w:rPr>
                <w:rFonts w:ascii="Noto Sans" w:hAnsi="Noto Sans" w:eastAsia="Noto Sans"/>
                <w:sz w:val="17"/>
              </w:rPr>
              <w:t>Riusa prodotto, operations e competenze; isola le workload identity.</w:t>
            </w:r>
          </w:p>
        </w:tc>
        <w:tc>
          <w:tcPr>
            <w:tcW w:type="dxa" w:w="1881"/>
          </w:tcPr>
          <w:p>
            <w:r>
              <w:rPr>
                <w:rFonts w:ascii="Noto Sans" w:hAnsi="Noto Sans" w:eastAsia="Noto Sans"/>
                <w:sz w:val="17"/>
              </w:rPr>
              <w:t>Trust multi-issuer/realm configurato in Gateway/SDK; policy OUF resta unica.</w:t>
            </w:r>
          </w:p>
        </w:tc>
      </w:tr>
      <w:tr>
        <w:tc>
          <w:tcPr>
            <w:tcW w:type="dxa" w:w="1881"/>
          </w:tcPr>
          <w:p>
            <w:r>
              <w:rPr>
                <w:rFonts w:ascii="Noto Sans" w:hAnsi="Noto Sans" w:eastAsia="Noto Sans"/>
                <w:sz w:val="17"/>
              </w:rPr>
              <w:t>C — Technical IAM OUF minimale</w:t>
            </w:r>
          </w:p>
        </w:tc>
        <w:tc>
          <w:tcPr>
            <w:tcW w:type="dxa" w:w="1881"/>
          </w:tcPr>
          <w:p>
            <w:r>
              <w:rPr>
                <w:rFonts w:ascii="Noto Sans" w:hAnsi="Noto Sans" w:eastAsia="Noto Sans"/>
                <w:sz w:val="17"/>
              </w:rPr>
              <w:t>Authority tecnica OUF separata e limitata a SERVICE_IDENTITY, MCP e client tecnici AI; EVO resta esclusivo per HUMAN_USER.</w:t>
            </w:r>
          </w:p>
        </w:tc>
        <w:tc>
          <w:tcPr>
            <w:tcW w:type="dxa" w:w="1881"/>
          </w:tcPr>
          <w:p>
            <w:r>
              <w:rPr>
                <w:rFonts w:ascii="Noto Sans" w:hAnsi="Noto Sans" w:eastAsia="Noto Sans"/>
                <w:sz w:val="17"/>
              </w:rPr>
              <w:t>EVO non supporta o non consente M2M esterno.</w:t>
            </w:r>
          </w:p>
        </w:tc>
        <w:tc>
          <w:tcPr>
            <w:tcW w:type="dxa" w:w="1881"/>
          </w:tcPr>
          <w:p>
            <w:r>
              <w:rPr>
                <w:rFonts w:ascii="Noto Sans" w:hAnsi="Noto Sans" w:eastAsia="Noto Sans"/>
                <w:sz w:val="17"/>
              </w:rPr>
              <w:t>Indipendenza del ciclo M2M; nessuna forzatura dell’architettura EVO.</w:t>
            </w:r>
          </w:p>
        </w:tc>
        <w:tc>
          <w:tcPr>
            <w:tcW w:type="dxa" w:w="1881"/>
          </w:tcPr>
          <w:p>
            <w:r>
              <w:rPr>
                <w:rFonts w:ascii="Noto Sans" w:hAnsi="Noto Sans" w:eastAsia="Noto Sans"/>
                <w:sz w:val="17"/>
              </w:rPr>
              <w:t>Nuovo componente operativo solo minimale; nessun user store umano, organigramma o ruolo HR duplicato.</w:t>
            </w:r>
          </w:p>
        </w:tc>
      </w:tr>
    </w:tbl>
    <w:p>
      <w:r>
        <w:rPr>
          <w:rFonts w:ascii="Noto Sans" w:hAnsi="Noto Sans" w:eastAsia="Noto Sans"/>
        </w:rPr>
        <w:t>Regola di selezione: A è preferito; B è il compromesso preferenziale quando l’infrastruttura Keycloak è riusabile ma il perimetro EVO non deve governare workload OUF; C è ammesso quando A e B non sono praticabili. La scelta viene formalizzata con ADR/integration decision e non cambia capabilityId, principal logici o policy OUF.</w:t>
      </w:r>
    </w:p>
    <w:p>
      <w:pPr>
        <w:pStyle w:val="Heading2"/>
        <w:keepNext/>
      </w:pPr>
      <w:r>
        <w:rPr>
          <w:rFonts w:ascii="Noto Sans" w:hAnsi="Noto Sans" w:eastAsia="Noto Sans"/>
        </w:rPr>
        <w:t>6.3 Claim contract minimo</w:t>
      </w:r>
    </w:p>
    <w:tbl>
      <w:tblPr>
        <w:tblStyle w:val="TableGrid"/>
        <w:tblW w:type="auto" w:w="0"/>
        <w:jc w:val="center"/>
        <w:tblLayout w:type="fixed"/>
        <w:tblLook w:firstColumn="1" w:firstRow="1" w:lastColumn="0" w:lastRow="0" w:noHBand="0" w:noVBand="1" w:val="04A0"/>
      </w:tblPr>
      <w:tblGrid>
        <w:gridCol w:w="1984"/>
        <w:gridCol w:w="1361"/>
        <w:gridCol w:w="2551"/>
        <w:gridCol w:w="3005"/>
      </w:tblGrid>
      <w:tr>
        <w:trPr>
          <w:tblHeader w:val="true"/>
          <w:tblHeader w:val="true"/>
        </w:trPr>
        <w:tc>
          <w:tcPr>
            <w:tcW w:type="dxa" w:w="2351"/>
            <w:shd w:fill="0B4F6C"/>
            <w:vAlign w:val="center"/>
          </w:tcPr>
          <w:p>
            <w:pPr>
              <w:spacing w:before="0" w:after="40" w:line="240" w:lineRule="auto"/>
              <w:jc w:val="left"/>
            </w:pPr>
            <w:r>
              <w:rPr>
                <w:rFonts w:ascii="Noto Sans" w:hAnsi="Noto Sans" w:eastAsia="Noto Sans"/>
                <w:b/>
                <w:i w:val="0"/>
                <w:color w:val="FFFFFF"/>
                <w:sz w:val="17"/>
              </w:rPr>
              <w:t>Claim logico</w:t>
            </w:r>
          </w:p>
        </w:tc>
        <w:tc>
          <w:tcPr>
            <w:tcW w:type="dxa" w:w="2351"/>
            <w:shd w:fill="0B4F6C"/>
            <w:vAlign w:val="center"/>
          </w:tcPr>
          <w:p>
            <w:pPr>
              <w:spacing w:before="0" w:after="40" w:line="240" w:lineRule="auto"/>
              <w:jc w:val="left"/>
            </w:pPr>
            <w:r>
              <w:rPr>
                <w:rFonts w:ascii="Noto Sans" w:hAnsi="Noto Sans" w:eastAsia="Noto Sans"/>
                <w:b/>
                <w:i w:val="0"/>
                <w:color w:val="FFFFFF"/>
                <w:sz w:val="17"/>
              </w:rPr>
              <w:t>Obbligo</w:t>
            </w:r>
          </w:p>
        </w:tc>
        <w:tc>
          <w:tcPr>
            <w:tcW w:type="dxa" w:w="2351"/>
            <w:shd w:fill="0B4F6C"/>
            <w:vAlign w:val="center"/>
          </w:tcPr>
          <w:p>
            <w:pPr>
              <w:spacing w:before="0" w:after="40" w:line="240" w:lineRule="auto"/>
              <w:jc w:val="left"/>
            </w:pPr>
            <w:r>
              <w:rPr>
                <w:rFonts w:ascii="Noto Sans" w:hAnsi="Noto Sans" w:eastAsia="Noto Sans"/>
                <w:b/>
                <w:i w:val="0"/>
                <w:color w:val="FFFFFF"/>
                <w:sz w:val="17"/>
              </w:rPr>
              <w:t>Uso OUF</w:t>
            </w:r>
          </w:p>
        </w:tc>
        <w:tc>
          <w:tcPr>
            <w:tcW w:type="dxa" w:w="2351"/>
            <w:shd w:fill="0B4F6C"/>
            <w:vAlign w:val="center"/>
          </w:tcPr>
          <w:p>
            <w:pPr>
              <w:spacing w:before="0" w:after="40" w:line="240" w:lineRule="auto"/>
              <w:jc w:val="left"/>
            </w:pPr>
            <w:r>
              <w:rPr>
                <w:rFonts w:ascii="Noto Sans" w:hAnsi="Noto Sans" w:eastAsia="Noto Sans"/>
                <w:b/>
                <w:i w:val="0"/>
                <w:color w:val="FFFFFF"/>
                <w:sz w:val="17"/>
              </w:rPr>
              <w:t>Nota</w:t>
            </w:r>
          </w:p>
        </w:tc>
      </w:tr>
      <w:tr>
        <w:tc>
          <w:tcPr>
            <w:tcW w:type="dxa" w:w="1984"/>
            <w:vAlign w:val="top"/>
            <w:shd w:fill="F8FAFC"/>
          </w:tcPr>
          <w:p>
            <w:pPr>
              <w:spacing w:before="0" w:after="40" w:line="252" w:lineRule="auto"/>
            </w:pPr>
            <w:r>
              <w:rPr>
                <w:rFonts w:ascii="Noto Sans" w:hAnsi="Noto Sans" w:eastAsia="Noto Sans"/>
                <w:b w:val="0"/>
                <w:i w:val="0"/>
                <w:color w:val="000000"/>
                <w:sz w:val="17"/>
              </w:rPr>
              <w:t>iss</w:t>
            </w:r>
          </w:p>
        </w:tc>
        <w:tc>
          <w:tcPr>
            <w:tcW w:type="dxa" w:w="1361"/>
            <w:vAlign w:val="top"/>
            <w:shd w:fill="F8FAFC"/>
          </w:tcPr>
          <w:p>
            <w:pPr>
              <w:spacing w:before="0" w:after="40" w:line="252" w:lineRule="auto"/>
            </w:pPr>
            <w:r>
              <w:rPr>
                <w:rFonts w:ascii="Noto Sans" w:hAnsi="Noto Sans" w:eastAsia="Noto Sans"/>
                <w:b w:val="0"/>
                <w:i w:val="0"/>
                <w:color w:val="000000"/>
                <w:sz w:val="17"/>
              </w:rPr>
              <w:t>DEVE</w:t>
            </w:r>
          </w:p>
        </w:tc>
        <w:tc>
          <w:tcPr>
            <w:tcW w:type="dxa" w:w="2551"/>
            <w:vAlign w:val="top"/>
            <w:shd w:fill="F8FAFC"/>
          </w:tcPr>
          <w:p>
            <w:pPr>
              <w:spacing w:before="0" w:after="40" w:line="252" w:lineRule="auto"/>
            </w:pPr>
            <w:r>
              <w:rPr>
                <w:rFonts w:ascii="Noto Sans" w:hAnsi="Noto Sans" w:eastAsia="Noto Sans"/>
                <w:b w:val="0"/>
                <w:i w:val="0"/>
                <w:color w:val="000000"/>
                <w:sz w:val="17"/>
              </w:rPr>
              <w:t>trust issuer</w:t>
            </w:r>
          </w:p>
        </w:tc>
        <w:tc>
          <w:tcPr>
            <w:tcW w:type="dxa" w:w="3005"/>
            <w:vAlign w:val="top"/>
            <w:shd w:fill="F8FAFC"/>
          </w:tcPr>
          <w:p>
            <w:pPr>
              <w:spacing w:before="0" w:after="40" w:line="252" w:lineRule="auto"/>
            </w:pPr>
            <w:r>
              <w:rPr>
                <w:rFonts w:ascii="Noto Sans" w:hAnsi="Noto Sans" w:eastAsia="Noto Sans"/>
                <w:b w:val="0"/>
                <w:i w:val="0"/>
                <w:color w:val="000000"/>
                <w:sz w:val="17"/>
              </w:rPr>
              <w:t>Validato dal Gateway e/o service framework.</w:t>
            </w:r>
          </w:p>
        </w:tc>
      </w:tr>
      <w:tr>
        <w:tc>
          <w:tcPr>
            <w:tcW w:type="dxa" w:w="1984"/>
            <w:vAlign w:val="top"/>
          </w:tcPr>
          <w:p>
            <w:pPr>
              <w:spacing w:before="0" w:after="40" w:line="252" w:lineRule="auto"/>
            </w:pPr>
            <w:r>
              <w:rPr>
                <w:rFonts w:ascii="Noto Sans" w:hAnsi="Noto Sans" w:eastAsia="Noto Sans"/>
                <w:b w:val="0"/>
                <w:i w:val="0"/>
                <w:color w:val="000000"/>
                <w:sz w:val="17"/>
              </w:rPr>
              <w:t>sub</w:t>
            </w:r>
          </w:p>
        </w:tc>
        <w:tc>
          <w:tcPr>
            <w:tcW w:type="dxa" w:w="1361"/>
            <w:vAlign w:val="top"/>
          </w:tcPr>
          <w:p>
            <w:pPr>
              <w:spacing w:before="0" w:after="40" w:line="252" w:lineRule="auto"/>
            </w:pPr>
            <w:r>
              <w:rPr>
                <w:rFonts w:ascii="Noto Sans" w:hAnsi="Noto Sans" w:eastAsia="Noto Sans"/>
                <w:b w:val="0"/>
                <w:i w:val="0"/>
                <w:color w:val="000000"/>
                <w:sz w:val="17"/>
              </w:rPr>
              <w:t>DEVE</w:t>
            </w:r>
          </w:p>
        </w:tc>
        <w:tc>
          <w:tcPr>
            <w:tcW w:type="dxa" w:w="2551"/>
            <w:vAlign w:val="top"/>
          </w:tcPr>
          <w:p>
            <w:pPr>
              <w:spacing w:before="0" w:after="40" w:line="252" w:lineRule="auto"/>
            </w:pPr>
            <w:r>
              <w:rPr>
                <w:rFonts w:ascii="Noto Sans" w:hAnsi="Noto Sans" w:eastAsia="Noto Sans"/>
                <w:b w:val="0"/>
                <w:i w:val="0"/>
                <w:color w:val="000000"/>
                <w:sz w:val="17"/>
              </w:rPr>
              <w:t>subject stabile</w:t>
            </w:r>
          </w:p>
        </w:tc>
        <w:tc>
          <w:tcPr>
            <w:tcW w:type="dxa" w:w="3005"/>
            <w:vAlign w:val="top"/>
          </w:tcPr>
          <w:p>
            <w:pPr>
              <w:spacing w:before="0" w:after="40" w:line="252" w:lineRule="auto"/>
            </w:pPr>
            <w:r>
              <w:rPr>
                <w:rFonts w:ascii="Noto Sans" w:hAnsi="Noto Sans" w:eastAsia="Noto Sans"/>
                <w:b w:val="0"/>
                <w:i w:val="0"/>
                <w:color w:val="000000"/>
                <w:sz w:val="17"/>
              </w:rPr>
              <w:t>Mai sostituito da userId payload.</w:t>
            </w:r>
          </w:p>
        </w:tc>
      </w:tr>
      <w:tr>
        <w:tc>
          <w:tcPr>
            <w:tcW w:type="dxa" w:w="1984"/>
            <w:vAlign w:val="top"/>
            <w:shd w:fill="F8FAFC"/>
          </w:tcPr>
          <w:p>
            <w:pPr>
              <w:spacing w:before="0" w:after="40" w:line="252" w:lineRule="auto"/>
            </w:pPr>
            <w:r>
              <w:rPr>
                <w:rFonts w:ascii="Noto Sans" w:hAnsi="Noto Sans" w:eastAsia="Noto Sans"/>
                <w:b w:val="0"/>
                <w:i w:val="0"/>
                <w:color w:val="000000"/>
                <w:sz w:val="17"/>
              </w:rPr>
              <w:t>aud</w:t>
            </w:r>
          </w:p>
        </w:tc>
        <w:tc>
          <w:tcPr>
            <w:tcW w:type="dxa" w:w="1361"/>
            <w:vAlign w:val="top"/>
            <w:shd w:fill="F8FAFC"/>
          </w:tcPr>
          <w:p>
            <w:pPr>
              <w:spacing w:before="0" w:after="40" w:line="252" w:lineRule="auto"/>
            </w:pPr>
            <w:r>
              <w:rPr>
                <w:rFonts w:ascii="Noto Sans" w:hAnsi="Noto Sans" w:eastAsia="Noto Sans"/>
                <w:b w:val="0"/>
                <w:i w:val="0"/>
                <w:color w:val="000000"/>
                <w:sz w:val="17"/>
              </w:rPr>
              <w:t>DEVE</w:t>
            </w:r>
          </w:p>
        </w:tc>
        <w:tc>
          <w:tcPr>
            <w:tcW w:type="dxa" w:w="2551"/>
            <w:vAlign w:val="top"/>
            <w:shd w:fill="F8FAFC"/>
          </w:tcPr>
          <w:p>
            <w:pPr>
              <w:spacing w:before="0" w:after="40" w:line="252" w:lineRule="auto"/>
            </w:pPr>
            <w:r>
              <w:rPr>
                <w:rFonts w:ascii="Noto Sans" w:hAnsi="Noto Sans" w:eastAsia="Noto Sans"/>
                <w:b w:val="0"/>
                <w:i w:val="0"/>
                <w:color w:val="000000"/>
                <w:sz w:val="17"/>
              </w:rPr>
              <w:t>audience</w:t>
            </w:r>
          </w:p>
        </w:tc>
        <w:tc>
          <w:tcPr>
            <w:tcW w:type="dxa" w:w="3005"/>
            <w:vAlign w:val="top"/>
            <w:shd w:fill="F8FAFC"/>
          </w:tcPr>
          <w:p>
            <w:pPr>
              <w:spacing w:before="0" w:after="40" w:line="252" w:lineRule="auto"/>
            </w:pPr>
            <w:r>
              <w:rPr>
                <w:rFonts w:ascii="Noto Sans" w:hAnsi="Noto Sans" w:eastAsia="Noto Sans"/>
                <w:b w:val="0"/>
                <w:i w:val="0"/>
                <w:color w:val="000000"/>
                <w:sz w:val="17"/>
              </w:rPr>
              <w:t>Deve includere audience OUF prevista.</w:t>
            </w:r>
          </w:p>
        </w:tc>
      </w:tr>
      <w:tr>
        <w:tc>
          <w:tcPr>
            <w:tcW w:type="dxa" w:w="1984"/>
            <w:vAlign w:val="top"/>
          </w:tcPr>
          <w:p>
            <w:pPr>
              <w:spacing w:before="0" w:after="40" w:line="252" w:lineRule="auto"/>
            </w:pPr>
            <w:r>
              <w:rPr>
                <w:rFonts w:ascii="Noto Sans" w:hAnsi="Noto Sans" w:eastAsia="Noto Sans"/>
                <w:b w:val="0"/>
                <w:i w:val="0"/>
                <w:color w:val="000000"/>
                <w:sz w:val="17"/>
              </w:rPr>
              <w:t>exp/iat</w:t>
            </w:r>
          </w:p>
        </w:tc>
        <w:tc>
          <w:tcPr>
            <w:tcW w:type="dxa" w:w="1361"/>
            <w:vAlign w:val="top"/>
          </w:tcPr>
          <w:p>
            <w:pPr>
              <w:spacing w:before="0" w:after="40" w:line="252" w:lineRule="auto"/>
            </w:pPr>
            <w:r>
              <w:rPr>
                <w:rFonts w:ascii="Noto Sans" w:hAnsi="Noto Sans" w:eastAsia="Noto Sans"/>
                <w:b w:val="0"/>
                <w:i w:val="0"/>
                <w:color w:val="000000"/>
                <w:sz w:val="17"/>
              </w:rPr>
              <w:t>DEVE</w:t>
            </w:r>
          </w:p>
        </w:tc>
        <w:tc>
          <w:tcPr>
            <w:tcW w:type="dxa" w:w="2551"/>
            <w:vAlign w:val="top"/>
          </w:tcPr>
          <w:p>
            <w:pPr>
              <w:spacing w:before="0" w:after="40" w:line="252" w:lineRule="auto"/>
            </w:pPr>
            <w:r>
              <w:rPr>
                <w:rFonts w:ascii="Noto Sans" w:hAnsi="Noto Sans" w:eastAsia="Noto Sans"/>
                <w:b w:val="0"/>
                <w:i w:val="0"/>
                <w:color w:val="000000"/>
                <w:sz w:val="17"/>
              </w:rPr>
              <w:t>freshness</w:t>
            </w:r>
          </w:p>
        </w:tc>
        <w:tc>
          <w:tcPr>
            <w:tcW w:type="dxa" w:w="3005"/>
            <w:vAlign w:val="top"/>
          </w:tcPr>
          <w:p>
            <w:pPr>
              <w:spacing w:before="0" w:after="40" w:line="252" w:lineRule="auto"/>
            </w:pPr>
            <w:r>
              <w:rPr>
                <w:rFonts w:ascii="Noto Sans" w:hAnsi="Noto Sans" w:eastAsia="Noto Sans"/>
                <w:b w:val="0"/>
                <w:i w:val="0"/>
                <w:color w:val="000000"/>
                <w:sz w:val="17"/>
              </w:rPr>
              <w:t>Usato per validità e step-up policy.</w:t>
            </w:r>
          </w:p>
        </w:tc>
      </w:tr>
      <w:tr>
        <w:tc>
          <w:tcPr>
            <w:tcW w:type="dxa" w:w="1984"/>
            <w:vAlign w:val="top"/>
            <w:shd w:fill="F8FAFC"/>
          </w:tcPr>
          <w:p>
            <w:pPr>
              <w:spacing w:before="0" w:after="40" w:line="252" w:lineRule="auto"/>
            </w:pPr>
            <w:r>
              <w:rPr>
                <w:rFonts w:ascii="Noto Sans" w:hAnsi="Noto Sans" w:eastAsia="Noto Sans"/>
                <w:b w:val="0"/>
                <w:i w:val="0"/>
                <w:color w:val="000000"/>
                <w:sz w:val="17"/>
              </w:rPr>
              <w:t>client_id / azp</w:t>
            </w:r>
          </w:p>
        </w:tc>
        <w:tc>
          <w:tcPr>
            <w:tcW w:type="dxa" w:w="1361"/>
            <w:vAlign w:val="top"/>
            <w:shd w:fill="F8FAFC"/>
          </w:tcPr>
          <w:p>
            <w:pPr>
              <w:spacing w:before="0" w:after="40" w:line="252" w:lineRule="auto"/>
            </w:pPr>
            <w:r>
              <w:rPr>
                <w:rFonts w:ascii="Noto Sans" w:hAnsi="Noto Sans" w:eastAsia="Noto Sans"/>
                <w:b w:val="0"/>
                <w:i w:val="0"/>
                <w:color w:val="000000"/>
                <w:sz w:val="17"/>
              </w:rPr>
              <w:t>DEVE per client</w:t>
            </w:r>
          </w:p>
        </w:tc>
        <w:tc>
          <w:tcPr>
            <w:tcW w:type="dxa" w:w="2551"/>
            <w:vAlign w:val="top"/>
            <w:shd w:fill="F8FAFC"/>
          </w:tcPr>
          <w:p>
            <w:pPr>
              <w:spacing w:before="0" w:after="40" w:line="252" w:lineRule="auto"/>
            </w:pPr>
            <w:r>
              <w:rPr>
                <w:rFonts w:ascii="Noto Sans" w:hAnsi="Noto Sans" w:eastAsia="Noto Sans"/>
                <w:b w:val="0"/>
                <w:i w:val="0"/>
                <w:color w:val="000000"/>
                <w:sz w:val="17"/>
              </w:rPr>
              <w:t>identità tecnica</w:t>
            </w:r>
          </w:p>
        </w:tc>
        <w:tc>
          <w:tcPr>
            <w:tcW w:type="dxa" w:w="3005"/>
            <w:vAlign w:val="top"/>
            <w:shd w:fill="F8FAFC"/>
          </w:tcPr>
          <w:p>
            <w:pPr>
              <w:spacing w:before="0" w:after="40" w:line="252" w:lineRule="auto"/>
            </w:pPr>
            <w:r>
              <w:rPr>
                <w:rFonts w:ascii="Noto Sans" w:hAnsi="Noto Sans" w:eastAsia="Noto Sans"/>
                <w:b w:val="0"/>
                <w:i w:val="0"/>
                <w:color w:val="000000"/>
                <w:sz w:val="17"/>
              </w:rPr>
              <w:t>Necessario per AI/MCP/service.</w:t>
            </w:r>
          </w:p>
        </w:tc>
      </w:tr>
      <w:tr>
        <w:tc>
          <w:tcPr>
            <w:tcW w:type="dxa" w:w="1984"/>
            <w:vAlign w:val="top"/>
          </w:tcPr>
          <w:p>
            <w:pPr>
              <w:spacing w:before="0" w:after="40" w:line="252" w:lineRule="auto"/>
            </w:pPr>
            <w:r>
              <w:rPr>
                <w:rFonts w:ascii="Noto Sans" w:hAnsi="Noto Sans" w:eastAsia="Noto Sans"/>
                <w:b w:val="0"/>
                <w:i w:val="0"/>
                <w:color w:val="000000"/>
                <w:sz w:val="17"/>
              </w:rPr>
              <w:t>roles / groups / externalRoleRefs</w:t>
            </w:r>
          </w:p>
        </w:tc>
        <w:tc>
          <w:tcPr>
            <w:tcW w:type="dxa" w:w="1361"/>
            <w:vAlign w:val="top"/>
          </w:tcPr>
          <w:p>
            <w:pPr>
              <w:spacing w:before="0" w:after="40" w:line="252" w:lineRule="auto"/>
            </w:pPr>
            <w:r>
              <w:rPr>
                <w:rFonts w:ascii="Noto Sans" w:hAnsi="Noto Sans" w:eastAsia="Noto Sans"/>
                <w:b w:val="0"/>
                <w:i w:val="0"/>
                <w:color w:val="000000"/>
                <w:sz w:val="17"/>
              </w:rPr>
              <w:t>DEVE o lookup equivalente</w:t>
            </w:r>
          </w:p>
        </w:tc>
        <w:tc>
          <w:tcPr>
            <w:tcW w:type="dxa" w:w="2551"/>
            <w:vAlign w:val="top"/>
          </w:tcPr>
          <w:p>
            <w:pPr>
              <w:spacing w:before="0" w:after="40" w:line="252" w:lineRule="auto"/>
            </w:pPr>
            <w:r>
              <w:rPr>
                <w:rFonts w:ascii="Noto Sans" w:hAnsi="Noto Sans" w:eastAsia="Noto Sans"/>
                <w:b w:val="0"/>
                <w:i w:val="0"/>
                <w:color w:val="000000"/>
                <w:sz w:val="17"/>
              </w:rPr>
              <w:t>mappatura policy</w:t>
            </w:r>
          </w:p>
        </w:tc>
        <w:tc>
          <w:tcPr>
            <w:tcW w:type="dxa" w:w="3005"/>
            <w:vAlign w:val="top"/>
          </w:tcPr>
          <w:p>
            <w:pPr>
              <w:spacing w:before="0" w:after="40" w:line="252" w:lineRule="auto"/>
            </w:pPr>
            <w:r>
              <w:rPr>
                <w:rFonts w:ascii="Noto Sans" w:hAnsi="Noto Sans" w:eastAsia="Noto Sans"/>
                <w:b w:val="0"/>
                <w:i w:val="0"/>
                <w:color w:val="000000"/>
                <w:sz w:val="17"/>
              </w:rPr>
              <w:t>Preferire identificatori stabili.</w:t>
            </w:r>
          </w:p>
        </w:tc>
      </w:tr>
      <w:tr>
        <w:tc>
          <w:tcPr>
            <w:tcW w:type="dxa" w:w="1984"/>
            <w:vAlign w:val="top"/>
            <w:shd w:fill="F8FAFC"/>
          </w:tcPr>
          <w:p>
            <w:pPr>
              <w:spacing w:before="0" w:after="40" w:line="252" w:lineRule="auto"/>
            </w:pPr>
            <w:r>
              <w:rPr>
                <w:rFonts w:ascii="Noto Sans" w:hAnsi="Noto Sans" w:eastAsia="Noto Sans"/>
                <w:b w:val="0"/>
                <w:i w:val="0"/>
                <w:color w:val="000000"/>
                <w:sz w:val="17"/>
              </w:rPr>
              <w:t>orgUnit / orgPath / orgRef</w:t>
            </w:r>
          </w:p>
        </w:tc>
        <w:tc>
          <w:tcPr>
            <w:tcW w:type="dxa" w:w="1361"/>
            <w:vAlign w:val="top"/>
            <w:shd w:fill="F8FAFC"/>
          </w:tcPr>
          <w:p>
            <w:pPr>
              <w:spacing w:before="0" w:after="40" w:line="252" w:lineRule="auto"/>
            </w:pPr>
            <w:r>
              <w:rPr>
                <w:rFonts w:ascii="Noto Sans" w:hAnsi="Noto Sans" w:eastAsia="Noto Sans"/>
                <w:b w:val="0"/>
                <w:i w:val="0"/>
                <w:color w:val="000000"/>
                <w:sz w:val="17"/>
              </w:rPr>
              <w:t>DOVREBBE</w:t>
            </w:r>
          </w:p>
        </w:tc>
        <w:tc>
          <w:tcPr>
            <w:tcW w:type="dxa" w:w="2551"/>
            <w:vAlign w:val="top"/>
            <w:shd w:fill="F8FAFC"/>
          </w:tcPr>
          <w:p>
            <w:pPr>
              <w:spacing w:before="0" w:after="40" w:line="252" w:lineRule="auto"/>
            </w:pPr>
            <w:r>
              <w:rPr>
                <w:rFonts w:ascii="Noto Sans" w:hAnsi="Noto Sans" w:eastAsia="Noto Sans"/>
                <w:b w:val="0"/>
                <w:i w:val="0"/>
                <w:color w:val="000000"/>
                <w:sz w:val="17"/>
              </w:rPr>
              <w:t>scope organizzativo</w:t>
            </w:r>
          </w:p>
        </w:tc>
        <w:tc>
          <w:tcPr>
            <w:tcW w:type="dxa" w:w="3005"/>
            <w:vAlign w:val="top"/>
            <w:shd w:fill="F8FAFC"/>
          </w:tcPr>
          <w:p>
            <w:pPr>
              <w:spacing w:before="0" w:after="40" w:line="252" w:lineRule="auto"/>
            </w:pPr>
            <w:r>
              <w:rPr>
                <w:rFonts w:ascii="Noto Sans" w:hAnsi="Noto Sans" w:eastAsia="Noto Sans"/>
                <w:b w:val="0"/>
                <w:i w:val="0"/>
                <w:color w:val="000000"/>
                <w:sz w:val="17"/>
              </w:rPr>
              <w:t>Può essere singolo o multiplo.</w:t>
            </w:r>
          </w:p>
        </w:tc>
      </w:tr>
      <w:tr>
        <w:tc>
          <w:tcPr>
            <w:tcW w:type="dxa" w:w="1984"/>
            <w:vAlign w:val="top"/>
          </w:tcPr>
          <w:p>
            <w:pPr>
              <w:spacing w:before="0" w:after="40" w:line="252" w:lineRule="auto"/>
            </w:pPr>
            <w:r>
              <w:rPr>
                <w:rFonts w:ascii="Noto Sans" w:hAnsi="Noto Sans" w:eastAsia="Noto Sans"/>
                <w:b w:val="0"/>
                <w:i w:val="0"/>
                <w:color w:val="000000"/>
                <w:sz w:val="17"/>
              </w:rPr>
              <w:t>acr/amr</w:t>
            </w:r>
          </w:p>
        </w:tc>
        <w:tc>
          <w:tcPr>
            <w:tcW w:type="dxa" w:w="1361"/>
            <w:vAlign w:val="top"/>
          </w:tcPr>
          <w:p>
            <w:pPr>
              <w:spacing w:before="0" w:after="40" w:line="252" w:lineRule="auto"/>
            </w:pPr>
            <w:r>
              <w:rPr>
                <w:rFonts w:ascii="Noto Sans" w:hAnsi="Noto Sans" w:eastAsia="Noto Sans"/>
                <w:b w:val="0"/>
                <w:i w:val="0"/>
                <w:color w:val="000000"/>
                <w:sz w:val="17"/>
              </w:rPr>
              <w:t>DOVREBBE</w:t>
            </w:r>
          </w:p>
        </w:tc>
        <w:tc>
          <w:tcPr>
            <w:tcW w:type="dxa" w:w="2551"/>
            <w:vAlign w:val="top"/>
          </w:tcPr>
          <w:p>
            <w:pPr>
              <w:spacing w:before="0" w:after="40" w:line="252" w:lineRule="auto"/>
            </w:pPr>
            <w:r>
              <w:rPr>
                <w:rFonts w:ascii="Noto Sans" w:hAnsi="Noto Sans" w:eastAsia="Noto Sans"/>
                <w:b w:val="0"/>
                <w:i w:val="0"/>
                <w:color w:val="000000"/>
                <w:sz w:val="17"/>
              </w:rPr>
              <w:t>assurance/step-up</w:t>
            </w:r>
          </w:p>
        </w:tc>
        <w:tc>
          <w:tcPr>
            <w:tcW w:type="dxa" w:w="3005"/>
            <w:vAlign w:val="top"/>
          </w:tcPr>
          <w:p>
            <w:pPr>
              <w:spacing w:before="0" w:after="40" w:line="252" w:lineRule="auto"/>
            </w:pPr>
            <w:r>
              <w:rPr>
                <w:rFonts w:ascii="Noto Sans" w:hAnsi="Noto Sans" w:eastAsia="Noto Sans"/>
                <w:b w:val="0"/>
                <w:i w:val="0"/>
                <w:color w:val="000000"/>
                <w:sz w:val="17"/>
              </w:rPr>
              <w:t>Necessario per operazioni ad alto impatto.</w:t>
            </w:r>
          </w:p>
        </w:tc>
      </w:tr>
      <w:tr>
        <w:tc>
          <w:tcPr>
            <w:tcW w:type="dxa" w:w="1984"/>
            <w:vAlign w:val="top"/>
            <w:shd w:fill="F8FAFC"/>
          </w:tcPr>
          <w:p>
            <w:pPr>
              <w:spacing w:before="0" w:after="40" w:line="252" w:lineRule="auto"/>
            </w:pPr>
            <w:r>
              <w:rPr>
                <w:rFonts w:ascii="Noto Sans" w:hAnsi="Noto Sans" w:eastAsia="Noto Sans"/>
                <w:b w:val="0"/>
                <w:i w:val="0"/>
                <w:color w:val="000000"/>
                <w:sz w:val="17"/>
              </w:rPr>
              <w:t>purpose/domain</w:t>
            </w:r>
          </w:p>
        </w:tc>
        <w:tc>
          <w:tcPr>
            <w:tcW w:type="dxa" w:w="1361"/>
            <w:vAlign w:val="top"/>
            <w:shd w:fill="F8FAFC"/>
          </w:tcPr>
          <w:p>
            <w:pPr>
              <w:spacing w:before="0" w:after="40" w:line="252" w:lineRule="auto"/>
            </w:pPr>
            <w:r>
              <w:rPr>
                <w:rFonts w:ascii="Noto Sans" w:hAnsi="Noto Sans" w:eastAsia="Noto Sans"/>
                <w:b w:val="0"/>
                <w:i w:val="0"/>
                <w:color w:val="000000"/>
                <w:sz w:val="17"/>
              </w:rPr>
              <w:t>PUÒ</w:t>
            </w:r>
          </w:p>
        </w:tc>
        <w:tc>
          <w:tcPr>
            <w:tcW w:type="dxa" w:w="2551"/>
            <w:vAlign w:val="top"/>
            <w:shd w:fill="F8FAFC"/>
          </w:tcPr>
          <w:p>
            <w:pPr>
              <w:spacing w:before="0" w:after="40" w:line="252" w:lineRule="auto"/>
            </w:pPr>
            <w:r>
              <w:rPr>
                <w:rFonts w:ascii="Noto Sans" w:hAnsi="Noto Sans" w:eastAsia="Noto Sans"/>
                <w:b w:val="0"/>
                <w:i w:val="0"/>
                <w:color w:val="000000"/>
                <w:sz w:val="17"/>
              </w:rPr>
              <w:t>ABAC futuro</w:t>
            </w:r>
          </w:p>
        </w:tc>
        <w:tc>
          <w:tcPr>
            <w:tcW w:type="dxa" w:w="3005"/>
            <w:vAlign w:val="top"/>
            <w:shd w:fill="F8FAFC"/>
          </w:tcPr>
          <w:p>
            <w:pPr>
              <w:spacing w:before="0" w:after="40" w:line="252" w:lineRule="auto"/>
            </w:pPr>
            <w:r>
              <w:rPr>
                <w:rFonts w:ascii="Noto Sans" w:hAnsi="Noto Sans" w:eastAsia="Noto Sans"/>
                <w:b w:val="0"/>
                <w:i w:val="0"/>
                <w:color w:val="000000"/>
                <w:sz w:val="17"/>
              </w:rPr>
              <w:t>Usato solo se policy OUF lo richiede.</w:t>
            </w:r>
          </w:p>
        </w:tc>
      </w:tr>
    </w:tbl>
    <w:p>
      <w:pPr>
        <w:spacing w:after="40"/>
      </w:pPr>
    </w:p>
    <w:p>
      <w:pPr>
        <w:pStyle w:val="Heading2"/>
        <w:keepNext/>
      </w:pPr>
      <w:r>
        <w:rPr>
          <w:rFonts w:ascii="Noto Sans" w:hAnsi="Noto Sans" w:eastAsia="Noto Sans"/>
        </w:rPr>
        <w:t>6.4 Ruoli: claim-first, lookup-second</w:t>
      </w:r>
    </w:p>
    <w:p>
      <w:pPr>
        <w:spacing w:before="0" w:after="120" w:line="276" w:lineRule="auto"/>
      </w:pPr>
      <w:r>
        <w:rPr>
          <w:rFonts w:ascii="Noto Sans" w:hAnsi="Noto Sans" w:eastAsia="Noto Sans"/>
          <w:b w:val="0"/>
          <w:i w:val="0"/>
          <w:color w:val="000000"/>
          <w:sz w:val="18"/>
        </w:rPr>
        <w:t>OUF preferisce usare ruoli e appartenenze organizzative presenti nel token. Se la cardinalità o la dinamica dei ruoli rende i token impraticabili, può essere usato un IAM Directory Adapter verso API EVO/Maggioli. Il risultato di lookup può essere cacheato con TTL breve ma non diventa source of truth locale.</w:t>
      </w:r>
    </w:p>
    <w:tbl>
      <w:tblPr>
        <w:tblW w:type="auto" w:w="0"/>
        <w:jc w:val="center"/>
        <w:tblLayout w:type="fixed"/>
        <w:tblLook w:firstColumn="1" w:firstRow="1" w:lastColumn="0" w:lastRow="0" w:noHBand="0" w:noVBand="1" w:val="04A0"/>
      </w:tblPr>
      <w:tblGrid>
        <w:gridCol w:w="8787"/>
      </w:tblGrid>
      <w:tr>
        <w:trPr>
          <w:tblHeader w:val="true"/>
        </w:trPr>
        <w:tc>
          <w:tcPr>
            <w:tcW w:type="dxa" w:w="9406"/>
            <w:shd w:fill="0B4F6C"/>
            <w:tcBorders>
              <w:top w:val="single" w:sz="10" w:color="E30613"/>
              <w:left w:val="single" w:sz="10" w:color="E30613"/>
              <w:bottom w:val="single" w:sz="10" w:color="E30613"/>
              <w:right w:val="single" w:sz="10" w:color="E30613"/>
            </w:tcBorders>
          </w:tcPr>
          <w:p>
            <w:pPr>
              <w:spacing w:before="40" w:after="80" w:line="264" w:lineRule="auto"/>
            </w:pPr>
            <w:r>
              <w:rPr>
                <w:rFonts w:ascii="Noto Sans" w:hAnsi="Noto Sans" w:eastAsia="Noto Sans"/>
                <w:b/>
                <w:i w:val="0"/>
                <w:color w:val="FFFFFF"/>
                <w:sz w:val="17"/>
              </w:rPr>
              <w:t>No role database replication</w:t>
            </w:r>
          </w:p>
          <w:p>
            <w:pPr>
              <w:spacing w:before="0" w:after="40" w:line="264" w:lineRule="auto"/>
            </w:pPr>
            <w:r>
              <w:rPr>
                <w:rFonts w:ascii="Noto Sans" w:hAnsi="Noto Sans" w:eastAsia="Noto Sans"/>
                <w:b/>
                <w:i w:val="0"/>
                <w:color w:val="FFFFFF"/>
                <w:sz w:val="17"/>
              </w:rPr>
              <w:t>Non è prevista una sincronizzazione autoritativa del DB ruoli EVO dentro OUF. Eventuali cache servono solo a performance/resilienza e devono essere invalidate o scadere in modo controllato.</w:t>
            </w:r>
          </w:p>
        </w:tc>
      </w:tr>
    </w:tbl>
    <w:p>
      <w:pPr>
        <w:spacing w:after="20"/>
      </w:pPr>
    </w:p>
    <w:p>
      <w:r>
        <w:rPr>
          <w:rFonts w:ascii="Noto Sans" w:hAnsi="Noto Sans" w:eastAsia="Noto Sans"/>
        </w:rPr>
      </w:r>
    </w:p>
    <w:p>
      <w:pPr>
        <w:pStyle w:val="Heading1"/>
        <w:keepNext/>
      </w:pPr>
      <w:r>
        <w:rPr>
          <w:rFonts w:ascii="Noto Sans" w:hAnsi="Noto Sans" w:eastAsia="Noto Sans"/>
        </w:rPr>
        <w:t>7. Modello di autorizzazione OUF</w:t>
      </w:r>
    </w:p>
    <w:p>
      <w:pPr>
        <w:pStyle w:val="Heading2"/>
        <w:keepNext/>
      </w:pPr>
      <w:r>
        <w:rPr>
          <w:rFonts w:ascii="Noto Sans" w:hAnsi="Noto Sans" w:eastAsia="Noto Sans"/>
        </w:rPr>
        <w:t>7.1 Modello base</w:t>
      </w:r>
    </w:p>
    <w:p>
      <w:pPr>
        <w:spacing w:before="0" w:after="120" w:line="276" w:lineRule="auto"/>
      </w:pPr>
      <w:r>
        <w:rPr>
          <w:rFonts w:ascii="Noto Sans" w:hAnsi="Noto Sans" w:eastAsia="Noto Sans"/>
          <w:b w:val="0"/>
          <w:i w:val="0"/>
          <w:color w:val="000000"/>
          <w:sz w:val="18"/>
        </w:rPr>
        <w:t>La baseline adotta un modello RBAC applicativo con vincoli ABAC minimali. Il grant principale associa un externalRoleRef a una capability OUF. Condizioni aggiuntive possono restringere il grant per actor type, organizational scope, domain/resource scope o assurance level.</w:t>
      </w:r>
    </w:p>
    <w:p>
      <w:pPr>
        <w:pStyle w:val="CodeBlock"/>
        <w:shd w:fill="F2F2F2"/>
      </w:pPr>
      <w:r>
        <w:rPr>
          <w:rFonts w:ascii="DejaVu Sans Mono" w:hAnsi="DejaVu Sans Mono" w:eastAsia="DejaVu Sans Mono"/>
          <w:b w:val="0"/>
          <w:i w:val="0"/>
          <w:color w:val="000000"/>
          <w:sz w:val="17"/>
        </w:rPr>
        <w:t>externalRoleRef = EVO:RESPONSABILE_SUO</w:t>
      </w:r>
    </w:p>
    <w:p>
      <w:pPr>
        <w:pStyle w:val="CodeBlock"/>
        <w:shd w:fill="F2F2F2"/>
      </w:pPr>
      <w:r>
        <w:rPr>
          <w:rFonts w:ascii="DejaVu Sans Mono" w:hAnsi="DejaVu Sans Mono" w:eastAsia="DejaVu Sans Mono"/>
          <w:b w:val="0"/>
          <w:i w:val="0"/>
          <w:color w:val="000000"/>
          <w:sz w:val="17"/>
        </w:rPr>
        <w:t>capability      = onboarding.approve</w:t>
      </w:r>
    </w:p>
    <w:p>
      <w:pPr>
        <w:pStyle w:val="CodeBlock"/>
        <w:shd w:fill="F2F2F2"/>
      </w:pPr>
      <w:r>
        <w:rPr>
          <w:rFonts w:ascii="DejaVu Sans Mono" w:hAnsi="DejaVu Sans Mono" w:eastAsia="DejaVu Sans Mono"/>
          <w:b w:val="0"/>
          <w:i w:val="0"/>
          <w:color w:val="000000"/>
          <w:sz w:val="17"/>
        </w:rPr>
        <w:t>actorType       = HUMAN_USER</w:t>
      </w:r>
    </w:p>
    <w:p>
      <w:pPr>
        <w:pStyle w:val="CodeBlock"/>
        <w:shd w:fill="F2F2F2"/>
      </w:pPr>
      <w:r>
        <w:rPr>
          <w:rFonts w:ascii="DejaVu Sans Mono" w:hAnsi="DejaVu Sans Mono" w:eastAsia="DejaVu Sans Mono"/>
          <w:b w:val="0"/>
          <w:i w:val="0"/>
          <w:color w:val="000000"/>
          <w:sz w:val="17"/>
        </w:rPr>
        <w:t>orgScope        = ${subject.orgUnit}</w:t>
      </w:r>
    </w:p>
    <w:p>
      <w:pPr>
        <w:pStyle w:val="CodeBlock"/>
        <w:shd w:fill="F2F2F2"/>
      </w:pPr>
      <w:r>
        <w:rPr>
          <w:rFonts w:ascii="DejaVu Sans Mono" w:hAnsi="DejaVu Sans Mono" w:eastAsia="DejaVu Sans Mono"/>
          <w:b w:val="0"/>
          <w:i w:val="0"/>
          <w:color w:val="000000"/>
          <w:sz w:val="17"/>
        </w:rPr>
        <w:t>assurance       = normal</w:t>
      </w:r>
    </w:p>
    <w:p>
      <w:pPr>
        <w:pStyle w:val="CodeBlock"/>
        <w:shd w:fill="F2F2F2"/>
      </w:pPr>
      <w:r>
        <w:rPr>
          <w:rFonts w:ascii="DejaVu Sans Mono" w:hAnsi="DejaVu Sans Mono" w:eastAsia="DejaVu Sans Mono"/>
          <w:b w:val="0"/>
          <w:i w:val="0"/>
          <w:color w:val="000000"/>
          <w:sz w:val="17"/>
        </w:rPr>
        <w:t>effect          = ALLOW</w:t>
      </w:r>
    </w:p>
    <w:p>
      <w:pPr>
        <w:pStyle w:val="Heading2"/>
        <w:keepNext/>
      </w:pPr>
      <w:r>
        <w:rPr>
          <w:rFonts w:ascii="Noto Sans" w:hAnsi="Noto Sans" w:eastAsia="Noto Sans"/>
        </w:rPr>
        <w:t>7.2 Default deny e deny-overrides</w:t>
      </w:r>
    </w:p>
    <w:p>
      <w:pPr>
        <w:pStyle w:val="ListBullet"/>
        <w:spacing w:before="0" w:after="60" w:line="264" w:lineRule="auto"/>
      </w:pPr>
      <w:r>
        <w:rPr>
          <w:rFonts w:ascii="Noto Sans" w:hAnsi="Noto Sans" w:eastAsia="Noto Sans"/>
          <w:b w:val="0"/>
          <w:i w:val="0"/>
          <w:color w:val="000000"/>
          <w:sz w:val="18"/>
        </w:rPr>
        <w:t>In assenza di grant valido l’operazione è negata.</w:t>
      </w:r>
    </w:p>
    <w:p>
      <w:pPr>
        <w:pStyle w:val="ListBullet"/>
        <w:spacing w:before="0" w:after="60" w:line="264" w:lineRule="auto"/>
      </w:pPr>
      <w:r>
        <w:rPr>
          <w:rFonts w:ascii="Noto Sans" w:hAnsi="Noto Sans" w:eastAsia="Noto Sans"/>
          <w:b w:val="0"/>
          <w:i w:val="0"/>
          <w:color w:val="000000"/>
          <w:sz w:val="18"/>
        </w:rPr>
        <w:t>Una regola DENY esplicita prevale sui grant ALLOW quando applicabile.</w:t>
      </w:r>
    </w:p>
    <w:p>
      <w:pPr>
        <w:pStyle w:val="ListBullet"/>
        <w:spacing w:before="0" w:after="60" w:line="264" w:lineRule="auto"/>
      </w:pPr>
      <w:r>
        <w:rPr>
          <w:rFonts w:ascii="Noto Sans" w:hAnsi="Noto Sans" w:eastAsia="Noto Sans"/>
          <w:b w:val="0"/>
          <w:i w:val="0"/>
          <w:color w:val="000000"/>
          <w:sz w:val="18"/>
        </w:rPr>
        <w:t>Le capability human-only incorporano una guard actor type indipendente dal ruolo.</w:t>
      </w:r>
    </w:p>
    <w:p>
      <w:pPr>
        <w:pStyle w:val="ListBullet"/>
        <w:spacing w:before="0" w:after="60" w:line="264" w:lineRule="auto"/>
      </w:pPr>
      <w:r>
        <w:rPr>
          <w:rFonts w:ascii="Noto Sans" w:hAnsi="Noto Sans" w:eastAsia="Noto Sans"/>
          <w:b w:val="0"/>
          <w:i w:val="0"/>
          <w:color w:val="000000"/>
          <w:sz w:val="18"/>
        </w:rPr>
        <w:t>Le guard di stato del dominio sono valutate dopo l’autorizzazione e possono negare l’operazione anche a un utente autorizzato.</w:t>
      </w:r>
    </w:p>
    <w:p>
      <w:pPr>
        <w:pStyle w:val="Heading2"/>
        <w:keepNext/>
      </w:pPr>
      <w:r>
        <w:rPr>
          <w:rFonts w:ascii="Noto Sans" w:hAnsi="Noto Sans" w:eastAsia="Noto Sans"/>
        </w:rPr>
        <w:t>7.3 Policy decision</w:t>
      </w:r>
    </w:p>
    <w:p>
      <w:pPr>
        <w:pStyle w:val="CodeBlock"/>
        <w:shd w:fill="F2F2F2"/>
      </w:pPr>
      <w:r>
        <w:rPr>
          <w:rFonts w:ascii="DejaVu Sans Mono" w:hAnsi="DejaVu Sans Mono" w:eastAsia="DejaVu Sans Mono"/>
          <w:b w:val="0"/>
          <w:i w:val="0"/>
          <w:color w:val="000000"/>
          <w:sz w:val="17"/>
        </w:rPr>
        <w:t>Decision = evaluate(</w:t>
      </w:r>
    </w:p>
    <w:p>
      <w:pPr>
        <w:pStyle w:val="CodeBlock"/>
        <w:shd w:fill="F2F2F2"/>
      </w:pPr>
      <w:r>
        <w:rPr>
          <w:rFonts w:ascii="DejaVu Sans Mono" w:hAnsi="DejaVu Sans Mono" w:eastAsia="DejaVu Sans Mono"/>
          <w:b w:val="0"/>
          <w:i w:val="0"/>
          <w:color w:val="000000"/>
          <w:sz w:val="17"/>
        </w:rPr>
        <w:t xml:space="preserve">  subject,</w:t>
      </w:r>
    </w:p>
    <w:p>
      <w:pPr>
        <w:pStyle w:val="CodeBlock"/>
        <w:shd w:fill="F2F2F2"/>
      </w:pPr>
      <w:r>
        <w:rPr>
          <w:rFonts w:ascii="DejaVu Sans Mono" w:hAnsi="DejaVu Sans Mono" w:eastAsia="DejaVu Sans Mono"/>
          <w:b w:val="0"/>
          <w:i w:val="0"/>
          <w:color w:val="000000"/>
          <w:sz w:val="17"/>
        </w:rPr>
        <w:t xml:space="preserve">  actorType,</w:t>
      </w:r>
    </w:p>
    <w:p>
      <w:pPr>
        <w:pStyle w:val="CodeBlock"/>
        <w:shd w:fill="F2F2F2"/>
      </w:pPr>
      <w:r>
        <w:rPr>
          <w:rFonts w:ascii="DejaVu Sans Mono" w:hAnsi="DejaVu Sans Mono" w:eastAsia="DejaVu Sans Mono"/>
          <w:b w:val="0"/>
          <w:i w:val="0"/>
          <w:color w:val="000000"/>
          <w:sz w:val="17"/>
        </w:rPr>
        <w:t xml:space="preserve">  externalRoleRefs,</w:t>
      </w:r>
    </w:p>
    <w:p>
      <w:pPr>
        <w:pStyle w:val="CodeBlock"/>
        <w:shd w:fill="F2F2F2"/>
      </w:pPr>
      <w:r>
        <w:rPr>
          <w:rFonts w:ascii="DejaVu Sans Mono" w:hAnsi="DejaVu Sans Mono" w:eastAsia="DejaVu Sans Mono"/>
          <w:b w:val="0"/>
          <w:i w:val="0"/>
          <w:color w:val="000000"/>
          <w:sz w:val="17"/>
        </w:rPr>
        <w:t xml:space="preserve">  orgContext,</w:t>
      </w:r>
    </w:p>
    <w:p>
      <w:pPr>
        <w:pStyle w:val="CodeBlock"/>
        <w:shd w:fill="F2F2F2"/>
      </w:pPr>
      <w:r>
        <w:rPr>
          <w:rFonts w:ascii="DejaVu Sans Mono" w:hAnsi="DejaVu Sans Mono" w:eastAsia="DejaVu Sans Mono"/>
          <w:b w:val="0"/>
          <w:i w:val="0"/>
          <w:color w:val="000000"/>
          <w:sz w:val="17"/>
        </w:rPr>
        <w:t xml:space="preserve">  capabilityId,</w:t>
      </w:r>
    </w:p>
    <w:p>
      <w:pPr>
        <w:pStyle w:val="CodeBlock"/>
        <w:shd w:fill="F2F2F2"/>
      </w:pPr>
      <w:r>
        <w:rPr>
          <w:rFonts w:ascii="DejaVu Sans Mono" w:hAnsi="DejaVu Sans Mono" w:eastAsia="DejaVu Sans Mono"/>
          <w:b w:val="0"/>
          <w:i w:val="0"/>
          <w:color w:val="000000"/>
          <w:sz w:val="17"/>
        </w:rPr>
        <w:t xml:space="preserve">  resourceContext,</w:t>
      </w:r>
    </w:p>
    <w:p>
      <w:pPr>
        <w:pStyle w:val="CodeBlock"/>
        <w:shd w:fill="F2F2F2"/>
      </w:pPr>
      <w:r>
        <w:rPr>
          <w:rFonts w:ascii="DejaVu Sans Mono" w:hAnsi="DejaVu Sans Mono" w:eastAsia="DejaVu Sans Mono"/>
          <w:b w:val="0"/>
          <w:i w:val="0"/>
          <w:color w:val="000000"/>
          <w:sz w:val="17"/>
        </w:rPr>
        <w:t xml:space="preserve">  assuranceContext,</w:t>
      </w:r>
    </w:p>
    <w:p>
      <w:pPr>
        <w:pStyle w:val="CodeBlock"/>
        <w:shd w:fill="F2F2F2"/>
      </w:pPr>
      <w:r>
        <w:rPr>
          <w:rFonts w:ascii="DejaVu Sans Mono" w:hAnsi="DejaVu Sans Mono" w:eastAsia="DejaVu Sans Mono"/>
          <w:b w:val="0"/>
          <w:i w:val="0"/>
          <w:color w:val="000000"/>
          <w:sz w:val="17"/>
        </w:rPr>
        <w:t xml:space="preserve">  activePolicyVersion</w:t>
      </w:r>
    </w:p>
    <w:p>
      <w:pPr>
        <w:pStyle w:val="CodeBlock"/>
        <w:shd w:fill="F2F2F2"/>
      </w:pPr>
      <w:r>
        <w:rPr>
          <w:rFonts w:ascii="DejaVu Sans Mono" w:hAnsi="DejaVu Sans Mono" w:eastAsia="DejaVu Sans Mono"/>
          <w:b w:val="0"/>
          <w:i w:val="0"/>
          <w:color w:val="000000"/>
          <w:sz w:val="17"/>
        </w:rPr>
        <w:t>)</w:t>
      </w:r>
    </w:p>
    <w:p>
      <w:pPr>
        <w:pStyle w:val="CodeBlock"/>
        <w:shd w:fill="F2F2F2"/>
      </w:pPr>
      <w:r>
        <w:rPr>
          <w:rFonts w:ascii="DejaVu Sans Mono" w:hAnsi="DejaVu Sans Mono" w:eastAsia="DejaVu Sans Mono"/>
          <w:b w:val="0"/>
          <w:i w:val="0"/>
          <w:color w:val="000000"/>
          <w:sz w:val="17"/>
        </w:rPr>
      </w:r>
    </w:p>
    <w:p>
      <w:pPr>
        <w:pStyle w:val="CodeBlock"/>
        <w:shd w:fill="F2F2F2"/>
      </w:pPr>
      <w:r>
        <w:rPr>
          <w:rFonts w:ascii="DejaVu Sans Mono" w:hAnsi="DejaVu Sans Mono" w:eastAsia="DejaVu Sans Mono"/>
          <w:b w:val="0"/>
          <w:i w:val="0"/>
          <w:color w:val="000000"/>
          <w:sz w:val="17"/>
        </w:rPr>
        <w:t>=&gt; ALLOW | DENY + reasonCode + policyVersion</w:t>
      </w:r>
    </w:p>
    <w:p>
      <w:r>
        <w:rPr>
          <w:rFonts w:ascii="Noto Sans" w:hAnsi="Noto Sans" w:eastAsia="Noto Sans"/>
        </w:rPr>
      </w:r>
    </w:p>
    <w:p>
      <w:pPr>
        <w:pStyle w:val="Heading1"/>
        <w:keepNext/>
      </w:pPr>
      <w:r>
        <w:rPr>
          <w:rFonts w:ascii="Noto Sans" w:hAnsi="Noto Sans" w:eastAsia="Noto Sans"/>
        </w:rPr>
        <w:t>8. Capability Catalog e naming</w:t>
      </w:r>
    </w:p>
    <w:p>
      <w:pPr>
        <w:spacing w:before="0" w:after="120" w:line="276" w:lineRule="auto"/>
      </w:pPr>
      <w:r>
        <w:rPr>
          <w:rFonts w:ascii="Noto Sans" w:hAnsi="Noto Sans" w:eastAsia="Noto Sans"/>
          <w:b w:val="0"/>
          <w:i w:val="0"/>
          <w:color w:val="000000"/>
          <w:sz w:val="18"/>
        </w:rPr>
        <w:t>Ogni modulo OUF possiede semanticamente le capability che espone. L’Authorization Policy Registry mantiene riferimenti validati a tali capability e associa grant; non ridefinisce il comportamento funzionale degli endpoint.</w:t>
      </w:r>
    </w:p>
    <w:p>
      <w:pPr>
        <w:pStyle w:val="Heading2"/>
        <w:keepNext/>
      </w:pPr>
      <w:r>
        <w:rPr>
          <w:rFonts w:ascii="Noto Sans" w:hAnsi="Noto Sans" w:eastAsia="Noto Sans"/>
        </w:rPr>
        <w:t>8.1 Naming convention</w:t>
      </w:r>
    </w:p>
    <w:p>
      <w:pPr>
        <w:pStyle w:val="ListBullet"/>
        <w:spacing w:before="0" w:after="60" w:line="264" w:lineRule="auto"/>
      </w:pPr>
      <w:r>
        <w:rPr>
          <w:rFonts w:ascii="Noto Sans" w:hAnsi="Noto Sans" w:eastAsia="Noto Sans"/>
          <w:b w:val="0"/>
          <w:i w:val="0"/>
          <w:color w:val="000000"/>
          <w:sz w:val="18"/>
        </w:rPr>
        <w:t>Formato raccomandato: &lt;domain&gt;.&lt;resource&gt;.&lt;action&gt; oppure &lt;module&gt;.&lt;action&gt;.</w:t>
      </w:r>
    </w:p>
    <w:p>
      <w:pPr>
        <w:pStyle w:val="ListBullet"/>
        <w:spacing w:before="0" w:after="60" w:line="264" w:lineRule="auto"/>
      </w:pPr>
      <w:r>
        <w:rPr>
          <w:rFonts w:ascii="Noto Sans" w:hAnsi="Noto Sans" w:eastAsia="Noto Sans"/>
          <w:b w:val="0"/>
          <w:i w:val="0"/>
          <w:color w:val="000000"/>
          <w:sz w:val="18"/>
        </w:rPr>
        <w:t>Gli identificatori sono stabili e non dipendono dal path HTTP.</w:t>
      </w:r>
    </w:p>
    <w:p>
      <w:pPr>
        <w:pStyle w:val="ListBullet"/>
        <w:spacing w:before="0" w:after="60" w:line="264" w:lineRule="auto"/>
      </w:pPr>
      <w:r>
        <w:rPr>
          <w:rFonts w:ascii="Noto Sans" w:hAnsi="Noto Sans" w:eastAsia="Noto Sans"/>
          <w:b w:val="0"/>
          <w:i w:val="0"/>
          <w:color w:val="000000"/>
          <w:sz w:val="18"/>
        </w:rPr>
        <w:t>Breaking change del significato di una capability richiede nuova versione o nuovo capabilityId.</w:t>
      </w:r>
    </w:p>
    <w:p>
      <w:pPr>
        <w:pStyle w:val="ListBullet"/>
        <w:spacing w:before="0" w:after="60" w:line="264" w:lineRule="auto"/>
      </w:pPr>
      <w:r>
        <w:rPr>
          <w:rFonts w:ascii="Noto Sans" w:hAnsi="Noto Sans" w:eastAsia="Noto Sans"/>
          <w:b w:val="0"/>
          <w:i w:val="0"/>
          <w:color w:val="000000"/>
          <w:sz w:val="18"/>
        </w:rPr>
        <w:t>Gli scope OAuth del Gateway possono essere più grossolani delle capability applicative.</w:t>
      </w:r>
    </w:p>
    <w:p>
      <w:pPr>
        <w:pStyle w:val="Heading2"/>
        <w:keepNext/>
      </w:pPr>
      <w:r>
        <w:rPr>
          <w:rFonts w:ascii="Noto Sans" w:hAnsi="Noto Sans" w:eastAsia="Noto Sans"/>
        </w:rPr>
        <w:t>8.2 Esempi iniziali</w:t>
      </w:r>
    </w:p>
    <w:tbl>
      <w:tblPr>
        <w:tblStyle w:val="TableGrid"/>
        <w:tblW w:type="auto" w:w="0"/>
        <w:jc w:val="center"/>
        <w:tblLayout w:type="fixed"/>
        <w:tblLook w:firstColumn="1" w:firstRow="1" w:lastColumn="0" w:lastRow="0" w:noHBand="0" w:noVBand="1" w:val="04A0"/>
      </w:tblPr>
      <w:tblGrid>
        <w:gridCol w:w="2948"/>
        <w:gridCol w:w="1247"/>
        <w:gridCol w:w="1417"/>
        <w:gridCol w:w="3288"/>
      </w:tblGrid>
      <w:tr>
        <w:trPr>
          <w:tblHeader w:val="true"/>
          <w:tblHeader w:val="true"/>
        </w:trPr>
        <w:tc>
          <w:tcPr>
            <w:tcW w:type="dxa" w:w="2351"/>
            <w:shd w:fill="0B4F6C"/>
            <w:vAlign w:val="center"/>
          </w:tcPr>
          <w:p>
            <w:pPr>
              <w:spacing w:before="0" w:after="40" w:line="240" w:lineRule="auto"/>
              <w:jc w:val="left"/>
            </w:pPr>
            <w:r>
              <w:rPr>
                <w:rFonts w:ascii="Noto Sans" w:hAnsi="Noto Sans" w:eastAsia="Noto Sans"/>
                <w:b/>
                <w:i w:val="0"/>
                <w:color w:val="FFFFFF"/>
                <w:sz w:val="17"/>
              </w:rPr>
              <w:t>Capability</w:t>
            </w:r>
          </w:p>
        </w:tc>
        <w:tc>
          <w:tcPr>
            <w:tcW w:type="dxa" w:w="2351"/>
            <w:shd w:fill="0B4F6C"/>
            <w:vAlign w:val="center"/>
          </w:tcPr>
          <w:p>
            <w:pPr>
              <w:spacing w:before="0" w:after="40" w:line="240" w:lineRule="auto"/>
              <w:jc w:val="left"/>
            </w:pPr>
            <w:r>
              <w:rPr>
                <w:rFonts w:ascii="Noto Sans" w:hAnsi="Noto Sans" w:eastAsia="Noto Sans"/>
                <w:b/>
                <w:i w:val="0"/>
                <w:color w:val="FFFFFF"/>
                <w:sz w:val="17"/>
              </w:rPr>
              <w:t>Tipo</w:t>
            </w:r>
          </w:p>
        </w:tc>
        <w:tc>
          <w:tcPr>
            <w:tcW w:type="dxa" w:w="2351"/>
            <w:shd w:fill="0B4F6C"/>
            <w:vAlign w:val="center"/>
          </w:tcPr>
          <w:p>
            <w:pPr>
              <w:spacing w:before="0" w:after="40" w:line="240" w:lineRule="auto"/>
              <w:jc w:val="left"/>
            </w:pPr>
            <w:r>
              <w:rPr>
                <w:rFonts w:ascii="Noto Sans" w:hAnsi="Noto Sans" w:eastAsia="Noto Sans"/>
                <w:b/>
                <w:i w:val="0"/>
                <w:color w:val="FFFFFF"/>
                <w:sz w:val="17"/>
              </w:rPr>
              <w:t>Human-only?</w:t>
            </w:r>
          </w:p>
        </w:tc>
        <w:tc>
          <w:tcPr>
            <w:tcW w:type="dxa" w:w="2351"/>
            <w:shd w:fill="0B4F6C"/>
            <w:vAlign w:val="center"/>
          </w:tcPr>
          <w:p>
            <w:pPr>
              <w:spacing w:before="0" w:after="40" w:line="240" w:lineRule="auto"/>
              <w:jc w:val="left"/>
            </w:pPr>
            <w:r>
              <w:rPr>
                <w:rFonts w:ascii="Noto Sans" w:hAnsi="Noto Sans" w:eastAsia="Noto Sans"/>
                <w:b/>
                <w:i w:val="0"/>
                <w:color w:val="FFFFFF"/>
                <w:sz w:val="17"/>
              </w:rPr>
              <w:t>Owner logico</w:t>
            </w:r>
          </w:p>
        </w:tc>
      </w:tr>
      <w:tr>
        <w:tc>
          <w:tcPr>
            <w:tcW w:type="dxa" w:w="2948"/>
            <w:vAlign w:val="top"/>
            <w:shd w:fill="F8FAFC"/>
          </w:tcPr>
          <w:p>
            <w:pPr>
              <w:spacing w:before="0" w:after="40" w:line="252" w:lineRule="auto"/>
            </w:pPr>
            <w:r>
              <w:rPr>
                <w:rFonts w:ascii="Noto Sans" w:hAnsi="Noto Sans" w:eastAsia="Noto Sans"/>
                <w:b w:val="0"/>
                <w:i w:val="0"/>
                <w:color w:val="000000"/>
                <w:sz w:val="17"/>
              </w:rPr>
              <w:t>source.create</w:t>
            </w:r>
          </w:p>
        </w:tc>
        <w:tc>
          <w:tcPr>
            <w:tcW w:type="dxa" w:w="1247"/>
            <w:vAlign w:val="top"/>
            <w:shd w:fill="F8FAFC"/>
          </w:tcPr>
          <w:p>
            <w:pPr>
              <w:spacing w:before="0" w:after="40" w:line="252" w:lineRule="auto"/>
            </w:pPr>
            <w:r>
              <w:rPr>
                <w:rFonts w:ascii="Noto Sans" w:hAnsi="Noto Sans" w:eastAsia="Noto Sans"/>
                <w:b w:val="0"/>
                <w:i w:val="0"/>
                <w:color w:val="000000"/>
                <w:sz w:val="17"/>
              </w:rPr>
              <w:t>write</w:t>
            </w:r>
          </w:p>
        </w:tc>
        <w:tc>
          <w:tcPr>
            <w:tcW w:type="dxa" w:w="1417"/>
            <w:vAlign w:val="top"/>
            <w:shd w:fill="F8FAFC"/>
          </w:tcPr>
          <w:p>
            <w:pPr>
              <w:spacing w:before="0" w:after="40" w:line="252" w:lineRule="auto"/>
            </w:pPr>
            <w:r>
              <w:rPr>
                <w:rFonts w:ascii="Noto Sans" w:hAnsi="Noto Sans" w:eastAsia="Noto Sans"/>
                <w:b w:val="0"/>
                <w:i w:val="0"/>
                <w:color w:val="000000"/>
                <w:sz w:val="17"/>
              </w:rPr>
              <w:t>No</w:t>
            </w:r>
          </w:p>
        </w:tc>
        <w:tc>
          <w:tcPr>
            <w:tcW w:type="dxa" w:w="3288"/>
            <w:vAlign w:val="top"/>
            <w:shd w:fill="F8FAFC"/>
          </w:tcPr>
          <w:p>
            <w:pPr>
              <w:spacing w:before="0" w:after="40" w:line="252" w:lineRule="auto"/>
            </w:pPr>
            <w:r>
              <w:rPr>
                <w:rFonts w:ascii="Noto Sans" w:hAnsi="Noto Sans" w:eastAsia="Noto Sans"/>
                <w:b w:val="0"/>
                <w:i w:val="0"/>
                <w:color w:val="000000"/>
                <w:sz w:val="17"/>
              </w:rPr>
              <w:t>Onboarding</w:t>
            </w:r>
          </w:p>
        </w:tc>
      </w:tr>
      <w:tr>
        <w:tc>
          <w:tcPr>
            <w:tcW w:type="dxa" w:w="2948"/>
            <w:vAlign w:val="top"/>
          </w:tcPr>
          <w:p>
            <w:pPr>
              <w:spacing w:before="0" w:after="40" w:line="252" w:lineRule="auto"/>
            </w:pPr>
            <w:r>
              <w:rPr>
                <w:rFonts w:ascii="Noto Sans" w:hAnsi="Noto Sans" w:eastAsia="Noto Sans"/>
                <w:b w:val="0"/>
                <w:i w:val="0"/>
                <w:color w:val="000000"/>
                <w:sz w:val="17"/>
              </w:rPr>
              <w:t>source.discovery.run</w:t>
            </w:r>
          </w:p>
        </w:tc>
        <w:tc>
          <w:tcPr>
            <w:tcW w:type="dxa" w:w="1247"/>
            <w:vAlign w:val="top"/>
          </w:tcPr>
          <w:p>
            <w:pPr>
              <w:spacing w:before="0" w:after="40" w:line="252" w:lineRule="auto"/>
            </w:pPr>
            <w:r>
              <w:rPr>
                <w:rFonts w:ascii="Noto Sans" w:hAnsi="Noto Sans" w:eastAsia="Noto Sans"/>
                <w:b w:val="0"/>
                <w:i w:val="0"/>
                <w:color w:val="000000"/>
                <w:sz w:val="17"/>
              </w:rPr>
              <w:t>execute</w:t>
            </w:r>
          </w:p>
        </w:tc>
        <w:tc>
          <w:tcPr>
            <w:tcW w:type="dxa" w:w="1417"/>
            <w:vAlign w:val="top"/>
          </w:tcPr>
          <w:p>
            <w:pPr>
              <w:spacing w:before="0" w:after="40" w:line="252" w:lineRule="auto"/>
            </w:pPr>
            <w:r>
              <w:rPr>
                <w:rFonts w:ascii="Noto Sans" w:hAnsi="Noto Sans" w:eastAsia="Noto Sans"/>
                <w:b w:val="0"/>
                <w:i w:val="0"/>
                <w:color w:val="000000"/>
                <w:sz w:val="17"/>
              </w:rPr>
              <w:t>No</w:t>
            </w:r>
          </w:p>
        </w:tc>
        <w:tc>
          <w:tcPr>
            <w:tcW w:type="dxa" w:w="3288"/>
            <w:vAlign w:val="top"/>
          </w:tcPr>
          <w:p>
            <w:pPr>
              <w:spacing w:before="0" w:after="40" w:line="252" w:lineRule="auto"/>
            </w:pPr>
            <w:r>
              <w:rPr>
                <w:rFonts w:ascii="Noto Sans" w:hAnsi="Noto Sans" w:eastAsia="Noto Sans"/>
                <w:b w:val="0"/>
                <w:i w:val="0"/>
                <w:color w:val="000000"/>
                <w:sz w:val="17"/>
              </w:rPr>
              <w:t>Onboarding</w:t>
            </w:r>
          </w:p>
        </w:tc>
      </w:tr>
      <w:tr>
        <w:tc>
          <w:tcPr>
            <w:tcW w:type="dxa" w:w="2948"/>
            <w:vAlign w:val="top"/>
            <w:shd w:fill="F8FAFC"/>
          </w:tcPr>
          <w:p>
            <w:pPr>
              <w:spacing w:before="0" w:after="40" w:line="252" w:lineRule="auto"/>
            </w:pPr>
            <w:r>
              <w:rPr>
                <w:rFonts w:ascii="Noto Sans" w:hAnsi="Noto Sans" w:eastAsia="Noto Sans"/>
                <w:b w:val="0"/>
                <w:i w:val="0"/>
                <w:color w:val="000000"/>
                <w:sz w:val="17"/>
              </w:rPr>
              <w:t>onboarding.mapping.propose</w:t>
            </w:r>
          </w:p>
        </w:tc>
        <w:tc>
          <w:tcPr>
            <w:tcW w:type="dxa" w:w="1247"/>
            <w:vAlign w:val="top"/>
            <w:shd w:fill="F8FAFC"/>
          </w:tcPr>
          <w:p>
            <w:pPr>
              <w:spacing w:before="0" w:after="40" w:line="252" w:lineRule="auto"/>
            </w:pPr>
            <w:r>
              <w:rPr>
                <w:rFonts w:ascii="Noto Sans" w:hAnsi="Noto Sans" w:eastAsia="Noto Sans"/>
                <w:b w:val="0"/>
                <w:i w:val="0"/>
                <w:color w:val="000000"/>
                <w:sz w:val="17"/>
              </w:rPr>
              <w:t>write</w:t>
            </w:r>
          </w:p>
        </w:tc>
        <w:tc>
          <w:tcPr>
            <w:tcW w:type="dxa" w:w="1417"/>
            <w:vAlign w:val="top"/>
            <w:shd w:fill="F8FAFC"/>
          </w:tcPr>
          <w:p>
            <w:pPr>
              <w:spacing w:before="0" w:after="40" w:line="252" w:lineRule="auto"/>
            </w:pPr>
            <w:r>
              <w:rPr>
                <w:rFonts w:ascii="Noto Sans" w:hAnsi="Noto Sans" w:eastAsia="Noto Sans"/>
                <w:b w:val="0"/>
                <w:i w:val="0"/>
                <w:color w:val="000000"/>
                <w:sz w:val="17"/>
              </w:rPr>
              <w:t>No</w:t>
            </w:r>
          </w:p>
        </w:tc>
        <w:tc>
          <w:tcPr>
            <w:tcW w:type="dxa" w:w="3288"/>
            <w:vAlign w:val="top"/>
            <w:shd w:fill="F8FAFC"/>
          </w:tcPr>
          <w:p>
            <w:pPr>
              <w:spacing w:before="0" w:after="40" w:line="252" w:lineRule="auto"/>
            </w:pPr>
            <w:r>
              <w:rPr>
                <w:rFonts w:ascii="Noto Sans" w:hAnsi="Noto Sans" w:eastAsia="Noto Sans"/>
                <w:b w:val="0"/>
                <w:i w:val="0"/>
                <w:color w:val="000000"/>
                <w:sz w:val="17"/>
              </w:rPr>
              <w:t>Onboarding</w:t>
            </w:r>
          </w:p>
        </w:tc>
      </w:tr>
      <w:tr>
        <w:tc>
          <w:tcPr>
            <w:tcW w:type="dxa" w:w="2948"/>
            <w:vAlign w:val="top"/>
          </w:tcPr>
          <w:p>
            <w:pPr>
              <w:spacing w:before="0" w:after="40" w:line="252" w:lineRule="auto"/>
            </w:pPr>
            <w:r>
              <w:rPr>
                <w:rFonts w:ascii="Noto Sans" w:hAnsi="Noto Sans" w:eastAsia="Noto Sans"/>
                <w:b w:val="0"/>
                <w:i w:val="0"/>
                <w:color w:val="000000"/>
                <w:sz w:val="17"/>
              </w:rPr>
              <w:t>onboarding.review</w:t>
            </w:r>
          </w:p>
        </w:tc>
        <w:tc>
          <w:tcPr>
            <w:tcW w:type="dxa" w:w="1247"/>
            <w:vAlign w:val="top"/>
          </w:tcPr>
          <w:p>
            <w:pPr>
              <w:spacing w:before="0" w:after="40" w:line="252" w:lineRule="auto"/>
            </w:pPr>
            <w:r>
              <w:rPr>
                <w:rFonts w:ascii="Noto Sans" w:hAnsi="Noto Sans" w:eastAsia="Noto Sans"/>
                <w:b w:val="0"/>
                <w:i w:val="0"/>
                <w:color w:val="000000"/>
                <w:sz w:val="17"/>
              </w:rPr>
              <w:t>review</w:t>
            </w:r>
          </w:p>
        </w:tc>
        <w:tc>
          <w:tcPr>
            <w:tcW w:type="dxa" w:w="1417"/>
            <w:vAlign w:val="top"/>
          </w:tcPr>
          <w:p>
            <w:pPr>
              <w:spacing w:before="0" w:after="40" w:line="252" w:lineRule="auto"/>
            </w:pPr>
            <w:r>
              <w:rPr>
                <w:rFonts w:ascii="Noto Sans" w:hAnsi="Noto Sans" w:eastAsia="Noto Sans"/>
                <w:b w:val="0"/>
                <w:i w:val="0"/>
                <w:color w:val="000000"/>
                <w:sz w:val="17"/>
              </w:rPr>
              <w:t>Sì</w:t>
            </w:r>
          </w:p>
        </w:tc>
        <w:tc>
          <w:tcPr>
            <w:tcW w:type="dxa" w:w="3288"/>
            <w:vAlign w:val="top"/>
          </w:tcPr>
          <w:p>
            <w:pPr>
              <w:spacing w:before="0" w:after="40" w:line="252" w:lineRule="auto"/>
            </w:pPr>
            <w:r>
              <w:rPr>
                <w:rFonts w:ascii="Noto Sans" w:hAnsi="Noto Sans" w:eastAsia="Noto Sans"/>
                <w:b w:val="0"/>
                <w:i w:val="0"/>
                <w:color w:val="000000"/>
                <w:sz w:val="17"/>
              </w:rPr>
              <w:t>Onboarding</w:t>
            </w:r>
          </w:p>
        </w:tc>
      </w:tr>
      <w:tr>
        <w:tc>
          <w:tcPr>
            <w:tcW w:type="dxa" w:w="2948"/>
            <w:vAlign w:val="top"/>
            <w:shd w:fill="F8FAFC"/>
          </w:tcPr>
          <w:p>
            <w:pPr>
              <w:spacing w:before="0" w:after="40" w:line="252" w:lineRule="auto"/>
            </w:pPr>
            <w:r>
              <w:rPr>
                <w:rFonts w:ascii="Noto Sans" w:hAnsi="Noto Sans" w:eastAsia="Noto Sans"/>
                <w:b w:val="0"/>
                <w:i w:val="0"/>
                <w:color w:val="000000"/>
                <w:sz w:val="17"/>
              </w:rPr>
              <w:t>source.onboarding.approve</w:t>
            </w:r>
          </w:p>
        </w:tc>
        <w:tc>
          <w:tcPr>
            <w:tcW w:type="dxa" w:w="1247"/>
            <w:vAlign w:val="top"/>
            <w:shd w:fill="F8FAFC"/>
          </w:tcPr>
          <w:p>
            <w:pPr>
              <w:spacing w:before="0" w:after="40" w:line="252" w:lineRule="auto"/>
            </w:pPr>
            <w:r>
              <w:rPr>
                <w:rFonts w:ascii="Noto Sans" w:hAnsi="Noto Sans" w:eastAsia="Noto Sans"/>
                <w:b w:val="0"/>
                <w:i w:val="0"/>
                <w:color w:val="000000"/>
                <w:sz w:val="17"/>
              </w:rPr>
              <w:t>approve</w:t>
            </w:r>
          </w:p>
        </w:tc>
        <w:tc>
          <w:tcPr>
            <w:tcW w:type="dxa" w:w="1417"/>
            <w:vAlign w:val="top"/>
            <w:shd w:fill="F8FAFC"/>
          </w:tcPr>
          <w:p>
            <w:pPr>
              <w:spacing w:before="0" w:after="40" w:line="252" w:lineRule="auto"/>
            </w:pPr>
            <w:r>
              <w:rPr>
                <w:rFonts w:ascii="Noto Sans" w:hAnsi="Noto Sans" w:eastAsia="Noto Sans"/>
                <w:b w:val="0"/>
                <w:i w:val="0"/>
                <w:color w:val="000000"/>
                <w:sz w:val="17"/>
              </w:rPr>
              <w:t>Sì</w:t>
            </w:r>
          </w:p>
        </w:tc>
        <w:tc>
          <w:tcPr>
            <w:tcW w:type="dxa" w:w="3288"/>
            <w:vAlign w:val="top"/>
            <w:shd w:fill="F8FAFC"/>
          </w:tcPr>
          <w:p>
            <w:pPr>
              <w:spacing w:before="0" w:after="40" w:line="252" w:lineRule="auto"/>
            </w:pPr>
            <w:r>
              <w:rPr>
                <w:rFonts w:ascii="Noto Sans" w:hAnsi="Noto Sans" w:eastAsia="Noto Sans"/>
                <w:b w:val="0"/>
                <w:i w:val="0"/>
                <w:color w:val="000000"/>
                <w:sz w:val="17"/>
              </w:rPr>
              <w:t>Onboarding</w:t>
            </w:r>
          </w:p>
        </w:tc>
      </w:tr>
      <w:tr>
        <w:tc>
          <w:tcPr>
            <w:tcW w:type="dxa" w:w="2948"/>
            <w:vAlign w:val="top"/>
          </w:tcPr>
          <w:p>
            <w:pPr>
              <w:spacing w:before="0" w:after="40" w:line="252" w:lineRule="auto"/>
            </w:pPr>
            <w:r>
              <w:rPr>
                <w:rFonts w:ascii="Noto Sans" w:hAnsi="Noto Sans" w:eastAsia="Noto Sans"/>
                <w:b w:val="0"/>
                <w:i w:val="0"/>
                <w:color w:val="000000"/>
                <w:sz w:val="17"/>
              </w:rPr>
              <w:t>source.onboarding.activate</w:t>
            </w:r>
          </w:p>
        </w:tc>
        <w:tc>
          <w:tcPr>
            <w:tcW w:type="dxa" w:w="1247"/>
            <w:vAlign w:val="top"/>
          </w:tcPr>
          <w:p>
            <w:pPr>
              <w:spacing w:before="0" w:after="40" w:line="252" w:lineRule="auto"/>
            </w:pPr>
            <w:r>
              <w:rPr>
                <w:rFonts w:ascii="Noto Sans" w:hAnsi="Noto Sans" w:eastAsia="Noto Sans"/>
                <w:b w:val="0"/>
                <w:i w:val="0"/>
                <w:color w:val="000000"/>
                <w:sz w:val="17"/>
              </w:rPr>
              <w:t>activate</w:t>
            </w:r>
          </w:p>
        </w:tc>
        <w:tc>
          <w:tcPr>
            <w:tcW w:type="dxa" w:w="1417"/>
            <w:vAlign w:val="top"/>
          </w:tcPr>
          <w:p>
            <w:pPr>
              <w:spacing w:before="0" w:after="40" w:line="252" w:lineRule="auto"/>
            </w:pPr>
            <w:r>
              <w:rPr>
                <w:rFonts w:ascii="Noto Sans" w:hAnsi="Noto Sans" w:eastAsia="Noto Sans"/>
                <w:b w:val="0"/>
                <w:i w:val="0"/>
                <w:color w:val="000000"/>
                <w:sz w:val="17"/>
              </w:rPr>
              <w:t>Sì</w:t>
            </w:r>
          </w:p>
        </w:tc>
        <w:tc>
          <w:tcPr>
            <w:tcW w:type="dxa" w:w="3288"/>
            <w:vAlign w:val="top"/>
          </w:tcPr>
          <w:p>
            <w:pPr>
              <w:spacing w:before="0" w:after="40" w:line="252" w:lineRule="auto"/>
            </w:pPr>
            <w:r>
              <w:rPr>
                <w:rFonts w:ascii="Noto Sans" w:hAnsi="Noto Sans" w:eastAsia="Noto Sans"/>
                <w:b w:val="0"/>
                <w:i w:val="0"/>
                <w:color w:val="000000"/>
                <w:sz w:val="17"/>
              </w:rPr>
              <w:t>Onboarding</w:t>
            </w:r>
          </w:p>
        </w:tc>
      </w:tr>
      <w:tr>
        <w:tc>
          <w:tcPr>
            <w:tcW w:type="dxa" w:w="2948"/>
            <w:vAlign w:val="top"/>
            <w:shd w:fill="F8FAFC"/>
          </w:tcPr>
          <w:p>
            <w:pPr>
              <w:spacing w:before="0" w:after="40" w:line="252" w:lineRule="auto"/>
            </w:pPr>
            <w:r>
              <w:rPr>
                <w:rFonts w:ascii="Noto Sans" w:hAnsi="Noto Sans" w:eastAsia="Noto Sans"/>
                <w:b w:val="0"/>
                <w:i w:val="0"/>
                <w:color w:val="000000"/>
                <w:sz w:val="17"/>
              </w:rPr>
              <w:t>semantic.search</w:t>
            </w:r>
          </w:p>
        </w:tc>
        <w:tc>
          <w:tcPr>
            <w:tcW w:type="dxa" w:w="1247"/>
            <w:vAlign w:val="top"/>
            <w:shd w:fill="F8FAFC"/>
          </w:tcPr>
          <w:p>
            <w:pPr>
              <w:spacing w:before="0" w:after="40" w:line="252" w:lineRule="auto"/>
            </w:pPr>
            <w:r>
              <w:rPr>
                <w:rFonts w:ascii="Noto Sans" w:hAnsi="Noto Sans" w:eastAsia="Noto Sans"/>
                <w:b w:val="0"/>
                <w:i w:val="0"/>
                <w:color w:val="000000"/>
                <w:sz w:val="17"/>
              </w:rPr>
              <w:t>read</w:t>
            </w:r>
          </w:p>
        </w:tc>
        <w:tc>
          <w:tcPr>
            <w:tcW w:type="dxa" w:w="1417"/>
            <w:vAlign w:val="top"/>
            <w:shd w:fill="F8FAFC"/>
          </w:tcPr>
          <w:p>
            <w:pPr>
              <w:spacing w:before="0" w:after="40" w:line="252" w:lineRule="auto"/>
            </w:pPr>
            <w:r>
              <w:rPr>
                <w:rFonts w:ascii="Noto Sans" w:hAnsi="Noto Sans" w:eastAsia="Noto Sans"/>
                <w:b w:val="0"/>
                <w:i w:val="0"/>
                <w:color w:val="000000"/>
                <w:sz w:val="17"/>
              </w:rPr>
              <w:t>No</w:t>
            </w:r>
          </w:p>
        </w:tc>
        <w:tc>
          <w:tcPr>
            <w:tcW w:type="dxa" w:w="3288"/>
            <w:vAlign w:val="top"/>
            <w:shd w:fill="F8FAFC"/>
          </w:tcPr>
          <w:p>
            <w:pPr>
              <w:spacing w:before="0" w:after="40" w:line="252" w:lineRule="auto"/>
            </w:pPr>
            <w:r>
              <w:rPr>
                <w:rFonts w:ascii="Noto Sans" w:hAnsi="Noto Sans" w:eastAsia="Noto Sans"/>
                <w:b w:val="0"/>
                <w:i w:val="0"/>
                <w:color w:val="000000"/>
                <w:sz w:val="17"/>
              </w:rPr>
              <w:t>Semantic Registry</w:t>
            </w:r>
          </w:p>
        </w:tc>
      </w:tr>
      <w:tr>
        <w:tc>
          <w:tcPr>
            <w:tcW w:type="dxa" w:w="2948"/>
            <w:vAlign w:val="top"/>
          </w:tcPr>
          <w:p>
            <w:pPr>
              <w:spacing w:before="0" w:after="40" w:line="252" w:lineRule="auto"/>
            </w:pPr>
            <w:r>
              <w:rPr>
                <w:rFonts w:ascii="Noto Sans" w:hAnsi="Noto Sans" w:eastAsia="Noto Sans"/>
                <w:b w:val="0"/>
                <w:i w:val="0"/>
                <w:color w:val="000000"/>
                <w:sz w:val="17"/>
              </w:rPr>
              <w:t>semantic.adopt</w:t>
            </w:r>
          </w:p>
        </w:tc>
        <w:tc>
          <w:tcPr>
            <w:tcW w:type="dxa" w:w="1247"/>
            <w:vAlign w:val="top"/>
          </w:tcPr>
          <w:p>
            <w:pPr>
              <w:spacing w:before="0" w:after="40" w:line="252" w:lineRule="auto"/>
            </w:pPr>
            <w:r>
              <w:rPr>
                <w:rFonts w:ascii="Noto Sans" w:hAnsi="Noto Sans" w:eastAsia="Noto Sans"/>
                <w:b w:val="0"/>
                <w:i w:val="0"/>
                <w:color w:val="000000"/>
                <w:sz w:val="17"/>
              </w:rPr>
              <w:t>governance</w:t>
            </w:r>
          </w:p>
        </w:tc>
        <w:tc>
          <w:tcPr>
            <w:tcW w:type="dxa" w:w="1417"/>
            <w:vAlign w:val="top"/>
          </w:tcPr>
          <w:p>
            <w:pPr>
              <w:spacing w:before="0" w:after="40" w:line="252" w:lineRule="auto"/>
            </w:pPr>
            <w:r>
              <w:rPr>
                <w:rFonts w:ascii="Noto Sans" w:hAnsi="Noto Sans" w:eastAsia="Noto Sans"/>
                <w:b w:val="0"/>
                <w:i w:val="0"/>
                <w:color w:val="000000"/>
                <w:sz w:val="17"/>
              </w:rPr>
              <w:t>Sì</w:t>
            </w:r>
          </w:p>
        </w:tc>
        <w:tc>
          <w:tcPr>
            <w:tcW w:type="dxa" w:w="3288"/>
            <w:vAlign w:val="top"/>
          </w:tcPr>
          <w:p>
            <w:pPr>
              <w:spacing w:before="0" w:after="40" w:line="252" w:lineRule="auto"/>
            </w:pPr>
            <w:r>
              <w:rPr>
                <w:rFonts w:ascii="Noto Sans" w:hAnsi="Noto Sans" w:eastAsia="Noto Sans"/>
                <w:b w:val="0"/>
                <w:i w:val="0"/>
                <w:color w:val="000000"/>
                <w:sz w:val="17"/>
              </w:rPr>
              <w:t>Semantic Registry</w:t>
            </w:r>
          </w:p>
        </w:tc>
      </w:tr>
      <w:tr>
        <w:tc>
          <w:tcPr>
            <w:tcW w:type="dxa" w:w="2948"/>
            <w:vAlign w:val="top"/>
            <w:shd w:fill="F8FAFC"/>
          </w:tcPr>
          <w:p>
            <w:pPr>
              <w:spacing w:before="0" w:after="40" w:line="252" w:lineRule="auto"/>
            </w:pPr>
            <w:r>
              <w:rPr>
                <w:rFonts w:ascii="Noto Sans" w:hAnsi="Noto Sans" w:eastAsia="Noto Sans"/>
                <w:b w:val="0"/>
                <w:i w:val="0"/>
                <w:color w:val="000000"/>
                <w:sz w:val="17"/>
              </w:rPr>
              <w:t>semantic.publish</w:t>
            </w:r>
          </w:p>
        </w:tc>
        <w:tc>
          <w:tcPr>
            <w:tcW w:type="dxa" w:w="1247"/>
            <w:vAlign w:val="top"/>
            <w:shd w:fill="F8FAFC"/>
          </w:tcPr>
          <w:p>
            <w:pPr>
              <w:spacing w:before="0" w:after="40" w:line="252" w:lineRule="auto"/>
            </w:pPr>
            <w:r>
              <w:rPr>
                <w:rFonts w:ascii="Noto Sans" w:hAnsi="Noto Sans" w:eastAsia="Noto Sans"/>
                <w:b w:val="0"/>
                <w:i w:val="0"/>
                <w:color w:val="000000"/>
                <w:sz w:val="17"/>
              </w:rPr>
              <w:t>publish</w:t>
            </w:r>
          </w:p>
        </w:tc>
        <w:tc>
          <w:tcPr>
            <w:tcW w:type="dxa" w:w="1417"/>
            <w:vAlign w:val="top"/>
            <w:shd w:fill="F8FAFC"/>
          </w:tcPr>
          <w:p>
            <w:pPr>
              <w:spacing w:before="0" w:after="40" w:line="252" w:lineRule="auto"/>
            </w:pPr>
            <w:r>
              <w:rPr>
                <w:rFonts w:ascii="Noto Sans" w:hAnsi="Noto Sans" w:eastAsia="Noto Sans"/>
                <w:b w:val="0"/>
                <w:i w:val="0"/>
                <w:color w:val="000000"/>
                <w:sz w:val="17"/>
              </w:rPr>
              <w:t>Sì</w:t>
            </w:r>
          </w:p>
        </w:tc>
        <w:tc>
          <w:tcPr>
            <w:tcW w:type="dxa" w:w="3288"/>
            <w:vAlign w:val="top"/>
            <w:shd w:fill="F8FAFC"/>
          </w:tcPr>
          <w:p>
            <w:pPr>
              <w:spacing w:before="0" w:after="40" w:line="252" w:lineRule="auto"/>
            </w:pPr>
            <w:r>
              <w:rPr>
                <w:rFonts w:ascii="Noto Sans" w:hAnsi="Noto Sans" w:eastAsia="Noto Sans"/>
                <w:b w:val="0"/>
                <w:i w:val="0"/>
                <w:color w:val="000000"/>
                <w:sz w:val="17"/>
              </w:rPr>
              <w:t>Semantic Registry</w:t>
            </w:r>
          </w:p>
        </w:tc>
      </w:tr>
      <w:tr>
        <w:tc>
          <w:tcPr>
            <w:tcW w:type="dxa" w:w="2948"/>
            <w:vAlign w:val="top"/>
          </w:tcPr>
          <w:p>
            <w:pPr>
              <w:spacing w:before="0" w:after="40" w:line="252" w:lineRule="auto"/>
            </w:pPr>
            <w:r>
              <w:rPr>
                <w:rFonts w:ascii="Noto Sans" w:hAnsi="Noto Sans" w:eastAsia="Noto Sans"/>
                <w:b w:val="0"/>
                <w:i w:val="0"/>
                <w:color w:val="000000"/>
                <w:sz w:val="17"/>
              </w:rPr>
              <w:t>urban.objects.read</w:t>
            </w:r>
          </w:p>
        </w:tc>
        <w:tc>
          <w:tcPr>
            <w:tcW w:type="dxa" w:w="1247"/>
            <w:vAlign w:val="top"/>
          </w:tcPr>
          <w:p>
            <w:pPr>
              <w:spacing w:before="0" w:after="40" w:line="252" w:lineRule="auto"/>
            </w:pPr>
            <w:r>
              <w:rPr>
                <w:rFonts w:ascii="Noto Sans" w:hAnsi="Noto Sans" w:eastAsia="Noto Sans"/>
                <w:b w:val="0"/>
                <w:i w:val="0"/>
                <w:color w:val="000000"/>
                <w:sz w:val="17"/>
              </w:rPr>
              <w:t>read</w:t>
            </w:r>
          </w:p>
        </w:tc>
        <w:tc>
          <w:tcPr>
            <w:tcW w:type="dxa" w:w="1417"/>
            <w:vAlign w:val="top"/>
          </w:tcPr>
          <w:p>
            <w:pPr>
              <w:spacing w:before="0" w:after="40" w:line="252" w:lineRule="auto"/>
            </w:pPr>
            <w:r>
              <w:rPr>
                <w:rFonts w:ascii="Noto Sans" w:hAnsi="Noto Sans" w:eastAsia="Noto Sans"/>
                <w:b w:val="0"/>
                <w:i w:val="0"/>
                <w:color w:val="000000"/>
                <w:sz w:val="17"/>
              </w:rPr>
              <w:t>No</w:t>
            </w:r>
          </w:p>
        </w:tc>
        <w:tc>
          <w:tcPr>
            <w:tcW w:type="dxa" w:w="3288"/>
            <w:vAlign w:val="top"/>
          </w:tcPr>
          <w:p>
            <w:pPr>
              <w:spacing w:before="0" w:after="40" w:line="252" w:lineRule="auto"/>
            </w:pPr>
            <w:r>
              <w:rPr>
                <w:rFonts w:ascii="Noto Sans" w:hAnsi="Noto Sans" w:eastAsia="Noto Sans"/>
                <w:b w:val="0"/>
                <w:i w:val="0"/>
                <w:color w:val="000000"/>
                <w:sz w:val="17"/>
              </w:rPr>
              <w:t>UDP/Object Service</w:t>
            </w:r>
          </w:p>
        </w:tc>
      </w:tr>
      <w:tr>
        <w:tc>
          <w:tcPr>
            <w:tcW w:type="dxa" w:w="2948"/>
            <w:vAlign w:val="top"/>
            <w:shd w:fill="F8FAFC"/>
          </w:tcPr>
          <w:p>
            <w:pPr>
              <w:spacing w:before="0" w:after="40" w:line="252" w:lineRule="auto"/>
            </w:pPr>
            <w:r>
              <w:rPr>
                <w:rFonts w:ascii="Noto Sans" w:hAnsi="Noto Sans" w:eastAsia="Noto Sans"/>
                <w:b w:val="0"/>
                <w:i w:val="0"/>
                <w:color w:val="000000"/>
                <w:sz w:val="17"/>
              </w:rPr>
              <w:t>mcp.tool.invoke</w:t>
            </w:r>
          </w:p>
        </w:tc>
        <w:tc>
          <w:tcPr>
            <w:tcW w:type="dxa" w:w="1247"/>
            <w:vAlign w:val="top"/>
            <w:shd w:fill="F8FAFC"/>
          </w:tcPr>
          <w:p>
            <w:pPr>
              <w:spacing w:before="0" w:after="40" w:line="252" w:lineRule="auto"/>
            </w:pPr>
            <w:r>
              <w:rPr>
                <w:rFonts w:ascii="Noto Sans" w:hAnsi="Noto Sans" w:eastAsia="Noto Sans"/>
                <w:b w:val="0"/>
                <w:i w:val="0"/>
                <w:color w:val="000000"/>
                <w:sz w:val="17"/>
              </w:rPr>
              <w:t>execute</w:t>
            </w:r>
          </w:p>
        </w:tc>
        <w:tc>
          <w:tcPr>
            <w:tcW w:type="dxa" w:w="1417"/>
            <w:vAlign w:val="top"/>
            <w:shd w:fill="F8FAFC"/>
          </w:tcPr>
          <w:p>
            <w:pPr>
              <w:spacing w:before="0" w:after="40" w:line="252" w:lineRule="auto"/>
            </w:pPr>
            <w:r>
              <w:rPr>
                <w:rFonts w:ascii="Noto Sans" w:hAnsi="Noto Sans" w:eastAsia="Noto Sans"/>
                <w:b w:val="0"/>
                <w:i w:val="0"/>
                <w:color w:val="000000"/>
                <w:sz w:val="17"/>
              </w:rPr>
              <w:t>No</w:t>
            </w:r>
          </w:p>
        </w:tc>
        <w:tc>
          <w:tcPr>
            <w:tcW w:type="dxa" w:w="3288"/>
            <w:vAlign w:val="top"/>
            <w:shd w:fill="F8FAFC"/>
          </w:tcPr>
          <w:p>
            <w:pPr>
              <w:spacing w:before="0" w:after="40" w:line="252" w:lineRule="auto"/>
            </w:pPr>
            <w:r>
              <w:rPr>
                <w:rFonts w:ascii="Noto Sans" w:hAnsi="Noto Sans" w:eastAsia="Noto Sans"/>
                <w:b w:val="0"/>
                <w:i w:val="0"/>
                <w:color w:val="000000"/>
                <w:sz w:val="17"/>
              </w:rPr>
              <w:t>MCP Server</w:t>
            </w:r>
          </w:p>
        </w:tc>
      </w:tr>
    </w:tbl>
    <w:p>
      <w:pPr>
        <w:spacing w:after="40"/>
      </w:pPr>
    </w:p>
    <w:tbl>
      <w:tblPr>
        <w:tblW w:type="auto" w:w="0"/>
        <w:jc w:val="center"/>
        <w:tblLayout w:type="fixed"/>
        <w:tblLook w:firstColumn="1" w:firstRow="1" w:lastColumn="0" w:lastRow="0" w:noHBand="0" w:noVBand="1" w:val="04A0"/>
      </w:tblPr>
      <w:tblGrid>
        <w:gridCol w:w="8787"/>
      </w:tblGrid>
      <w:tr>
        <w:trPr>
          <w:tblHeader w:val="true"/>
        </w:trPr>
        <w:tc>
          <w:tcPr>
            <w:tcW w:type="dxa" w:w="9406"/>
            <w:shd w:fill="0B4F6C"/>
            <w:tcBorders>
              <w:top w:val="single" w:sz="10" w:color="0B4F6C"/>
              <w:left w:val="single" w:sz="10" w:color="0B4F6C"/>
              <w:bottom w:val="single" w:sz="10" w:color="0B4F6C"/>
              <w:right w:val="single" w:sz="10" w:color="0B4F6C"/>
            </w:tcBorders>
          </w:tcPr>
          <w:p>
            <w:pPr>
              <w:spacing w:before="40" w:after="80" w:line="264" w:lineRule="auto"/>
            </w:pPr>
            <w:r>
              <w:rPr>
                <w:rFonts w:ascii="Noto Sans" w:hAnsi="Noto Sans" w:eastAsia="Noto Sans"/>
                <w:b/>
                <w:i w:val="0"/>
                <w:color w:val="FFFFFF"/>
                <w:sz w:val="17"/>
              </w:rPr>
              <w:t>Scope control</w:t>
            </w:r>
          </w:p>
          <w:p>
            <w:pPr>
              <w:spacing w:before="0" w:after="40" w:line="264" w:lineRule="auto"/>
            </w:pPr>
            <w:r>
              <w:rPr>
                <w:rFonts w:ascii="Noto Sans" w:hAnsi="Noto Sans" w:eastAsia="Noto Sans"/>
                <w:b/>
                <w:i w:val="0"/>
                <w:color w:val="FFFFFF"/>
                <w:sz w:val="17"/>
              </w:rPr>
              <w:t>La tabella è una baseline minima e non anticipa l’intero catalogo dei moduli ancora da progettare. Ogni nuovo progetto esecutivo aggiunge le proprie capability senza modificare il modello autorizzativo.</w:t>
            </w:r>
          </w:p>
        </w:tc>
      </w:tr>
    </w:tbl>
    <w:p>
      <w:pPr>
        <w:spacing w:after="20"/>
      </w:pPr>
    </w:p>
    <w:p>
      <w:r>
        <w:rPr>
          <w:rFonts w:ascii="Noto Sans" w:hAnsi="Noto Sans" w:eastAsia="Noto Sans"/>
        </w:rPr>
      </w:r>
    </w:p>
    <w:p>
      <w:pPr>
        <w:pStyle w:val="Heading1"/>
        <w:keepNext/>
      </w:pPr>
      <w:r>
        <w:rPr>
          <w:rFonts w:ascii="Noto Sans" w:hAnsi="Noto Sans" w:eastAsia="Noto Sans"/>
        </w:rPr>
        <w:t>9. Modello di dominio delle policy</w:t>
      </w:r>
    </w:p>
    <w:tbl>
      <w:tblPr>
        <w:tblStyle w:val="TableGrid"/>
        <w:tblW w:type="auto" w:w="0"/>
        <w:jc w:val="center"/>
        <w:tblLayout w:type="fixed"/>
        <w:tblLook w:firstColumn="1" w:firstRow="1" w:lastColumn="0" w:lastRow="0" w:noHBand="0" w:noVBand="1" w:val="04A0"/>
      </w:tblPr>
      <w:tblGrid>
        <w:gridCol w:w="2268"/>
        <w:gridCol w:w="2268"/>
        <w:gridCol w:w="4252"/>
      </w:tblGrid>
      <w:tr>
        <w:trPr>
          <w:tblHeader w:val="true"/>
          <w:tblHeader w:val="true"/>
        </w:trPr>
        <w:tc>
          <w:tcPr>
            <w:tcW w:type="dxa" w:w="3135"/>
            <w:shd w:fill="0B4F6C"/>
            <w:vAlign w:val="center"/>
          </w:tcPr>
          <w:p>
            <w:pPr>
              <w:spacing w:before="0" w:after="40" w:line="240" w:lineRule="auto"/>
              <w:jc w:val="left"/>
            </w:pPr>
            <w:r>
              <w:rPr>
                <w:rFonts w:ascii="Noto Sans" w:hAnsi="Noto Sans" w:eastAsia="Noto Sans"/>
                <w:b/>
                <w:i w:val="0"/>
                <w:color w:val="FFFFFF"/>
                <w:sz w:val="17"/>
              </w:rPr>
              <w:t>Entità</w:t>
            </w:r>
          </w:p>
        </w:tc>
        <w:tc>
          <w:tcPr>
            <w:tcW w:type="dxa" w:w="3135"/>
            <w:shd w:fill="0B4F6C"/>
            <w:vAlign w:val="center"/>
          </w:tcPr>
          <w:p>
            <w:pPr>
              <w:spacing w:before="0" w:after="40" w:line="240" w:lineRule="auto"/>
              <w:jc w:val="left"/>
            </w:pPr>
            <w:r>
              <w:rPr>
                <w:rFonts w:ascii="Noto Sans" w:hAnsi="Noto Sans" w:eastAsia="Noto Sans"/>
                <w:b/>
                <w:i w:val="0"/>
                <w:color w:val="FFFFFF"/>
                <w:sz w:val="17"/>
              </w:rPr>
              <w:t>Chiave</w:t>
            </w:r>
          </w:p>
        </w:tc>
        <w:tc>
          <w:tcPr>
            <w:tcW w:type="dxa" w:w="3135"/>
            <w:shd w:fill="0B4F6C"/>
            <w:vAlign w:val="center"/>
          </w:tcPr>
          <w:p>
            <w:pPr>
              <w:spacing w:before="0" w:after="40" w:line="240" w:lineRule="auto"/>
              <w:jc w:val="left"/>
            </w:pPr>
            <w:r>
              <w:rPr>
                <w:rFonts w:ascii="Noto Sans" w:hAnsi="Noto Sans" w:eastAsia="Noto Sans"/>
                <w:b/>
                <w:i w:val="0"/>
                <w:color w:val="FFFFFF"/>
                <w:sz w:val="17"/>
              </w:rPr>
              <w:t>Descrizione</w:t>
            </w:r>
          </w:p>
        </w:tc>
      </w:tr>
      <w:tr>
        <w:tc>
          <w:tcPr>
            <w:tcW w:type="dxa" w:w="2268"/>
            <w:vAlign w:val="top"/>
            <w:shd w:fill="F8FAFC"/>
          </w:tcPr>
          <w:p>
            <w:pPr>
              <w:spacing w:before="0" w:after="40" w:line="252" w:lineRule="auto"/>
            </w:pPr>
            <w:r>
              <w:rPr>
                <w:rFonts w:ascii="Noto Sans" w:hAnsi="Noto Sans" w:eastAsia="Noto Sans"/>
                <w:b w:val="0"/>
                <w:i w:val="0"/>
                <w:color w:val="000000"/>
                <w:sz w:val="17"/>
              </w:rPr>
              <w:t>ExternalRoleReference</w:t>
            </w:r>
          </w:p>
        </w:tc>
        <w:tc>
          <w:tcPr>
            <w:tcW w:type="dxa" w:w="2268"/>
            <w:vAlign w:val="top"/>
            <w:shd w:fill="F8FAFC"/>
          </w:tcPr>
          <w:p>
            <w:pPr>
              <w:spacing w:before="0" w:after="40" w:line="252" w:lineRule="auto"/>
            </w:pPr>
            <w:r>
              <w:rPr>
                <w:rFonts w:ascii="Noto Sans" w:hAnsi="Noto Sans" w:eastAsia="Noto Sans"/>
                <w:b w:val="0"/>
                <w:i w:val="0"/>
                <w:color w:val="000000"/>
                <w:sz w:val="17"/>
              </w:rPr>
              <w:t>externalRoleRef</w:t>
            </w:r>
          </w:p>
        </w:tc>
        <w:tc>
          <w:tcPr>
            <w:tcW w:type="dxa" w:w="4252"/>
            <w:vAlign w:val="top"/>
            <w:shd w:fill="F8FAFC"/>
          </w:tcPr>
          <w:p>
            <w:pPr>
              <w:spacing w:before="0" w:after="40" w:line="252" w:lineRule="auto"/>
            </w:pPr>
            <w:r>
              <w:rPr>
                <w:rFonts w:ascii="Noto Sans" w:hAnsi="Noto Sans" w:eastAsia="Noto Sans"/>
                <w:b w:val="0"/>
                <w:i w:val="0"/>
                <w:color w:val="000000"/>
                <w:sz w:val="17"/>
              </w:rPr>
              <w:t>Riferimento stabile a ruolo/gruppo governato dall’IAM/organizzazione Ente.</w:t>
            </w:r>
          </w:p>
        </w:tc>
      </w:tr>
      <w:tr>
        <w:tc>
          <w:tcPr>
            <w:tcW w:type="dxa" w:w="2268"/>
            <w:vAlign w:val="top"/>
          </w:tcPr>
          <w:p>
            <w:pPr>
              <w:spacing w:before="0" w:after="40" w:line="252" w:lineRule="auto"/>
            </w:pPr>
            <w:r>
              <w:rPr>
                <w:rFonts w:ascii="Noto Sans" w:hAnsi="Noto Sans" w:eastAsia="Noto Sans"/>
                <w:b w:val="0"/>
                <w:i w:val="0"/>
                <w:color w:val="000000"/>
                <w:sz w:val="17"/>
              </w:rPr>
              <w:t>CapabilityReference</w:t>
            </w:r>
          </w:p>
        </w:tc>
        <w:tc>
          <w:tcPr>
            <w:tcW w:type="dxa" w:w="2268"/>
            <w:vAlign w:val="top"/>
          </w:tcPr>
          <w:p>
            <w:pPr>
              <w:spacing w:before="0" w:after="40" w:line="252" w:lineRule="auto"/>
            </w:pPr>
            <w:r>
              <w:rPr>
                <w:rFonts w:ascii="Noto Sans" w:hAnsi="Noto Sans" w:eastAsia="Noto Sans"/>
                <w:b w:val="0"/>
                <w:i w:val="0"/>
                <w:color w:val="000000"/>
                <w:sz w:val="17"/>
              </w:rPr>
              <w:t>capabilityId</w:t>
            </w:r>
          </w:p>
        </w:tc>
        <w:tc>
          <w:tcPr>
            <w:tcW w:type="dxa" w:w="4252"/>
            <w:vAlign w:val="top"/>
          </w:tcPr>
          <w:p>
            <w:pPr>
              <w:spacing w:before="0" w:after="40" w:line="252" w:lineRule="auto"/>
            </w:pPr>
            <w:r>
              <w:rPr>
                <w:rFonts w:ascii="Noto Sans" w:hAnsi="Noto Sans" w:eastAsia="Noto Sans"/>
                <w:b w:val="0"/>
                <w:i w:val="0"/>
                <w:color w:val="000000"/>
                <w:sz w:val="17"/>
              </w:rPr>
              <w:t>Riferimento alla capability posseduta dal modulo.</w:t>
            </w:r>
          </w:p>
        </w:tc>
      </w:tr>
      <w:tr>
        <w:tc>
          <w:tcPr>
            <w:tcW w:type="dxa" w:w="2268"/>
            <w:vAlign w:val="top"/>
            <w:shd w:fill="F8FAFC"/>
          </w:tcPr>
          <w:p>
            <w:pPr>
              <w:spacing w:before="0" w:after="40" w:line="252" w:lineRule="auto"/>
            </w:pPr>
            <w:r>
              <w:rPr>
                <w:rFonts w:ascii="Noto Sans" w:hAnsi="Noto Sans" w:eastAsia="Noto Sans"/>
                <w:b w:val="0"/>
                <w:i w:val="0"/>
                <w:color w:val="000000"/>
                <w:sz w:val="17"/>
              </w:rPr>
              <w:t>AuthorizationPolicy</w:t>
            </w:r>
          </w:p>
        </w:tc>
        <w:tc>
          <w:tcPr>
            <w:tcW w:type="dxa" w:w="2268"/>
            <w:vAlign w:val="top"/>
            <w:shd w:fill="F8FAFC"/>
          </w:tcPr>
          <w:p>
            <w:pPr>
              <w:spacing w:before="0" w:after="40" w:line="252" w:lineRule="auto"/>
            </w:pPr>
            <w:r>
              <w:rPr>
                <w:rFonts w:ascii="Noto Sans" w:hAnsi="Noto Sans" w:eastAsia="Noto Sans"/>
                <w:b w:val="0"/>
                <w:i w:val="0"/>
                <w:color w:val="000000"/>
                <w:sz w:val="17"/>
              </w:rPr>
              <w:t>policyId + version</w:t>
            </w:r>
          </w:p>
        </w:tc>
        <w:tc>
          <w:tcPr>
            <w:tcW w:type="dxa" w:w="4252"/>
            <w:vAlign w:val="top"/>
            <w:shd w:fill="F8FAFC"/>
          </w:tcPr>
          <w:p>
            <w:pPr>
              <w:spacing w:before="0" w:after="40" w:line="252" w:lineRule="auto"/>
            </w:pPr>
            <w:r>
              <w:rPr>
                <w:rFonts w:ascii="Noto Sans" w:hAnsi="Noto Sans" w:eastAsia="Noto Sans"/>
                <w:b w:val="0"/>
                <w:i w:val="0"/>
                <w:color w:val="000000"/>
                <w:sz w:val="17"/>
              </w:rPr>
              <w:t>Aggregate root versionato della policy.</w:t>
            </w:r>
          </w:p>
        </w:tc>
      </w:tr>
      <w:tr>
        <w:tc>
          <w:tcPr>
            <w:tcW w:type="dxa" w:w="2268"/>
            <w:vAlign w:val="top"/>
          </w:tcPr>
          <w:p>
            <w:pPr>
              <w:spacing w:before="0" w:after="40" w:line="252" w:lineRule="auto"/>
            </w:pPr>
            <w:r>
              <w:rPr>
                <w:rFonts w:ascii="Noto Sans" w:hAnsi="Noto Sans" w:eastAsia="Noto Sans"/>
                <w:b w:val="0"/>
                <w:i w:val="0"/>
                <w:color w:val="000000"/>
                <w:sz w:val="17"/>
              </w:rPr>
              <w:t>PolicyGrant</w:t>
            </w:r>
          </w:p>
        </w:tc>
        <w:tc>
          <w:tcPr>
            <w:tcW w:type="dxa" w:w="2268"/>
            <w:vAlign w:val="top"/>
          </w:tcPr>
          <w:p>
            <w:pPr>
              <w:spacing w:before="0" w:after="40" w:line="252" w:lineRule="auto"/>
            </w:pPr>
            <w:r>
              <w:rPr>
                <w:rFonts w:ascii="Noto Sans" w:hAnsi="Noto Sans" w:eastAsia="Noto Sans"/>
                <w:b w:val="0"/>
                <w:i w:val="0"/>
                <w:color w:val="000000"/>
                <w:sz w:val="17"/>
              </w:rPr>
              <w:t>grantId</w:t>
            </w:r>
          </w:p>
        </w:tc>
        <w:tc>
          <w:tcPr>
            <w:tcW w:type="dxa" w:w="4252"/>
            <w:vAlign w:val="top"/>
          </w:tcPr>
          <w:p>
            <w:pPr>
              <w:spacing w:before="0" w:after="40" w:line="252" w:lineRule="auto"/>
            </w:pPr>
            <w:r>
              <w:rPr>
                <w:rFonts w:ascii="Noto Sans" w:hAnsi="Noto Sans" w:eastAsia="Noto Sans"/>
                <w:b w:val="0"/>
                <w:i w:val="0"/>
                <w:color w:val="000000"/>
                <w:sz w:val="17"/>
              </w:rPr>
              <w:t>ALLOW/DENY per ruolo/attore/capability con condizioni.</w:t>
            </w:r>
          </w:p>
        </w:tc>
      </w:tr>
      <w:tr>
        <w:tc>
          <w:tcPr>
            <w:tcW w:type="dxa" w:w="2268"/>
            <w:vAlign w:val="top"/>
            <w:shd w:fill="F8FAFC"/>
          </w:tcPr>
          <w:p>
            <w:pPr>
              <w:spacing w:before="0" w:after="40" w:line="252" w:lineRule="auto"/>
            </w:pPr>
            <w:r>
              <w:rPr>
                <w:rFonts w:ascii="Noto Sans" w:hAnsi="Noto Sans" w:eastAsia="Noto Sans"/>
                <w:b w:val="0"/>
                <w:i w:val="0"/>
                <w:color w:val="000000"/>
                <w:sz w:val="17"/>
              </w:rPr>
              <w:t>OrganizationScope</w:t>
            </w:r>
          </w:p>
        </w:tc>
        <w:tc>
          <w:tcPr>
            <w:tcW w:type="dxa" w:w="2268"/>
            <w:vAlign w:val="top"/>
            <w:shd w:fill="F8FAFC"/>
          </w:tcPr>
          <w:p>
            <w:pPr>
              <w:spacing w:before="0" w:after="40" w:line="252" w:lineRule="auto"/>
            </w:pPr>
            <w:r>
              <w:rPr>
                <w:rFonts w:ascii="Noto Sans" w:hAnsi="Noto Sans" w:eastAsia="Noto Sans"/>
                <w:b w:val="0"/>
                <w:i w:val="0"/>
                <w:color w:val="000000"/>
                <w:sz w:val="17"/>
              </w:rPr>
              <w:t>scopeId</w:t>
            </w:r>
          </w:p>
        </w:tc>
        <w:tc>
          <w:tcPr>
            <w:tcW w:type="dxa" w:w="4252"/>
            <w:vAlign w:val="top"/>
            <w:shd w:fill="F8FAFC"/>
          </w:tcPr>
          <w:p>
            <w:pPr>
              <w:spacing w:before="0" w:after="40" w:line="252" w:lineRule="auto"/>
            </w:pPr>
            <w:r>
              <w:rPr>
                <w:rFonts w:ascii="Noto Sans" w:hAnsi="Noto Sans" w:eastAsia="Noto Sans"/>
                <w:b w:val="0"/>
                <w:i w:val="0"/>
                <w:color w:val="000000"/>
                <w:sz w:val="17"/>
              </w:rPr>
              <w:t>Regola di applicazione su unità organizzativa/path/domain.</w:t>
            </w:r>
          </w:p>
        </w:tc>
      </w:tr>
      <w:tr>
        <w:tc>
          <w:tcPr>
            <w:tcW w:type="dxa" w:w="2268"/>
            <w:vAlign w:val="top"/>
          </w:tcPr>
          <w:p>
            <w:pPr>
              <w:spacing w:before="0" w:after="40" w:line="252" w:lineRule="auto"/>
            </w:pPr>
            <w:r>
              <w:rPr>
                <w:rFonts w:ascii="Noto Sans" w:hAnsi="Noto Sans" w:eastAsia="Noto Sans"/>
                <w:b w:val="0"/>
                <w:i w:val="0"/>
                <w:color w:val="000000"/>
                <w:sz w:val="17"/>
              </w:rPr>
              <w:t>AssuranceRequirement</w:t>
            </w:r>
          </w:p>
        </w:tc>
        <w:tc>
          <w:tcPr>
            <w:tcW w:type="dxa" w:w="2268"/>
            <w:vAlign w:val="top"/>
          </w:tcPr>
          <w:p>
            <w:pPr>
              <w:spacing w:before="0" w:after="40" w:line="252" w:lineRule="auto"/>
            </w:pPr>
            <w:r>
              <w:rPr>
                <w:rFonts w:ascii="Noto Sans" w:hAnsi="Noto Sans" w:eastAsia="Noto Sans"/>
                <w:b w:val="0"/>
                <w:i w:val="0"/>
                <w:color w:val="000000"/>
                <w:sz w:val="17"/>
              </w:rPr>
              <w:t>assuranceId</w:t>
            </w:r>
          </w:p>
        </w:tc>
        <w:tc>
          <w:tcPr>
            <w:tcW w:type="dxa" w:w="4252"/>
            <w:vAlign w:val="top"/>
          </w:tcPr>
          <w:p>
            <w:pPr>
              <w:spacing w:before="0" w:after="40" w:line="252" w:lineRule="auto"/>
            </w:pPr>
            <w:r>
              <w:rPr>
                <w:rFonts w:ascii="Noto Sans" w:hAnsi="Noto Sans" w:eastAsia="Noto Sans"/>
                <w:b w:val="0"/>
                <w:i w:val="0"/>
                <w:color w:val="000000"/>
                <w:sz w:val="17"/>
              </w:rPr>
              <w:t>Requisito acr/amr/freshness per step-up.</w:t>
            </w:r>
          </w:p>
        </w:tc>
      </w:tr>
      <w:tr>
        <w:tc>
          <w:tcPr>
            <w:tcW w:type="dxa" w:w="2268"/>
            <w:vAlign w:val="top"/>
            <w:shd w:fill="F8FAFC"/>
          </w:tcPr>
          <w:p>
            <w:pPr>
              <w:spacing w:before="0" w:after="40" w:line="252" w:lineRule="auto"/>
            </w:pPr>
            <w:r>
              <w:rPr>
                <w:rFonts w:ascii="Noto Sans" w:hAnsi="Noto Sans" w:eastAsia="Noto Sans"/>
                <w:b w:val="0"/>
                <w:i w:val="0"/>
                <w:color w:val="000000"/>
                <w:sz w:val="17"/>
              </w:rPr>
              <w:t>PolicyRevision</w:t>
            </w:r>
          </w:p>
        </w:tc>
        <w:tc>
          <w:tcPr>
            <w:tcW w:type="dxa" w:w="2268"/>
            <w:vAlign w:val="top"/>
            <w:shd w:fill="F8FAFC"/>
          </w:tcPr>
          <w:p>
            <w:pPr>
              <w:spacing w:before="0" w:after="40" w:line="252" w:lineRule="auto"/>
            </w:pPr>
            <w:r>
              <w:rPr>
                <w:rFonts w:ascii="Noto Sans" w:hAnsi="Noto Sans" w:eastAsia="Noto Sans"/>
                <w:b w:val="0"/>
                <w:i w:val="0"/>
                <w:color w:val="000000"/>
                <w:sz w:val="17"/>
              </w:rPr>
              <w:t>revisionId</w:t>
            </w:r>
          </w:p>
        </w:tc>
        <w:tc>
          <w:tcPr>
            <w:tcW w:type="dxa" w:w="4252"/>
            <w:vAlign w:val="top"/>
            <w:shd w:fill="F8FAFC"/>
          </w:tcPr>
          <w:p>
            <w:pPr>
              <w:spacing w:before="0" w:after="40" w:line="252" w:lineRule="auto"/>
            </w:pPr>
            <w:r>
              <w:rPr>
                <w:rFonts w:ascii="Noto Sans" w:hAnsi="Noto Sans" w:eastAsia="Noto Sans"/>
                <w:b w:val="0"/>
                <w:i w:val="0"/>
                <w:color w:val="000000"/>
                <w:sz w:val="17"/>
              </w:rPr>
              <w:t>Snapshot immutabile del contenuto policy.</w:t>
            </w:r>
          </w:p>
        </w:tc>
      </w:tr>
      <w:tr>
        <w:tc>
          <w:tcPr>
            <w:tcW w:type="dxa" w:w="2268"/>
            <w:vAlign w:val="top"/>
          </w:tcPr>
          <w:p>
            <w:pPr>
              <w:spacing w:before="0" w:after="40" w:line="252" w:lineRule="auto"/>
            </w:pPr>
            <w:r>
              <w:rPr>
                <w:rFonts w:ascii="Noto Sans" w:hAnsi="Noto Sans" w:eastAsia="Noto Sans"/>
                <w:b w:val="0"/>
                <w:i w:val="0"/>
                <w:color w:val="000000"/>
                <w:sz w:val="17"/>
              </w:rPr>
              <w:t>AuthorizationPolicyBundle</w:t>
            </w:r>
          </w:p>
        </w:tc>
        <w:tc>
          <w:tcPr>
            <w:tcW w:type="dxa" w:w="2268"/>
            <w:vAlign w:val="top"/>
          </w:tcPr>
          <w:p>
            <w:pPr>
              <w:spacing w:before="0" w:after="40" w:line="252" w:lineRule="auto"/>
            </w:pPr>
            <w:r>
              <w:rPr>
                <w:rFonts w:ascii="Noto Sans" w:hAnsi="Noto Sans" w:eastAsia="Noto Sans"/>
                <w:b w:val="0"/>
                <w:i w:val="0"/>
                <w:color w:val="000000"/>
                <w:sz w:val="17"/>
              </w:rPr>
              <w:t>publicationId</w:t>
            </w:r>
          </w:p>
        </w:tc>
        <w:tc>
          <w:tcPr>
            <w:tcW w:type="dxa" w:w="4252"/>
            <w:vAlign w:val="top"/>
          </w:tcPr>
          <w:p>
            <w:pPr>
              <w:spacing w:before="0" w:after="40" w:line="252" w:lineRule="auto"/>
            </w:pPr>
            <w:r>
              <w:rPr>
                <w:rFonts w:ascii="Noto Sans" w:hAnsi="Noto Sans" w:eastAsia="Noto Sans"/>
                <w:b w:val="0"/>
                <w:i w:val="0"/>
                <w:color w:val="000000"/>
                <w:sz w:val="17"/>
              </w:rPr>
              <w:t>Bundle immutabile pubblicato ai PEP.</w:t>
            </w:r>
          </w:p>
        </w:tc>
      </w:tr>
      <w:tr>
        <w:tc>
          <w:tcPr>
            <w:tcW w:type="dxa" w:w="2268"/>
            <w:vAlign w:val="top"/>
            <w:shd w:fill="F8FAFC"/>
          </w:tcPr>
          <w:p>
            <w:pPr>
              <w:spacing w:before="0" w:after="40" w:line="252" w:lineRule="auto"/>
            </w:pPr>
            <w:r>
              <w:rPr>
                <w:rFonts w:ascii="Noto Sans" w:hAnsi="Noto Sans" w:eastAsia="Noto Sans"/>
                <w:b w:val="0"/>
                <w:i w:val="0"/>
                <w:color w:val="000000"/>
                <w:sz w:val="17"/>
              </w:rPr>
              <w:t>PolicyApprovalDecision</w:t>
            </w:r>
          </w:p>
        </w:tc>
        <w:tc>
          <w:tcPr>
            <w:tcW w:type="dxa" w:w="2268"/>
            <w:vAlign w:val="top"/>
            <w:shd w:fill="F8FAFC"/>
          </w:tcPr>
          <w:p>
            <w:pPr>
              <w:spacing w:before="0" w:after="40" w:line="252" w:lineRule="auto"/>
            </w:pPr>
            <w:r>
              <w:rPr>
                <w:rFonts w:ascii="Noto Sans" w:hAnsi="Noto Sans" w:eastAsia="Noto Sans"/>
                <w:b w:val="0"/>
                <w:i w:val="0"/>
                <w:color w:val="000000"/>
                <w:sz w:val="17"/>
              </w:rPr>
              <w:t>decisionId</w:t>
            </w:r>
          </w:p>
        </w:tc>
        <w:tc>
          <w:tcPr>
            <w:tcW w:type="dxa" w:w="4252"/>
            <w:vAlign w:val="top"/>
            <w:shd w:fill="F8FAFC"/>
          </w:tcPr>
          <w:p>
            <w:pPr>
              <w:spacing w:before="0" w:after="40" w:line="252" w:lineRule="auto"/>
            </w:pPr>
            <w:r>
              <w:rPr>
                <w:rFonts w:ascii="Noto Sans" w:hAnsi="Noto Sans" w:eastAsia="Noto Sans"/>
                <w:b w:val="0"/>
                <w:i w:val="0"/>
                <w:color w:val="000000"/>
                <w:sz w:val="17"/>
              </w:rPr>
              <w:t>Decisione umana auditabile sulla pubblicazione policy.</w:t>
            </w:r>
          </w:p>
        </w:tc>
      </w:tr>
      <w:tr>
        <w:tc>
          <w:tcPr>
            <w:tcW w:type="dxa" w:w="2268"/>
            <w:vAlign w:val="top"/>
          </w:tcPr>
          <w:p>
            <w:pPr>
              <w:spacing w:before="0" w:after="40" w:line="252" w:lineRule="auto"/>
            </w:pPr>
            <w:r>
              <w:rPr>
                <w:rFonts w:ascii="Noto Sans" w:hAnsi="Noto Sans" w:eastAsia="Noto Sans"/>
                <w:b w:val="0"/>
                <w:i w:val="0"/>
                <w:color w:val="000000"/>
                <w:sz w:val="17"/>
              </w:rPr>
              <w:t>PolicyEvaluationEvidence</w:t>
            </w:r>
          </w:p>
        </w:tc>
        <w:tc>
          <w:tcPr>
            <w:tcW w:type="dxa" w:w="2268"/>
            <w:vAlign w:val="top"/>
          </w:tcPr>
          <w:p>
            <w:pPr>
              <w:spacing w:before="0" w:after="40" w:line="252" w:lineRule="auto"/>
            </w:pPr>
            <w:r>
              <w:rPr>
                <w:rFonts w:ascii="Noto Sans" w:hAnsi="Noto Sans" w:eastAsia="Noto Sans"/>
                <w:b w:val="0"/>
                <w:i w:val="0"/>
                <w:color w:val="000000"/>
                <w:sz w:val="17"/>
              </w:rPr>
              <w:t>evaluationId</w:t>
            </w:r>
          </w:p>
        </w:tc>
        <w:tc>
          <w:tcPr>
            <w:tcW w:type="dxa" w:w="4252"/>
            <w:vAlign w:val="top"/>
          </w:tcPr>
          <w:p>
            <w:pPr>
              <w:spacing w:before="0" w:after="40" w:line="252" w:lineRule="auto"/>
            </w:pPr>
            <w:r>
              <w:rPr>
                <w:rFonts w:ascii="Noto Sans" w:hAnsi="Noto Sans" w:eastAsia="Noto Sans"/>
                <w:b w:val="0"/>
                <w:i w:val="0"/>
                <w:color w:val="000000"/>
                <w:sz w:val="17"/>
              </w:rPr>
              <w:t>Evidenza opzionale per operazioni critiche / audit.</w:t>
            </w:r>
          </w:p>
        </w:tc>
      </w:tr>
    </w:tbl>
    <w:p>
      <w:pPr>
        <w:spacing w:after="40"/>
      </w:pPr>
    </w:p>
    <w:p>
      <w:pPr>
        <w:pStyle w:val="Heading2"/>
        <w:keepNext/>
      </w:pPr>
      <w:r>
        <w:rPr>
          <w:rFonts w:ascii="Noto Sans" w:hAnsi="Noto Sans" w:eastAsia="Noto Sans"/>
        </w:rPr>
        <w:t>9.1 PolicyGrant v1</w:t>
      </w:r>
    </w:p>
    <w:p>
      <w:pPr>
        <w:pStyle w:val="CodeBlock"/>
        <w:shd w:fill="F2F2F2"/>
      </w:pPr>
      <w:r>
        <w:rPr>
          <w:rFonts w:ascii="DejaVu Sans Mono" w:hAnsi="DejaVu Sans Mono" w:eastAsia="DejaVu Sans Mono"/>
          <w:b w:val="0"/>
          <w:i w:val="0"/>
          <w:color w:val="000000"/>
          <w:sz w:val="17"/>
        </w:rPr>
        <w:t>{</w:t>
      </w:r>
    </w:p>
    <w:p>
      <w:pPr>
        <w:pStyle w:val="CodeBlock"/>
        <w:shd w:fill="F2F2F2"/>
      </w:pPr>
      <w:r>
        <w:rPr>
          <w:rFonts w:ascii="DejaVu Sans Mono" w:hAnsi="DejaVu Sans Mono" w:eastAsia="DejaVu Sans Mono"/>
          <w:b w:val="0"/>
          <w:i w:val="0"/>
          <w:color w:val="000000"/>
          <w:sz w:val="17"/>
        </w:rPr>
        <w:t xml:space="preserve">  "grantId": "g-001",</w:t>
      </w:r>
    </w:p>
    <w:p>
      <w:pPr>
        <w:pStyle w:val="CodeBlock"/>
        <w:shd w:fill="F2F2F2"/>
      </w:pPr>
      <w:r>
        <w:rPr>
          <w:rFonts w:ascii="DejaVu Sans Mono" w:hAnsi="DejaVu Sans Mono" w:eastAsia="DejaVu Sans Mono"/>
          <w:b w:val="0"/>
          <w:i w:val="0"/>
          <w:color w:val="000000"/>
          <w:sz w:val="17"/>
        </w:rPr>
        <w:t xml:space="preserve">  "effect": "ALLOW",</w:t>
      </w:r>
    </w:p>
    <w:p>
      <w:pPr>
        <w:pStyle w:val="CodeBlock"/>
        <w:shd w:fill="F2F2F2"/>
      </w:pPr>
      <w:r>
        <w:rPr>
          <w:rFonts w:ascii="DejaVu Sans Mono" w:hAnsi="DejaVu Sans Mono" w:eastAsia="DejaVu Sans Mono"/>
          <w:b w:val="0"/>
          <w:i w:val="0"/>
          <w:color w:val="000000"/>
          <w:sz w:val="17"/>
        </w:rPr>
        <w:t xml:space="preserve">  "subject": {"externalRoleRef": "EVO:RESPONSABILE_SUO"},</w:t>
      </w:r>
    </w:p>
    <w:p>
      <w:pPr>
        <w:pStyle w:val="CodeBlock"/>
        <w:shd w:fill="F2F2F2"/>
      </w:pPr>
      <w:r>
        <w:rPr>
          <w:rFonts w:ascii="DejaVu Sans Mono" w:hAnsi="DejaVu Sans Mono" w:eastAsia="DejaVu Sans Mono"/>
          <w:b w:val="0"/>
          <w:i w:val="0"/>
          <w:color w:val="000000"/>
          <w:sz w:val="17"/>
        </w:rPr>
        <w:t xml:space="preserve">  "capabilityId": "source.onboarding.approve",</w:t>
      </w:r>
    </w:p>
    <w:p>
      <w:pPr>
        <w:pStyle w:val="CodeBlock"/>
        <w:shd w:fill="F2F2F2"/>
      </w:pPr>
      <w:r>
        <w:rPr>
          <w:rFonts w:ascii="DejaVu Sans Mono" w:hAnsi="DejaVu Sans Mono" w:eastAsia="DejaVu Sans Mono"/>
          <w:b w:val="0"/>
          <w:i w:val="0"/>
          <w:color w:val="000000"/>
          <w:sz w:val="17"/>
        </w:rPr>
        <w:t xml:space="preserve">  "actorTypes": ["HUMAN_USER"],</w:t>
      </w:r>
    </w:p>
    <w:p>
      <w:pPr>
        <w:pStyle w:val="CodeBlock"/>
        <w:shd w:fill="F2F2F2"/>
      </w:pPr>
      <w:r>
        <w:rPr>
          <w:rFonts w:ascii="DejaVu Sans Mono" w:hAnsi="DejaVu Sans Mono" w:eastAsia="DejaVu Sans Mono"/>
          <w:b w:val="0"/>
          <w:i w:val="0"/>
          <w:color w:val="000000"/>
          <w:sz w:val="17"/>
        </w:rPr>
        <w:t xml:space="preserve">  "organizationScope": {"mode": "SUBJECT_ORG_TREE"},</w:t>
      </w:r>
    </w:p>
    <w:p>
      <w:pPr>
        <w:pStyle w:val="CodeBlock"/>
        <w:shd w:fill="F2F2F2"/>
      </w:pPr>
      <w:r>
        <w:rPr>
          <w:rFonts w:ascii="DejaVu Sans Mono" w:hAnsi="DejaVu Sans Mono" w:eastAsia="DejaVu Sans Mono"/>
          <w:b w:val="0"/>
          <w:i w:val="0"/>
          <w:color w:val="000000"/>
          <w:sz w:val="17"/>
        </w:rPr>
        <w:t xml:space="preserve">  "assurance": {"level": "NORMAL"},</w:t>
      </w:r>
    </w:p>
    <w:p>
      <w:pPr>
        <w:pStyle w:val="CodeBlock"/>
        <w:shd w:fill="F2F2F2"/>
      </w:pPr>
      <w:r>
        <w:rPr>
          <w:rFonts w:ascii="DejaVu Sans Mono" w:hAnsi="DejaVu Sans Mono" w:eastAsia="DejaVu Sans Mono"/>
          <w:b w:val="0"/>
          <w:i w:val="0"/>
          <w:color w:val="000000"/>
          <w:sz w:val="17"/>
        </w:rPr>
        <w:t xml:space="preserve">  "status": "ACTIVE"</w:t>
      </w:r>
    </w:p>
    <w:p>
      <w:pPr>
        <w:pStyle w:val="CodeBlock"/>
        <w:shd w:fill="F2F2F2"/>
      </w:pPr>
      <w:r>
        <w:rPr>
          <w:rFonts w:ascii="DejaVu Sans Mono" w:hAnsi="DejaVu Sans Mono" w:eastAsia="DejaVu Sans Mono"/>
          <w:b w:val="0"/>
          <w:i w:val="0"/>
          <w:color w:val="000000"/>
          <w:sz w:val="17"/>
        </w:rPr>
        <w:t>}</w:t>
      </w:r>
    </w:p>
    <w:p>
      <w:r>
        <w:rPr>
          <w:rFonts w:ascii="Noto Sans" w:hAnsi="Noto Sans" w:eastAsia="Noto Sans"/>
        </w:rPr>
      </w:r>
    </w:p>
    <w:p>
      <w:pPr>
        <w:pStyle w:val="Heading1"/>
        <w:keepNext/>
      </w:pPr>
      <w:r>
        <w:rPr>
          <w:rFonts w:ascii="Noto Sans" w:hAnsi="Noto Sans" w:eastAsia="Noto Sans"/>
        </w:rPr>
        <w:t>10. Organizational scope e struttura dell’Ente</w:t>
      </w:r>
    </w:p>
    <w:p>
      <w:pPr>
        <w:pStyle w:val="Heading2"/>
        <w:keepNext/>
      </w:pPr>
      <w:r>
        <w:rPr>
          <w:rFonts w:ascii="Noto Sans" w:hAnsi="Noto Sans" w:eastAsia="Noto Sans"/>
        </w:rPr>
        <w:t>10.1 Obiettivo</w:t>
      </w:r>
    </w:p>
    <w:p>
      <w:pPr>
        <w:spacing w:before="0" w:after="120" w:line="276" w:lineRule="auto"/>
      </w:pPr>
      <w:r>
        <w:rPr>
          <w:rFonts w:ascii="Noto Sans" w:hAnsi="Noto Sans" w:eastAsia="Noto Sans"/>
          <w:b w:val="0"/>
          <w:i w:val="0"/>
          <w:color w:val="000000"/>
          <w:sz w:val="18"/>
        </w:rPr>
        <w:t>La struttura organizzativa EVO può essere usata come attributo di autorizzazione senza essere duplicata. OUF conserva soltanto riferimenti stabili e regole di scope, non l’organigramma autoritativo.</w:t>
      </w:r>
    </w:p>
    <w:p>
      <w:pPr>
        <w:pStyle w:val="Heading2"/>
        <w:keepNext/>
      </w:pPr>
      <w:r>
        <w:rPr>
          <w:rFonts w:ascii="Noto Sans" w:hAnsi="Noto Sans" w:eastAsia="Noto Sans"/>
        </w:rPr>
        <w:t>10.2 Scope mode supportati v1</w:t>
      </w:r>
    </w:p>
    <w:tbl>
      <w:tblPr>
        <w:tblStyle w:val="TableGrid"/>
        <w:tblW w:type="auto" w:w="0"/>
        <w:jc w:val="center"/>
        <w:tblLayout w:type="fixed"/>
        <w:tblLook w:firstColumn="1" w:firstRow="1" w:lastColumn="0" w:lastRow="0" w:noHBand="0" w:noVBand="1" w:val="04A0"/>
      </w:tblPr>
      <w:tblGrid>
        <w:gridCol w:w="1814"/>
        <w:gridCol w:w="3969"/>
        <w:gridCol w:w="3005"/>
      </w:tblGrid>
      <w:tr>
        <w:trPr>
          <w:tblHeader w:val="true"/>
          <w:tblHeader w:val="true"/>
        </w:trPr>
        <w:tc>
          <w:tcPr>
            <w:tcW w:type="dxa" w:w="3135"/>
            <w:shd w:fill="0B4F6C"/>
            <w:vAlign w:val="center"/>
          </w:tcPr>
          <w:p>
            <w:pPr>
              <w:spacing w:before="0" w:after="40" w:line="240" w:lineRule="auto"/>
              <w:jc w:val="left"/>
            </w:pPr>
            <w:r>
              <w:rPr>
                <w:rFonts w:ascii="Noto Sans" w:hAnsi="Noto Sans" w:eastAsia="Noto Sans"/>
                <w:b/>
                <w:i w:val="0"/>
                <w:color w:val="FFFFFF"/>
                <w:sz w:val="17"/>
              </w:rPr>
              <w:t>Mode</w:t>
            </w:r>
          </w:p>
        </w:tc>
        <w:tc>
          <w:tcPr>
            <w:tcW w:type="dxa" w:w="3135"/>
            <w:shd w:fill="0B4F6C"/>
            <w:vAlign w:val="center"/>
          </w:tcPr>
          <w:p>
            <w:pPr>
              <w:spacing w:before="0" w:after="40" w:line="240" w:lineRule="auto"/>
              <w:jc w:val="left"/>
            </w:pPr>
            <w:r>
              <w:rPr>
                <w:rFonts w:ascii="Noto Sans" w:hAnsi="Noto Sans" w:eastAsia="Noto Sans"/>
                <w:b/>
                <w:i w:val="0"/>
                <w:color w:val="FFFFFF"/>
                <w:sz w:val="17"/>
              </w:rPr>
              <w:t>Significato</w:t>
            </w:r>
          </w:p>
        </w:tc>
        <w:tc>
          <w:tcPr>
            <w:tcW w:type="dxa" w:w="3135"/>
            <w:shd w:fill="0B4F6C"/>
            <w:vAlign w:val="center"/>
          </w:tcPr>
          <w:p>
            <w:pPr>
              <w:spacing w:before="0" w:after="40" w:line="240" w:lineRule="auto"/>
              <w:jc w:val="left"/>
            </w:pPr>
            <w:r>
              <w:rPr>
                <w:rFonts w:ascii="Noto Sans" w:hAnsi="Noto Sans" w:eastAsia="Noto Sans"/>
                <w:b/>
                <w:i w:val="0"/>
                <w:color w:val="FFFFFF"/>
                <w:sz w:val="17"/>
              </w:rPr>
              <w:t>Esempio</w:t>
            </w:r>
          </w:p>
        </w:tc>
      </w:tr>
      <w:tr>
        <w:tc>
          <w:tcPr>
            <w:tcW w:type="dxa" w:w="1814"/>
            <w:vAlign w:val="top"/>
            <w:shd w:fill="F8FAFC"/>
          </w:tcPr>
          <w:p>
            <w:pPr>
              <w:spacing w:before="0" w:after="40" w:line="252" w:lineRule="auto"/>
            </w:pPr>
            <w:r>
              <w:rPr>
                <w:rFonts w:ascii="Noto Sans" w:hAnsi="Noto Sans" w:eastAsia="Noto Sans"/>
                <w:b w:val="0"/>
                <w:i w:val="0"/>
                <w:color w:val="000000"/>
                <w:sz w:val="17"/>
              </w:rPr>
              <w:t>GLOBAL</w:t>
            </w:r>
          </w:p>
        </w:tc>
        <w:tc>
          <w:tcPr>
            <w:tcW w:type="dxa" w:w="3969"/>
            <w:vAlign w:val="top"/>
            <w:shd w:fill="F8FAFC"/>
          </w:tcPr>
          <w:p>
            <w:pPr>
              <w:spacing w:before="0" w:after="40" w:line="252" w:lineRule="auto"/>
            </w:pPr>
            <w:r>
              <w:rPr>
                <w:rFonts w:ascii="Noto Sans" w:hAnsi="Noto Sans" w:eastAsia="Noto Sans"/>
                <w:b w:val="0"/>
                <w:i w:val="0"/>
                <w:color w:val="000000"/>
                <w:sz w:val="17"/>
              </w:rPr>
              <w:t>Valido sull’intero perimetro OUF</w:t>
            </w:r>
          </w:p>
        </w:tc>
        <w:tc>
          <w:tcPr>
            <w:tcW w:type="dxa" w:w="3005"/>
            <w:vAlign w:val="top"/>
            <w:shd w:fill="F8FAFC"/>
          </w:tcPr>
          <w:p>
            <w:pPr>
              <w:spacing w:before="0" w:after="40" w:line="252" w:lineRule="auto"/>
            </w:pPr>
            <w:r>
              <w:rPr>
                <w:rFonts w:ascii="Noto Sans" w:hAnsi="Noto Sans" w:eastAsia="Noto Sans"/>
                <w:b w:val="0"/>
                <w:i w:val="0"/>
                <w:color w:val="000000"/>
                <w:sz w:val="17"/>
              </w:rPr>
              <w:t>Amministratore tecnico OUF.</w:t>
            </w:r>
          </w:p>
        </w:tc>
      </w:tr>
      <w:tr>
        <w:tc>
          <w:tcPr>
            <w:tcW w:type="dxa" w:w="1814"/>
            <w:vAlign w:val="top"/>
          </w:tcPr>
          <w:p>
            <w:pPr>
              <w:spacing w:before="0" w:after="40" w:line="252" w:lineRule="auto"/>
            </w:pPr>
            <w:r>
              <w:rPr>
                <w:rFonts w:ascii="Noto Sans" w:hAnsi="Noto Sans" w:eastAsia="Noto Sans"/>
                <w:b w:val="0"/>
                <w:i w:val="0"/>
                <w:color w:val="000000"/>
                <w:sz w:val="17"/>
              </w:rPr>
              <w:t>EXACT_ORG</w:t>
            </w:r>
          </w:p>
        </w:tc>
        <w:tc>
          <w:tcPr>
            <w:tcW w:type="dxa" w:w="3969"/>
            <w:vAlign w:val="top"/>
          </w:tcPr>
          <w:p>
            <w:pPr>
              <w:spacing w:before="0" w:after="40" w:line="252" w:lineRule="auto"/>
            </w:pPr>
            <w:r>
              <w:rPr>
                <w:rFonts w:ascii="Noto Sans" w:hAnsi="Noto Sans" w:eastAsia="Noto Sans"/>
                <w:b w:val="0"/>
                <w:i w:val="0"/>
                <w:color w:val="000000"/>
                <w:sz w:val="17"/>
              </w:rPr>
              <w:t>Solo unità organizzativa indicata</w:t>
            </w:r>
          </w:p>
        </w:tc>
        <w:tc>
          <w:tcPr>
            <w:tcW w:type="dxa" w:w="3005"/>
            <w:vAlign w:val="top"/>
          </w:tcPr>
          <w:p>
            <w:pPr>
              <w:spacing w:before="0" w:after="40" w:line="252" w:lineRule="auto"/>
            </w:pPr>
            <w:r>
              <w:rPr>
                <w:rFonts w:ascii="Noto Sans" w:hAnsi="Noto Sans" w:eastAsia="Noto Sans"/>
                <w:b w:val="0"/>
                <w:i w:val="0"/>
                <w:color w:val="000000"/>
                <w:sz w:val="17"/>
              </w:rPr>
              <w:t>Operatore di uno specifico Servizio.</w:t>
            </w:r>
          </w:p>
        </w:tc>
      </w:tr>
      <w:tr>
        <w:tc>
          <w:tcPr>
            <w:tcW w:type="dxa" w:w="1814"/>
            <w:vAlign w:val="top"/>
            <w:shd w:fill="F8FAFC"/>
          </w:tcPr>
          <w:p>
            <w:pPr>
              <w:spacing w:before="0" w:after="40" w:line="252" w:lineRule="auto"/>
            </w:pPr>
            <w:r>
              <w:rPr>
                <w:rFonts w:ascii="Noto Sans" w:hAnsi="Noto Sans" w:eastAsia="Noto Sans"/>
                <w:b w:val="0"/>
                <w:i w:val="0"/>
                <w:color w:val="000000"/>
                <w:sz w:val="17"/>
              </w:rPr>
              <w:t>SUBJECT_ORG</w:t>
            </w:r>
          </w:p>
        </w:tc>
        <w:tc>
          <w:tcPr>
            <w:tcW w:type="dxa" w:w="3969"/>
            <w:vAlign w:val="top"/>
            <w:shd w:fill="F8FAFC"/>
          </w:tcPr>
          <w:p>
            <w:pPr>
              <w:spacing w:before="0" w:after="40" w:line="252" w:lineRule="auto"/>
            </w:pPr>
            <w:r>
              <w:rPr>
                <w:rFonts w:ascii="Noto Sans" w:hAnsi="Noto Sans" w:eastAsia="Noto Sans"/>
                <w:b w:val="0"/>
                <w:i w:val="0"/>
                <w:color w:val="000000"/>
                <w:sz w:val="17"/>
              </w:rPr>
              <w:t>Risorsa appartenente alla stessa orgUnit del subject</w:t>
            </w:r>
          </w:p>
        </w:tc>
        <w:tc>
          <w:tcPr>
            <w:tcW w:type="dxa" w:w="3005"/>
            <w:vAlign w:val="top"/>
            <w:shd w:fill="F8FAFC"/>
          </w:tcPr>
          <w:p>
            <w:pPr>
              <w:spacing w:before="0" w:after="40" w:line="252" w:lineRule="auto"/>
            </w:pPr>
            <w:r>
              <w:rPr>
                <w:rFonts w:ascii="Noto Sans" w:hAnsi="Noto Sans" w:eastAsia="Noto Sans"/>
                <w:b w:val="0"/>
                <w:i w:val="0"/>
                <w:color w:val="000000"/>
                <w:sz w:val="17"/>
              </w:rPr>
              <w:t>Istruttore gestisce le fonti del proprio ufficio.</w:t>
            </w:r>
          </w:p>
        </w:tc>
      </w:tr>
      <w:tr>
        <w:tc>
          <w:tcPr>
            <w:tcW w:type="dxa" w:w="1814"/>
            <w:vAlign w:val="top"/>
          </w:tcPr>
          <w:p>
            <w:pPr>
              <w:spacing w:before="0" w:after="40" w:line="252" w:lineRule="auto"/>
            </w:pPr>
            <w:r>
              <w:rPr>
                <w:rFonts w:ascii="Noto Sans" w:hAnsi="Noto Sans" w:eastAsia="Noto Sans"/>
                <w:b w:val="0"/>
                <w:i w:val="0"/>
                <w:color w:val="000000"/>
                <w:sz w:val="17"/>
              </w:rPr>
              <w:t>SUBJECT_ORG_TREE</w:t>
            </w:r>
          </w:p>
        </w:tc>
        <w:tc>
          <w:tcPr>
            <w:tcW w:type="dxa" w:w="3969"/>
            <w:vAlign w:val="top"/>
          </w:tcPr>
          <w:p>
            <w:pPr>
              <w:spacing w:before="0" w:after="40" w:line="252" w:lineRule="auto"/>
            </w:pPr>
            <w:r>
              <w:rPr>
                <w:rFonts w:ascii="Noto Sans" w:hAnsi="Noto Sans" w:eastAsia="Noto Sans"/>
                <w:b w:val="0"/>
                <w:i w:val="0"/>
                <w:color w:val="000000"/>
                <w:sz w:val="17"/>
              </w:rPr>
              <w:t>Stessa orgUnit o discendenti secondo struttura IAM</w:t>
            </w:r>
          </w:p>
        </w:tc>
        <w:tc>
          <w:tcPr>
            <w:tcW w:type="dxa" w:w="3005"/>
            <w:vAlign w:val="top"/>
          </w:tcPr>
          <w:p>
            <w:pPr>
              <w:spacing w:before="0" w:after="40" w:line="252" w:lineRule="auto"/>
            </w:pPr>
            <w:r>
              <w:rPr>
                <w:rFonts w:ascii="Noto Sans" w:hAnsi="Noto Sans" w:eastAsia="Noto Sans"/>
                <w:b w:val="0"/>
                <w:i w:val="0"/>
                <w:color w:val="000000"/>
                <w:sz w:val="17"/>
              </w:rPr>
              <w:t>Responsabile di area.</w:t>
            </w:r>
          </w:p>
        </w:tc>
      </w:tr>
      <w:tr>
        <w:tc>
          <w:tcPr>
            <w:tcW w:type="dxa" w:w="1814"/>
            <w:vAlign w:val="top"/>
            <w:shd w:fill="F8FAFC"/>
          </w:tcPr>
          <w:p>
            <w:pPr>
              <w:spacing w:before="0" w:after="40" w:line="252" w:lineRule="auto"/>
            </w:pPr>
            <w:r>
              <w:rPr>
                <w:rFonts w:ascii="Noto Sans" w:hAnsi="Noto Sans" w:eastAsia="Noto Sans"/>
                <w:b w:val="0"/>
                <w:i w:val="0"/>
                <w:color w:val="000000"/>
                <w:sz w:val="17"/>
              </w:rPr>
              <w:t>DOMAIN</w:t>
            </w:r>
          </w:p>
        </w:tc>
        <w:tc>
          <w:tcPr>
            <w:tcW w:type="dxa" w:w="3969"/>
            <w:vAlign w:val="top"/>
            <w:shd w:fill="F8FAFC"/>
          </w:tcPr>
          <w:p>
            <w:pPr>
              <w:spacing w:before="0" w:after="40" w:line="252" w:lineRule="auto"/>
            </w:pPr>
            <w:r>
              <w:rPr>
                <w:rFonts w:ascii="Noto Sans" w:hAnsi="Noto Sans" w:eastAsia="Noto Sans"/>
                <w:b w:val="0"/>
                <w:i w:val="0"/>
                <w:color w:val="000000"/>
                <w:sz w:val="17"/>
              </w:rPr>
              <w:t>Perimetro funzionale esplicito</w:t>
            </w:r>
          </w:p>
        </w:tc>
        <w:tc>
          <w:tcPr>
            <w:tcW w:type="dxa" w:w="3005"/>
            <w:vAlign w:val="top"/>
            <w:shd w:fill="F8FAFC"/>
          </w:tcPr>
          <w:p>
            <w:pPr>
              <w:spacing w:before="0" w:after="40" w:line="252" w:lineRule="auto"/>
            </w:pPr>
            <w:r>
              <w:rPr>
                <w:rFonts w:ascii="Noto Sans" w:hAnsi="Noto Sans" w:eastAsia="Noto Sans"/>
                <w:b w:val="0"/>
                <w:i w:val="0"/>
                <w:color w:val="000000"/>
                <w:sz w:val="17"/>
              </w:rPr>
              <w:t>SUO, SUE, SUAP, semantic-governance.</w:t>
            </w:r>
          </w:p>
        </w:tc>
      </w:tr>
    </w:tbl>
    <w:p>
      <w:pPr>
        <w:spacing w:after="40"/>
      </w:pPr>
    </w:p>
    <w:p>
      <w:pPr>
        <w:pStyle w:val="Heading2"/>
        <w:keepNext/>
      </w:pPr>
      <w:r>
        <w:rPr>
          <w:rFonts w:ascii="Noto Sans" w:hAnsi="Noto Sans" w:eastAsia="Noto Sans"/>
        </w:rPr>
        <w:t>10.3 Ownership della risorsa</w:t>
      </w:r>
    </w:p>
    <w:p>
      <w:pPr>
        <w:spacing w:before="0" w:after="120" w:line="276" w:lineRule="auto"/>
      </w:pPr>
      <w:r>
        <w:rPr>
          <w:rFonts w:ascii="Noto Sans" w:hAnsi="Noto Sans" w:eastAsia="Noto Sans"/>
          <w:b w:val="0"/>
          <w:i w:val="0"/>
          <w:color w:val="000000"/>
          <w:sz w:val="18"/>
        </w:rPr>
        <w:t>Per applicare uno scope organizzativo, la risorsa OUF deve avere un attributo governato come ownerOrgRef o domainRef. Questo valore è dato applicativo OUF; non è una copia dell’organigramma e può essere validato rispetto all’IAM quando necessario.</w:t>
      </w:r>
    </w:p>
    <w:p>
      <w:r>
        <w:rPr>
          <w:rFonts w:ascii="Noto Sans" w:hAnsi="Noto Sans" w:eastAsia="Noto Sans"/>
        </w:rPr>
      </w:r>
    </w:p>
    <w:p>
      <w:pPr>
        <w:pStyle w:val="Heading1"/>
        <w:keepNext/>
      </w:pPr>
      <w:r>
        <w:rPr>
          <w:rFonts w:ascii="Noto Sans" w:hAnsi="Noto Sans" w:eastAsia="Noto Sans"/>
        </w:rPr>
        <w:t>11. Human governance, approval e segregation of duties</w:t>
      </w:r>
    </w:p>
    <w:p>
      <w:pPr>
        <w:pStyle w:val="Heading2"/>
        <w:keepNext/>
      </w:pPr>
      <w:r>
        <w:rPr>
          <w:rFonts w:ascii="Noto Sans" w:hAnsi="Noto Sans" w:eastAsia="Noto Sans"/>
        </w:rPr>
        <w:t>11.1 Operazioni human-only</w:t>
      </w:r>
    </w:p>
    <w:p>
      <w:pPr>
        <w:spacing w:before="0" w:after="120" w:line="276" w:lineRule="auto"/>
      </w:pPr>
      <w:r>
        <w:rPr>
          <w:rFonts w:ascii="Noto Sans" w:hAnsi="Noto Sans" w:eastAsia="Noto Sans"/>
          <w:b w:val="0"/>
          <w:i w:val="0"/>
          <w:color w:val="000000"/>
          <w:sz w:val="18"/>
        </w:rPr>
        <w:t>Le azioni che producono una decisione autoritativa della piattaforma possono essere marcate HUMAN_REQUIRED. Il semplice possesso di un ruolo non è sufficiente se il token rappresenta un AI_AGENT, MCP_SERVER o SERVICE_IDENTITY.</w:t>
      </w:r>
    </w:p>
    <w:p>
      <w:pPr>
        <w:pStyle w:val="Heading2"/>
        <w:keepNext/>
      </w:pPr>
      <w:r>
        <w:rPr>
          <w:rFonts w:ascii="Noto Sans" w:hAnsi="Noto Sans" w:eastAsia="Noto Sans"/>
        </w:rPr>
        <w:t>11.2 Approval challenge</w:t>
      </w:r>
    </w:p>
    <w:p>
      <w:pPr>
        <w:spacing w:before="0" w:after="120" w:line="276" w:lineRule="auto"/>
      </w:pPr>
      <w:r>
        <w:rPr>
          <w:rFonts w:ascii="Noto Sans" w:hAnsi="Noto Sans" w:eastAsia="Noto Sans"/>
          <w:b w:val="0"/>
          <w:i w:val="0"/>
          <w:color w:val="000000"/>
          <w:sz w:val="18"/>
        </w:rPr>
        <w:t>Il meccanismo ApprovalChallenge resta implementato nel modulo di dominio che possiede l’operazione (es. Onboarding o Semantic Registry). Authorization determina se il subject può approvare; il challenge prova che la decisione riguarda esattamente la revisione/hash mostrati all’utente.</w:t>
      </w:r>
    </w:p>
    <w:p>
      <w:pPr>
        <w:pStyle w:val="CodeBlock"/>
        <w:shd w:fill="F2F2F2"/>
      </w:pPr>
      <w:r>
        <w:rPr>
          <w:rFonts w:ascii="DejaVu Sans Mono" w:hAnsi="DejaVu Sans Mono" w:eastAsia="DejaVu Sans Mono"/>
          <w:b w:val="0"/>
          <w:i w:val="0"/>
          <w:color w:val="000000"/>
          <w:sz w:val="17"/>
        </w:rPr>
        <w:t>authorize(HUMAN_USER, source.onboarding.approve)</w:t>
      </w:r>
    </w:p>
    <w:p>
      <w:pPr>
        <w:pStyle w:val="CodeBlock"/>
        <w:shd w:fill="F2F2F2"/>
      </w:pPr>
      <w:r>
        <w:rPr>
          <w:rFonts w:ascii="DejaVu Sans Mono" w:hAnsi="DejaVu Sans Mono" w:eastAsia="DejaVu Sans Mono"/>
          <w:b w:val="0"/>
          <w:i w:val="0"/>
          <w:color w:val="000000"/>
          <w:sz w:val="17"/>
        </w:rPr>
        <w:t xml:space="preserve">  + workflow guard</w:t>
      </w:r>
    </w:p>
    <w:p>
      <w:pPr>
        <w:pStyle w:val="CodeBlock"/>
        <w:shd w:fill="F2F2F2"/>
      </w:pPr>
      <w:r>
        <w:rPr>
          <w:rFonts w:ascii="DejaVu Sans Mono" w:hAnsi="DejaVu Sans Mono" w:eastAsia="DejaVu Sans Mono"/>
          <w:b w:val="0"/>
          <w:i w:val="0"/>
          <w:color w:val="000000"/>
          <w:sz w:val="17"/>
        </w:rPr>
        <w:t xml:space="preserve">  + ApprovalChallenge(configurationHash, expiresAt)</w:t>
      </w:r>
    </w:p>
    <w:p>
      <w:pPr>
        <w:pStyle w:val="CodeBlock"/>
        <w:shd w:fill="F2F2F2"/>
      </w:pPr>
      <w:r>
        <w:rPr>
          <w:rFonts w:ascii="DejaVu Sans Mono" w:hAnsi="DejaVu Sans Mono" w:eastAsia="DejaVu Sans Mono"/>
          <w:b w:val="0"/>
          <w:i w:val="0"/>
          <w:color w:val="000000"/>
          <w:sz w:val="17"/>
        </w:rPr>
        <w:t xml:space="preserve">  + trusted approval confirmation</w:t>
      </w:r>
    </w:p>
    <w:p>
      <w:pPr>
        <w:pStyle w:val="CodeBlock"/>
        <w:shd w:fill="F2F2F2"/>
      </w:pPr>
      <w:r>
        <w:rPr>
          <w:rFonts w:ascii="DejaVu Sans Mono" w:hAnsi="DejaVu Sans Mono" w:eastAsia="DejaVu Sans Mono"/>
          <w:b w:val="0"/>
          <w:i w:val="0"/>
          <w:color w:val="000000"/>
          <w:sz w:val="17"/>
        </w:rPr>
        <w:t xml:space="preserve">  =&gt; ApprovalDecision</w:t>
      </w:r>
    </w:p>
    <w:p>
      <w:pPr>
        <w:pStyle w:val="Heading2"/>
        <w:keepNext/>
      </w:pPr>
      <w:r>
        <w:rPr>
          <w:rFonts w:ascii="Noto Sans" w:hAnsi="Noto Sans" w:eastAsia="Noto Sans"/>
        </w:rPr>
        <w:t>11.3 Segregation of Duties v1</w:t>
      </w:r>
    </w:p>
    <w:p>
      <w:pPr>
        <w:pStyle w:val="ListBullet"/>
        <w:spacing w:before="0" w:after="60" w:line="264" w:lineRule="auto"/>
      </w:pPr>
      <w:r>
        <w:rPr>
          <w:rFonts w:ascii="Noto Sans" w:hAnsi="Noto Sans" w:eastAsia="Noto Sans"/>
          <w:b w:val="0"/>
          <w:i w:val="0"/>
          <w:color w:val="000000"/>
          <w:sz w:val="18"/>
        </w:rPr>
        <w:t>La baseline supporta una regola opzionale proposer != approver per capability ad alto impatto.</w:t>
      </w:r>
    </w:p>
    <w:p>
      <w:pPr>
        <w:pStyle w:val="ListBullet"/>
        <w:spacing w:before="0" w:after="60" w:line="264" w:lineRule="auto"/>
      </w:pPr>
      <w:r>
        <w:rPr>
          <w:rFonts w:ascii="Noto Sans" w:hAnsi="Noto Sans" w:eastAsia="Noto Sans"/>
          <w:b w:val="0"/>
          <w:i w:val="0"/>
          <w:color w:val="000000"/>
          <w:sz w:val="18"/>
        </w:rPr>
        <w:t>È possibile vietare che lo stesso subject approvi una policy Authorization che gli assegna direttamente privilegi elevati, salvo break-glass governato.</w:t>
      </w:r>
    </w:p>
    <w:p>
      <w:pPr>
        <w:pStyle w:val="ListBullet"/>
        <w:spacing w:before="0" w:after="60" w:line="264" w:lineRule="auto"/>
      </w:pPr>
      <w:r>
        <w:rPr>
          <w:rFonts w:ascii="Noto Sans" w:hAnsi="Noto Sans" w:eastAsia="Noto Sans"/>
          <w:b w:val="0"/>
          <w:i w:val="0"/>
          <w:color w:val="000000"/>
          <w:sz w:val="18"/>
        </w:rPr>
        <w:t>Le regole SoD devono essere esplicite; non sono inferite automaticamente dalla struttura organizzativa.</w:t>
      </w:r>
    </w:p>
    <w:p>
      <w:pPr>
        <w:pStyle w:val="ListBullet"/>
        <w:spacing w:before="0" w:after="60" w:line="264" w:lineRule="auto"/>
      </w:pPr>
      <w:r>
        <w:rPr>
          <w:rFonts w:ascii="Noto Sans" w:hAnsi="Noto Sans" w:eastAsia="Noto Sans"/>
          <w:b w:val="0"/>
          <w:i w:val="0"/>
          <w:color w:val="000000"/>
          <w:sz w:val="18"/>
        </w:rPr>
        <w:t>Qualsiasi override richiede reasonCode e audit.</w:t>
      </w:r>
    </w:p>
    <w:p>
      <w:r>
        <w:rPr>
          <w:rFonts w:ascii="Noto Sans" w:hAnsi="Noto Sans" w:eastAsia="Noto Sans"/>
        </w:rPr>
      </w:r>
    </w:p>
    <w:p>
      <w:pPr>
        <w:pStyle w:val="Heading1"/>
        <w:keepNext/>
      </w:pPr>
      <w:r>
        <w:rPr>
          <w:rFonts w:ascii="Noto Sans" w:hAnsi="Noto Sans" w:eastAsia="Noto Sans"/>
        </w:rPr>
        <w:t>12. AI Agent, MCP Server e delega</w:t>
      </w:r>
    </w:p>
    <w:p>
      <w:pPr>
        <w:pStyle w:val="Heading2"/>
        <w:keepNext/>
      </w:pPr>
      <w:r>
        <w:rPr>
          <w:rFonts w:ascii="Noto Sans" w:hAnsi="Noto Sans" w:eastAsia="Noto Sans"/>
        </w:rPr>
        <w:t>12.1 Principio</w:t>
      </w:r>
    </w:p>
    <w:p>
      <w:pPr>
        <w:spacing w:before="0" w:after="120" w:line="276" w:lineRule="auto"/>
      </w:pPr>
      <w:r>
        <w:rPr>
          <w:rFonts w:ascii="Noto Sans" w:hAnsi="Noto Sans" w:eastAsia="Noto Sans"/>
          <w:b w:val="0"/>
          <w:i w:val="0"/>
          <w:color w:val="000000"/>
          <w:sz w:val="18"/>
        </w:rPr>
        <w:t>L’esperienza può essere agentica senza trasferire autorità all’Agent. AI e MCP possono leggere, proporre, calcolare, creare draft e preparare challenge quando la capability lo consente; non possono confermare operazioni marcate HUMAN_REQUIRED.</w:t>
      </w:r>
    </w:p>
    <w:p>
      <w:pPr>
        <w:pStyle w:val="Heading2"/>
        <w:keepNext/>
      </w:pPr>
      <w:r>
        <w:rPr>
          <w:rFonts w:ascii="Noto Sans" w:hAnsi="Noto Sans" w:eastAsia="Noto Sans"/>
        </w:rPr>
        <w:t>12.2 Delegation context</w:t>
      </w:r>
    </w:p>
    <w:tbl>
      <w:tblPr>
        <w:tblStyle w:val="TableGrid"/>
        <w:tblW w:type="auto" w:w="0"/>
        <w:jc w:val="center"/>
        <w:tblLayout w:type="fixed"/>
        <w:tblLook w:firstColumn="1" w:firstRow="1" w:lastColumn="0" w:lastRow="0" w:noHBand="0" w:noVBand="1" w:val="04A0"/>
      </w:tblPr>
      <w:tblGrid>
        <w:gridCol w:w="2268"/>
        <w:gridCol w:w="6520"/>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Campo</w:t>
            </w:r>
          </w:p>
        </w:tc>
        <w:tc>
          <w:tcPr>
            <w:tcW w:type="dxa" w:w="4703"/>
            <w:shd w:fill="0B4F6C"/>
            <w:vAlign w:val="center"/>
          </w:tcPr>
          <w:p>
            <w:pPr>
              <w:spacing w:before="0" w:after="40" w:line="240" w:lineRule="auto"/>
              <w:jc w:val="left"/>
            </w:pPr>
            <w:r>
              <w:rPr>
                <w:rFonts w:ascii="Noto Sans" w:hAnsi="Noto Sans" w:eastAsia="Noto Sans"/>
                <w:b/>
                <w:i w:val="0"/>
                <w:color w:val="FFFFFF"/>
                <w:sz w:val="17"/>
              </w:rPr>
              <w:t>Significato</w:t>
            </w:r>
          </w:p>
        </w:tc>
      </w:tr>
      <w:tr>
        <w:tc>
          <w:tcPr>
            <w:tcW w:type="dxa" w:w="2268"/>
            <w:vAlign w:val="top"/>
            <w:shd w:fill="F8FAFC"/>
          </w:tcPr>
          <w:p>
            <w:pPr>
              <w:spacing w:before="0" w:after="40" w:line="252" w:lineRule="auto"/>
            </w:pPr>
            <w:r>
              <w:rPr>
                <w:rFonts w:ascii="Noto Sans" w:hAnsi="Noto Sans" w:eastAsia="Noto Sans"/>
                <w:b w:val="0"/>
                <w:i w:val="0"/>
                <w:color w:val="000000"/>
                <w:sz w:val="17"/>
              </w:rPr>
              <w:t>subject</w:t>
            </w:r>
          </w:p>
        </w:tc>
        <w:tc>
          <w:tcPr>
            <w:tcW w:type="dxa" w:w="6520"/>
            <w:vAlign w:val="top"/>
            <w:shd w:fill="F8FAFC"/>
          </w:tcPr>
          <w:p>
            <w:pPr>
              <w:spacing w:before="0" w:after="40" w:line="252" w:lineRule="auto"/>
            </w:pPr>
            <w:r>
              <w:rPr>
                <w:rFonts w:ascii="Noto Sans" w:hAnsi="Noto Sans" w:eastAsia="Noto Sans"/>
                <w:b w:val="0"/>
                <w:i w:val="0"/>
                <w:color w:val="000000"/>
                <w:sz w:val="17"/>
              </w:rPr>
              <w:t>Identità effettivamente autorizzata dal token.</w:t>
            </w:r>
          </w:p>
        </w:tc>
      </w:tr>
      <w:tr>
        <w:tc>
          <w:tcPr>
            <w:tcW w:type="dxa" w:w="2268"/>
            <w:vAlign w:val="top"/>
          </w:tcPr>
          <w:p>
            <w:pPr>
              <w:spacing w:before="0" w:after="40" w:line="252" w:lineRule="auto"/>
            </w:pPr>
            <w:r>
              <w:rPr>
                <w:rFonts w:ascii="Noto Sans" w:hAnsi="Noto Sans" w:eastAsia="Noto Sans"/>
                <w:b w:val="0"/>
                <w:i w:val="0"/>
                <w:color w:val="000000"/>
                <w:sz w:val="17"/>
              </w:rPr>
              <w:t>actorType</w:t>
            </w:r>
          </w:p>
        </w:tc>
        <w:tc>
          <w:tcPr>
            <w:tcW w:type="dxa" w:w="6520"/>
            <w:vAlign w:val="top"/>
          </w:tcPr>
          <w:p>
            <w:pPr>
              <w:spacing w:before="0" w:after="40" w:line="252" w:lineRule="auto"/>
            </w:pPr>
            <w:r>
              <w:rPr>
                <w:rFonts w:ascii="Noto Sans" w:hAnsi="Noto Sans" w:eastAsia="Noto Sans"/>
                <w:b w:val="0"/>
                <w:i w:val="0"/>
                <w:color w:val="000000"/>
                <w:sz w:val="17"/>
              </w:rPr>
              <w:t>HUMAN_USER / AI_AGENT / MCP_SERVER / SERVICE_IDENTITY.</w:t>
            </w:r>
          </w:p>
        </w:tc>
      </w:tr>
      <w:tr>
        <w:tc>
          <w:tcPr>
            <w:tcW w:type="dxa" w:w="2268"/>
            <w:vAlign w:val="top"/>
            <w:shd w:fill="F8FAFC"/>
          </w:tcPr>
          <w:p>
            <w:pPr>
              <w:spacing w:before="0" w:after="40" w:line="252" w:lineRule="auto"/>
            </w:pPr>
            <w:r>
              <w:rPr>
                <w:rFonts w:ascii="Noto Sans" w:hAnsi="Noto Sans" w:eastAsia="Noto Sans"/>
                <w:b w:val="0"/>
                <w:i w:val="0"/>
                <w:color w:val="000000"/>
                <w:sz w:val="17"/>
              </w:rPr>
              <w:t>delegatedVia</w:t>
            </w:r>
          </w:p>
        </w:tc>
        <w:tc>
          <w:tcPr>
            <w:tcW w:type="dxa" w:w="6520"/>
            <w:vAlign w:val="top"/>
            <w:shd w:fill="F8FAFC"/>
          </w:tcPr>
          <w:p>
            <w:pPr>
              <w:spacing w:before="0" w:after="40" w:line="252" w:lineRule="auto"/>
            </w:pPr>
            <w:r>
              <w:rPr>
                <w:rFonts w:ascii="Noto Sans" w:hAnsi="Noto Sans" w:eastAsia="Noto Sans"/>
                <w:b w:val="0"/>
                <w:i w:val="0"/>
                <w:color w:val="000000"/>
                <w:sz w:val="17"/>
              </w:rPr>
              <w:t>Client/agent che ha mediato la richiesta, solo audit/context.</w:t>
            </w:r>
          </w:p>
        </w:tc>
      </w:tr>
      <w:tr>
        <w:tc>
          <w:tcPr>
            <w:tcW w:type="dxa" w:w="2268"/>
            <w:vAlign w:val="top"/>
          </w:tcPr>
          <w:p>
            <w:pPr>
              <w:spacing w:before="0" w:after="40" w:line="252" w:lineRule="auto"/>
            </w:pPr>
            <w:r>
              <w:rPr>
                <w:rFonts w:ascii="Noto Sans" w:hAnsi="Noto Sans" w:eastAsia="Noto Sans"/>
                <w:b w:val="0"/>
                <w:i w:val="0"/>
                <w:color w:val="000000"/>
                <w:sz w:val="17"/>
              </w:rPr>
              <w:t>sessionRef</w:t>
            </w:r>
          </w:p>
        </w:tc>
        <w:tc>
          <w:tcPr>
            <w:tcW w:type="dxa" w:w="6520"/>
            <w:vAlign w:val="top"/>
          </w:tcPr>
          <w:p>
            <w:pPr>
              <w:spacing w:before="0" w:after="40" w:line="252" w:lineRule="auto"/>
            </w:pPr>
            <w:r>
              <w:rPr>
                <w:rFonts w:ascii="Noto Sans" w:hAnsi="Noto Sans" w:eastAsia="Noto Sans"/>
                <w:b w:val="0"/>
                <w:i w:val="0"/>
                <w:color w:val="000000"/>
                <w:sz w:val="17"/>
              </w:rPr>
              <w:t>Riferimento tecnico alla sessione trusted quando applicabile.</w:t>
            </w:r>
          </w:p>
        </w:tc>
      </w:tr>
      <w:tr>
        <w:tc>
          <w:tcPr>
            <w:tcW w:type="dxa" w:w="2268"/>
            <w:vAlign w:val="top"/>
            <w:shd w:fill="F8FAFC"/>
          </w:tcPr>
          <w:p>
            <w:pPr>
              <w:spacing w:before="0" w:after="40" w:line="252" w:lineRule="auto"/>
            </w:pPr>
            <w:r>
              <w:rPr>
                <w:rFonts w:ascii="Noto Sans" w:hAnsi="Noto Sans" w:eastAsia="Noto Sans"/>
                <w:b w:val="0"/>
                <w:i w:val="0"/>
                <w:color w:val="000000"/>
                <w:sz w:val="17"/>
              </w:rPr>
              <w:t>capabilityId</w:t>
            </w:r>
          </w:p>
        </w:tc>
        <w:tc>
          <w:tcPr>
            <w:tcW w:type="dxa" w:w="6520"/>
            <w:vAlign w:val="top"/>
            <w:shd w:fill="F8FAFC"/>
          </w:tcPr>
          <w:p>
            <w:pPr>
              <w:spacing w:before="0" w:after="40" w:line="252" w:lineRule="auto"/>
            </w:pPr>
            <w:r>
              <w:rPr>
                <w:rFonts w:ascii="Noto Sans" w:hAnsi="Noto Sans" w:eastAsia="Noto Sans"/>
                <w:b w:val="0"/>
                <w:i w:val="0"/>
                <w:color w:val="000000"/>
                <w:sz w:val="17"/>
              </w:rPr>
              <w:t>Capability richiesta.</w:t>
            </w:r>
          </w:p>
        </w:tc>
      </w:tr>
      <w:tr>
        <w:tc>
          <w:tcPr>
            <w:tcW w:type="dxa" w:w="2268"/>
            <w:vAlign w:val="top"/>
          </w:tcPr>
          <w:p>
            <w:pPr>
              <w:spacing w:before="0" w:after="40" w:line="252" w:lineRule="auto"/>
            </w:pPr>
            <w:r>
              <w:rPr>
                <w:rFonts w:ascii="Noto Sans" w:hAnsi="Noto Sans" w:eastAsia="Noto Sans"/>
                <w:b w:val="0"/>
                <w:i w:val="0"/>
                <w:color w:val="000000"/>
                <w:sz w:val="17"/>
              </w:rPr>
              <w:t>policyVersion</w:t>
            </w:r>
          </w:p>
        </w:tc>
        <w:tc>
          <w:tcPr>
            <w:tcW w:type="dxa" w:w="6520"/>
            <w:vAlign w:val="top"/>
          </w:tcPr>
          <w:p>
            <w:pPr>
              <w:spacing w:before="0" w:after="40" w:line="252" w:lineRule="auto"/>
            </w:pPr>
            <w:r>
              <w:rPr>
                <w:rFonts w:ascii="Noto Sans" w:hAnsi="Noto Sans" w:eastAsia="Noto Sans"/>
                <w:b w:val="0"/>
                <w:i w:val="0"/>
                <w:color w:val="000000"/>
                <w:sz w:val="17"/>
              </w:rPr>
              <w:t>Versione della policy usata per la decisione.</w:t>
            </w:r>
          </w:p>
        </w:tc>
      </w:tr>
    </w:tbl>
    <w:p>
      <w:pPr>
        <w:spacing w:after="40"/>
      </w:pPr>
    </w:p>
    <w:p>
      <w:pPr>
        <w:pStyle w:val="Heading2"/>
        <w:keepNext/>
      </w:pPr>
      <w:r>
        <w:rPr>
          <w:rFonts w:ascii="Noto Sans" w:hAnsi="Noto Sans" w:eastAsia="Noto Sans"/>
        </w:rPr>
        <w:t>12.3 MCP tool eligibility</w:t>
      </w:r>
    </w:p>
    <w:p>
      <w:pPr>
        <w:spacing w:before="0" w:after="120" w:line="276" w:lineRule="auto"/>
      </w:pPr>
      <w:r>
        <w:rPr>
          <w:rFonts w:ascii="Noto Sans" w:hAnsi="Noto Sans" w:eastAsia="Noto Sans"/>
          <w:b w:val="0"/>
          <w:i w:val="0"/>
          <w:color w:val="000000"/>
          <w:sz w:val="18"/>
        </w:rPr>
        <w:t>L’Authorization specification introduce il flag toolEligibility come metadato della capability, ma la decisione finale di esposizione nel MCP manifest appartiene al MCP Server. Le capability approve/publish/activate human-only non sono tool-eligible nella baseline.</w:t>
      </w:r>
    </w:p>
    <w:p>
      <w:r>
        <w:rPr>
          <w:rFonts w:ascii="Noto Sans" w:hAnsi="Noto Sans" w:eastAsia="Noto Sans"/>
        </w:rPr>
      </w:r>
    </w:p>
    <w:p>
      <w:pPr>
        <w:pStyle w:val="Heading1"/>
        <w:keepNext/>
      </w:pPr>
      <w:r>
        <w:rPr>
          <w:rFonts w:ascii="Noto Sans" w:hAnsi="Noto Sans" w:eastAsia="Noto Sans"/>
        </w:rPr>
        <w:t>13. Lifecycle, governance e versioning delle policy</w:t>
      </w:r>
    </w:p>
    <w:p>
      <w:pPr>
        <w:pStyle w:val="CodeBlock"/>
        <w:shd w:fill="F2F2F2"/>
      </w:pPr>
      <w:r>
        <w:rPr>
          <w:rFonts w:ascii="DejaVu Sans Mono" w:hAnsi="DejaVu Sans Mono" w:eastAsia="DejaVu Sans Mono"/>
          <w:b w:val="0"/>
          <w:i w:val="0"/>
          <w:color w:val="000000"/>
          <w:sz w:val="17"/>
        </w:rPr>
        <w:t>DRAFT</w:t>
      </w:r>
    </w:p>
    <w:p>
      <w:pPr>
        <w:pStyle w:val="CodeBlock"/>
        <w:shd w:fill="F2F2F2"/>
      </w:pPr>
      <w:r>
        <w:rPr>
          <w:rFonts w:ascii="DejaVu Sans Mono" w:hAnsi="DejaVu Sans Mono" w:eastAsia="DejaVu Sans Mono"/>
          <w:b w:val="0"/>
          <w:i w:val="0"/>
          <w:color w:val="000000"/>
          <w:sz w:val="17"/>
        </w:rPr>
        <w:t xml:space="preserve">  ↓ submit</w:t>
      </w:r>
    </w:p>
    <w:p>
      <w:pPr>
        <w:pStyle w:val="CodeBlock"/>
        <w:shd w:fill="F2F2F2"/>
      </w:pPr>
      <w:r>
        <w:rPr>
          <w:rFonts w:ascii="DejaVu Sans Mono" w:hAnsi="DejaVu Sans Mono" w:eastAsia="DejaVu Sans Mono"/>
          <w:b w:val="0"/>
          <w:i w:val="0"/>
          <w:color w:val="000000"/>
          <w:sz w:val="17"/>
        </w:rPr>
        <w:t>IN_REVIEW</w:t>
      </w:r>
    </w:p>
    <w:p>
      <w:pPr>
        <w:pStyle w:val="CodeBlock"/>
        <w:shd w:fill="F2F2F2"/>
      </w:pPr>
      <w:r>
        <w:rPr>
          <w:rFonts w:ascii="DejaVu Sans Mono" w:hAnsi="DejaVu Sans Mono" w:eastAsia="DejaVu Sans Mono"/>
          <w:b w:val="0"/>
          <w:i w:val="0"/>
          <w:color w:val="000000"/>
          <w:sz w:val="17"/>
        </w:rPr>
        <w:t xml:space="preserve">  ├─ reject → DRAFT</w:t>
      </w:r>
    </w:p>
    <w:p>
      <w:pPr>
        <w:pStyle w:val="CodeBlock"/>
        <w:shd w:fill="F2F2F2"/>
      </w:pPr>
      <w:r>
        <w:rPr>
          <w:rFonts w:ascii="DejaVu Sans Mono" w:hAnsi="DejaVu Sans Mono" w:eastAsia="DejaVu Sans Mono"/>
          <w:b w:val="0"/>
          <w:i w:val="0"/>
          <w:color w:val="000000"/>
          <w:sz w:val="17"/>
        </w:rPr>
        <w:t xml:space="preserve">  └─ approve → APPROVED</w:t>
      </w:r>
    </w:p>
    <w:p>
      <w:pPr>
        <w:pStyle w:val="CodeBlock"/>
        <w:shd w:fill="F2F2F2"/>
      </w:pPr>
      <w:r>
        <w:rPr>
          <w:rFonts w:ascii="DejaVu Sans Mono" w:hAnsi="DejaVu Sans Mono" w:eastAsia="DejaVu Sans Mono"/>
          <w:b w:val="0"/>
          <w:i w:val="0"/>
          <w:color w:val="000000"/>
          <w:sz w:val="17"/>
        </w:rPr>
        <w:t xml:space="preserve">                 ↓ publish</w:t>
      </w:r>
    </w:p>
    <w:p>
      <w:pPr>
        <w:pStyle w:val="CodeBlock"/>
        <w:shd w:fill="F2F2F2"/>
      </w:pPr>
      <w:r>
        <w:rPr>
          <w:rFonts w:ascii="DejaVu Sans Mono" w:hAnsi="DejaVu Sans Mono" w:eastAsia="DejaVu Sans Mono"/>
          <w:b w:val="0"/>
          <w:i w:val="0"/>
          <w:color w:val="000000"/>
          <w:sz w:val="17"/>
        </w:rPr>
        <w:t xml:space="preserve">               ACTIVE</w:t>
      </w:r>
    </w:p>
    <w:p>
      <w:pPr>
        <w:pStyle w:val="CodeBlock"/>
        <w:shd w:fill="F2F2F2"/>
      </w:pPr>
      <w:r>
        <w:rPr>
          <w:rFonts w:ascii="DejaVu Sans Mono" w:hAnsi="DejaVu Sans Mono" w:eastAsia="DejaVu Sans Mono"/>
          <w:b w:val="0"/>
          <w:i w:val="0"/>
          <w:color w:val="000000"/>
          <w:sz w:val="17"/>
        </w:rPr>
        <w:t xml:space="preserve">                 ↓</w:t>
      </w:r>
    </w:p>
    <w:p>
      <w:pPr>
        <w:pStyle w:val="CodeBlock"/>
        <w:shd w:fill="F2F2F2"/>
      </w:pPr>
      <w:r>
        <w:rPr>
          <w:rFonts w:ascii="DejaVu Sans Mono" w:hAnsi="DejaVu Sans Mono" w:eastAsia="DejaVu Sans Mono"/>
          <w:b w:val="0"/>
          <w:i w:val="0"/>
          <w:color w:val="000000"/>
          <w:sz w:val="17"/>
        </w:rPr>
        <w:t xml:space="preserve">             SUPERSEDED / REVOKED</w:t>
      </w:r>
    </w:p>
    <w:p>
      <w:pPr>
        <w:pStyle w:val="Heading2"/>
        <w:keepNext/>
      </w:pPr>
      <w:r>
        <w:rPr>
          <w:rFonts w:ascii="Noto Sans" w:hAnsi="Noto Sans" w:eastAsia="Noto Sans"/>
        </w:rPr>
        <w:t>13.1 Regole</w:t>
      </w:r>
    </w:p>
    <w:tbl>
      <w:tblPr>
        <w:tblStyle w:val="TableGrid"/>
        <w:tblW w:type="auto" w:w="0"/>
        <w:jc w:val="center"/>
        <w:tblLayout w:type="fixed"/>
        <w:tblLook w:firstColumn="1" w:firstRow="1" w:lastColumn="0" w:lastRow="0" w:noHBand="0" w:noVBand="1" w:val="04A0"/>
      </w:tblPr>
      <w:tblGrid>
        <w:gridCol w:w="1701"/>
        <w:gridCol w:w="1701"/>
        <w:gridCol w:w="2268"/>
        <w:gridCol w:w="3118"/>
      </w:tblGrid>
      <w:tr>
        <w:trPr>
          <w:tblHeader w:val="true"/>
          <w:tblHeader w:val="true"/>
        </w:trPr>
        <w:tc>
          <w:tcPr>
            <w:tcW w:type="dxa" w:w="2351"/>
            <w:shd w:fill="0B4F6C"/>
            <w:vAlign w:val="center"/>
          </w:tcPr>
          <w:p>
            <w:pPr>
              <w:spacing w:before="0" w:after="40" w:line="240" w:lineRule="auto"/>
              <w:jc w:val="left"/>
            </w:pPr>
            <w:r>
              <w:rPr>
                <w:rFonts w:ascii="Noto Sans" w:hAnsi="Noto Sans" w:eastAsia="Noto Sans"/>
                <w:b/>
                <w:i w:val="0"/>
                <w:color w:val="FFFFFF"/>
                <w:sz w:val="17"/>
              </w:rPr>
              <w:t>Stato</w:t>
            </w:r>
          </w:p>
        </w:tc>
        <w:tc>
          <w:tcPr>
            <w:tcW w:type="dxa" w:w="2351"/>
            <w:shd w:fill="0B4F6C"/>
            <w:vAlign w:val="center"/>
          </w:tcPr>
          <w:p>
            <w:pPr>
              <w:spacing w:before="0" w:after="40" w:line="240" w:lineRule="auto"/>
              <w:jc w:val="left"/>
            </w:pPr>
            <w:r>
              <w:rPr>
                <w:rFonts w:ascii="Noto Sans" w:hAnsi="Noto Sans" w:eastAsia="Noto Sans"/>
                <w:b/>
                <w:i w:val="0"/>
                <w:color w:val="FFFFFF"/>
                <w:sz w:val="17"/>
              </w:rPr>
              <w:t>Modificabile</w:t>
            </w:r>
          </w:p>
        </w:tc>
        <w:tc>
          <w:tcPr>
            <w:tcW w:type="dxa" w:w="2351"/>
            <w:shd w:fill="0B4F6C"/>
            <w:vAlign w:val="center"/>
          </w:tcPr>
          <w:p>
            <w:pPr>
              <w:spacing w:before="0" w:after="40" w:line="240" w:lineRule="auto"/>
              <w:jc w:val="left"/>
            </w:pPr>
            <w:r>
              <w:rPr>
                <w:rFonts w:ascii="Noto Sans" w:hAnsi="Noto Sans" w:eastAsia="Noto Sans"/>
                <w:b/>
                <w:i w:val="0"/>
                <w:color w:val="FFFFFF"/>
                <w:sz w:val="17"/>
              </w:rPr>
              <w:t>Usabile per enforcement</w:t>
            </w:r>
          </w:p>
        </w:tc>
        <w:tc>
          <w:tcPr>
            <w:tcW w:type="dxa" w:w="2351"/>
            <w:shd w:fill="0B4F6C"/>
            <w:vAlign w:val="center"/>
          </w:tcPr>
          <w:p>
            <w:pPr>
              <w:spacing w:before="0" w:after="40" w:line="240" w:lineRule="auto"/>
              <w:jc w:val="left"/>
            </w:pPr>
            <w:r>
              <w:rPr>
                <w:rFonts w:ascii="Noto Sans" w:hAnsi="Noto Sans" w:eastAsia="Noto Sans"/>
                <w:b/>
                <w:i w:val="0"/>
                <w:color w:val="FFFFFF"/>
                <w:sz w:val="17"/>
              </w:rPr>
              <w:t>Note</w:t>
            </w:r>
          </w:p>
        </w:tc>
      </w:tr>
      <w:tr>
        <w:tc>
          <w:tcPr>
            <w:tcW w:type="dxa" w:w="1701"/>
            <w:vAlign w:val="top"/>
            <w:shd w:fill="F8FAFC"/>
          </w:tcPr>
          <w:p>
            <w:pPr>
              <w:spacing w:before="0" w:after="40" w:line="252" w:lineRule="auto"/>
            </w:pPr>
            <w:r>
              <w:rPr>
                <w:rFonts w:ascii="Noto Sans" w:hAnsi="Noto Sans" w:eastAsia="Noto Sans"/>
                <w:b w:val="0"/>
                <w:i w:val="0"/>
                <w:color w:val="000000"/>
                <w:sz w:val="17"/>
              </w:rPr>
              <w:t>DRAFT</w:t>
            </w:r>
          </w:p>
        </w:tc>
        <w:tc>
          <w:tcPr>
            <w:tcW w:type="dxa" w:w="1701"/>
            <w:vAlign w:val="top"/>
            <w:shd w:fill="F8FAFC"/>
          </w:tcPr>
          <w:p>
            <w:pPr>
              <w:spacing w:before="0" w:after="40" w:line="252" w:lineRule="auto"/>
            </w:pPr>
            <w:r>
              <w:rPr>
                <w:rFonts w:ascii="Noto Sans" w:hAnsi="Noto Sans" w:eastAsia="Noto Sans"/>
                <w:b w:val="0"/>
                <w:i w:val="0"/>
                <w:color w:val="000000"/>
                <w:sz w:val="17"/>
              </w:rPr>
              <w:t>Sì</w:t>
            </w:r>
          </w:p>
        </w:tc>
        <w:tc>
          <w:tcPr>
            <w:tcW w:type="dxa" w:w="2268"/>
            <w:vAlign w:val="top"/>
            <w:shd w:fill="F8FAFC"/>
          </w:tcPr>
          <w:p>
            <w:pPr>
              <w:spacing w:before="0" w:after="40" w:line="252" w:lineRule="auto"/>
            </w:pPr>
            <w:r>
              <w:rPr>
                <w:rFonts w:ascii="Noto Sans" w:hAnsi="Noto Sans" w:eastAsia="Noto Sans"/>
                <w:b w:val="0"/>
                <w:i w:val="0"/>
                <w:color w:val="000000"/>
                <w:sz w:val="17"/>
              </w:rPr>
              <w:t>No</w:t>
            </w:r>
          </w:p>
        </w:tc>
        <w:tc>
          <w:tcPr>
            <w:tcW w:type="dxa" w:w="3118"/>
            <w:vAlign w:val="top"/>
            <w:shd w:fill="F8FAFC"/>
          </w:tcPr>
          <w:p>
            <w:pPr>
              <w:spacing w:before="0" w:after="40" w:line="252" w:lineRule="auto"/>
            </w:pPr>
            <w:r>
              <w:rPr>
                <w:rFonts w:ascii="Noto Sans" w:hAnsi="Noto Sans" w:eastAsia="Noto Sans"/>
                <w:b w:val="0"/>
                <w:i w:val="0"/>
                <w:color w:val="000000"/>
                <w:sz w:val="17"/>
              </w:rPr>
              <w:t>Lavoro editoriale.</w:t>
            </w:r>
          </w:p>
        </w:tc>
      </w:tr>
      <w:tr>
        <w:tc>
          <w:tcPr>
            <w:tcW w:type="dxa" w:w="1701"/>
            <w:vAlign w:val="top"/>
          </w:tcPr>
          <w:p>
            <w:pPr>
              <w:spacing w:before="0" w:after="40" w:line="252" w:lineRule="auto"/>
            </w:pPr>
            <w:r>
              <w:rPr>
                <w:rFonts w:ascii="Noto Sans" w:hAnsi="Noto Sans" w:eastAsia="Noto Sans"/>
                <w:b w:val="0"/>
                <w:i w:val="0"/>
                <w:color w:val="000000"/>
                <w:sz w:val="17"/>
              </w:rPr>
              <w:t>IN_REVIEW</w:t>
            </w:r>
          </w:p>
        </w:tc>
        <w:tc>
          <w:tcPr>
            <w:tcW w:type="dxa" w:w="1701"/>
            <w:vAlign w:val="top"/>
          </w:tcPr>
          <w:p>
            <w:pPr>
              <w:spacing w:before="0" w:after="40" w:line="252" w:lineRule="auto"/>
            </w:pPr>
            <w:r>
              <w:rPr>
                <w:rFonts w:ascii="Noto Sans" w:hAnsi="Noto Sans" w:eastAsia="Noto Sans"/>
                <w:b w:val="0"/>
                <w:i w:val="0"/>
                <w:color w:val="000000"/>
                <w:sz w:val="17"/>
              </w:rPr>
              <w:t>Solo ritorno controllato</w:t>
            </w:r>
          </w:p>
        </w:tc>
        <w:tc>
          <w:tcPr>
            <w:tcW w:type="dxa" w:w="2268"/>
            <w:vAlign w:val="top"/>
          </w:tcPr>
          <w:p>
            <w:pPr>
              <w:spacing w:before="0" w:after="40" w:line="252" w:lineRule="auto"/>
            </w:pPr>
            <w:r>
              <w:rPr>
                <w:rFonts w:ascii="Noto Sans" w:hAnsi="Noto Sans" w:eastAsia="Noto Sans"/>
                <w:b w:val="0"/>
                <w:i w:val="0"/>
                <w:color w:val="000000"/>
                <w:sz w:val="17"/>
              </w:rPr>
              <w:t>No</w:t>
            </w:r>
          </w:p>
        </w:tc>
        <w:tc>
          <w:tcPr>
            <w:tcW w:type="dxa" w:w="3118"/>
            <w:vAlign w:val="top"/>
          </w:tcPr>
          <w:p>
            <w:pPr>
              <w:spacing w:before="0" w:after="40" w:line="252" w:lineRule="auto"/>
            </w:pPr>
            <w:r>
              <w:rPr>
                <w:rFonts w:ascii="Noto Sans" w:hAnsi="Noto Sans" w:eastAsia="Noto Sans"/>
                <w:b w:val="0"/>
                <w:i w:val="0"/>
                <w:color w:val="000000"/>
                <w:sz w:val="17"/>
              </w:rPr>
              <w:t>Frozen per review.</w:t>
            </w:r>
          </w:p>
        </w:tc>
      </w:tr>
      <w:tr>
        <w:tc>
          <w:tcPr>
            <w:tcW w:type="dxa" w:w="1701"/>
            <w:vAlign w:val="top"/>
            <w:shd w:fill="F8FAFC"/>
          </w:tcPr>
          <w:p>
            <w:pPr>
              <w:spacing w:before="0" w:after="40" w:line="252" w:lineRule="auto"/>
            </w:pPr>
            <w:r>
              <w:rPr>
                <w:rFonts w:ascii="Noto Sans" w:hAnsi="Noto Sans" w:eastAsia="Noto Sans"/>
                <w:b w:val="0"/>
                <w:i w:val="0"/>
                <w:color w:val="000000"/>
                <w:sz w:val="17"/>
              </w:rPr>
              <w:t>APPROVED</w:t>
            </w:r>
          </w:p>
        </w:tc>
        <w:tc>
          <w:tcPr>
            <w:tcW w:type="dxa" w:w="1701"/>
            <w:vAlign w:val="top"/>
            <w:shd w:fill="F8FAFC"/>
          </w:tcPr>
          <w:p>
            <w:pPr>
              <w:spacing w:before="0" w:after="40" w:line="252" w:lineRule="auto"/>
            </w:pPr>
            <w:r>
              <w:rPr>
                <w:rFonts w:ascii="Noto Sans" w:hAnsi="Noto Sans" w:eastAsia="Noto Sans"/>
                <w:b w:val="0"/>
                <w:i w:val="0"/>
                <w:color w:val="000000"/>
                <w:sz w:val="17"/>
              </w:rPr>
              <w:t>No</w:t>
            </w:r>
          </w:p>
        </w:tc>
        <w:tc>
          <w:tcPr>
            <w:tcW w:type="dxa" w:w="2268"/>
            <w:vAlign w:val="top"/>
            <w:shd w:fill="F8FAFC"/>
          </w:tcPr>
          <w:p>
            <w:pPr>
              <w:spacing w:before="0" w:after="40" w:line="252" w:lineRule="auto"/>
            </w:pPr>
            <w:r>
              <w:rPr>
                <w:rFonts w:ascii="Noto Sans" w:hAnsi="Noto Sans" w:eastAsia="Noto Sans"/>
                <w:b w:val="0"/>
                <w:i w:val="0"/>
                <w:color w:val="000000"/>
                <w:sz w:val="17"/>
              </w:rPr>
              <w:t>No</w:t>
            </w:r>
          </w:p>
        </w:tc>
        <w:tc>
          <w:tcPr>
            <w:tcW w:type="dxa" w:w="3118"/>
            <w:vAlign w:val="top"/>
            <w:shd w:fill="F8FAFC"/>
          </w:tcPr>
          <w:p>
            <w:pPr>
              <w:spacing w:before="0" w:after="40" w:line="252" w:lineRule="auto"/>
            </w:pPr>
            <w:r>
              <w:rPr>
                <w:rFonts w:ascii="Noto Sans" w:hAnsi="Noto Sans" w:eastAsia="Noto Sans"/>
                <w:b w:val="0"/>
                <w:i w:val="0"/>
                <w:color w:val="000000"/>
                <w:sz w:val="17"/>
              </w:rPr>
              <w:t>Pronta alla pubblicazione.</w:t>
            </w:r>
          </w:p>
        </w:tc>
      </w:tr>
      <w:tr>
        <w:tc>
          <w:tcPr>
            <w:tcW w:type="dxa" w:w="1701"/>
            <w:vAlign w:val="top"/>
          </w:tcPr>
          <w:p>
            <w:pPr>
              <w:spacing w:before="0" w:after="40" w:line="252" w:lineRule="auto"/>
            </w:pPr>
            <w:r>
              <w:rPr>
                <w:rFonts w:ascii="Noto Sans" w:hAnsi="Noto Sans" w:eastAsia="Noto Sans"/>
                <w:b w:val="0"/>
                <w:i w:val="0"/>
                <w:color w:val="000000"/>
                <w:sz w:val="17"/>
              </w:rPr>
              <w:t>ACTIVE</w:t>
            </w:r>
          </w:p>
        </w:tc>
        <w:tc>
          <w:tcPr>
            <w:tcW w:type="dxa" w:w="1701"/>
            <w:vAlign w:val="top"/>
          </w:tcPr>
          <w:p>
            <w:pPr>
              <w:spacing w:before="0" w:after="40" w:line="252" w:lineRule="auto"/>
            </w:pPr>
            <w:r>
              <w:rPr>
                <w:rFonts w:ascii="Noto Sans" w:hAnsi="Noto Sans" w:eastAsia="Noto Sans"/>
                <w:b w:val="0"/>
                <w:i w:val="0"/>
                <w:color w:val="000000"/>
                <w:sz w:val="17"/>
              </w:rPr>
              <w:t>No</w:t>
            </w:r>
          </w:p>
        </w:tc>
        <w:tc>
          <w:tcPr>
            <w:tcW w:type="dxa" w:w="2268"/>
            <w:vAlign w:val="top"/>
          </w:tcPr>
          <w:p>
            <w:pPr>
              <w:spacing w:before="0" w:after="40" w:line="252" w:lineRule="auto"/>
            </w:pPr>
            <w:r>
              <w:rPr>
                <w:rFonts w:ascii="Noto Sans" w:hAnsi="Noto Sans" w:eastAsia="Noto Sans"/>
                <w:b w:val="0"/>
                <w:i w:val="0"/>
                <w:color w:val="000000"/>
                <w:sz w:val="17"/>
              </w:rPr>
              <w:t>Sì</w:t>
            </w:r>
          </w:p>
        </w:tc>
        <w:tc>
          <w:tcPr>
            <w:tcW w:type="dxa" w:w="3118"/>
            <w:vAlign w:val="top"/>
          </w:tcPr>
          <w:p>
            <w:pPr>
              <w:spacing w:before="0" w:after="40" w:line="252" w:lineRule="auto"/>
            </w:pPr>
            <w:r>
              <w:rPr>
                <w:rFonts w:ascii="Noto Sans" w:hAnsi="Noto Sans" w:eastAsia="Noto Sans"/>
                <w:b w:val="0"/>
                <w:i w:val="0"/>
                <w:color w:val="000000"/>
                <w:sz w:val="17"/>
              </w:rPr>
              <w:t>Versione ufficiale.</w:t>
            </w:r>
          </w:p>
        </w:tc>
      </w:tr>
      <w:tr>
        <w:tc>
          <w:tcPr>
            <w:tcW w:type="dxa" w:w="1701"/>
            <w:vAlign w:val="top"/>
            <w:shd w:fill="F8FAFC"/>
          </w:tcPr>
          <w:p>
            <w:pPr>
              <w:spacing w:before="0" w:after="40" w:line="252" w:lineRule="auto"/>
            </w:pPr>
            <w:r>
              <w:rPr>
                <w:rFonts w:ascii="Noto Sans" w:hAnsi="Noto Sans" w:eastAsia="Noto Sans"/>
                <w:b w:val="0"/>
                <w:i w:val="0"/>
                <w:color w:val="000000"/>
                <w:sz w:val="17"/>
              </w:rPr>
              <w:t>SUPERSEDED</w:t>
            </w:r>
          </w:p>
        </w:tc>
        <w:tc>
          <w:tcPr>
            <w:tcW w:type="dxa" w:w="1701"/>
            <w:vAlign w:val="top"/>
            <w:shd w:fill="F8FAFC"/>
          </w:tcPr>
          <w:p>
            <w:pPr>
              <w:spacing w:before="0" w:after="40" w:line="252" w:lineRule="auto"/>
            </w:pPr>
            <w:r>
              <w:rPr>
                <w:rFonts w:ascii="Noto Sans" w:hAnsi="Noto Sans" w:eastAsia="Noto Sans"/>
                <w:b w:val="0"/>
                <w:i w:val="0"/>
                <w:color w:val="000000"/>
                <w:sz w:val="17"/>
              </w:rPr>
              <w:t>No</w:t>
            </w:r>
          </w:p>
        </w:tc>
        <w:tc>
          <w:tcPr>
            <w:tcW w:type="dxa" w:w="2268"/>
            <w:vAlign w:val="top"/>
            <w:shd w:fill="F8FAFC"/>
          </w:tcPr>
          <w:p>
            <w:pPr>
              <w:spacing w:before="0" w:after="40" w:line="252" w:lineRule="auto"/>
            </w:pPr>
            <w:r>
              <w:rPr>
                <w:rFonts w:ascii="Noto Sans" w:hAnsi="Noto Sans" w:eastAsia="Noto Sans"/>
                <w:b w:val="0"/>
                <w:i w:val="0"/>
                <w:color w:val="000000"/>
                <w:sz w:val="17"/>
              </w:rPr>
              <w:t>Solo storico</w:t>
            </w:r>
          </w:p>
        </w:tc>
        <w:tc>
          <w:tcPr>
            <w:tcW w:type="dxa" w:w="3118"/>
            <w:vAlign w:val="top"/>
            <w:shd w:fill="F8FAFC"/>
          </w:tcPr>
          <w:p>
            <w:pPr>
              <w:spacing w:before="0" w:after="40" w:line="252" w:lineRule="auto"/>
            </w:pPr>
            <w:r>
              <w:rPr>
                <w:rFonts w:ascii="Noto Sans" w:hAnsi="Noto Sans" w:eastAsia="Noto Sans"/>
                <w:b w:val="0"/>
                <w:i w:val="0"/>
                <w:color w:val="000000"/>
                <w:sz w:val="17"/>
              </w:rPr>
              <w:t>Sostituita da nuova ACTIVE.</w:t>
            </w:r>
          </w:p>
        </w:tc>
      </w:tr>
      <w:tr>
        <w:tc>
          <w:tcPr>
            <w:tcW w:type="dxa" w:w="1701"/>
            <w:vAlign w:val="top"/>
          </w:tcPr>
          <w:p>
            <w:pPr>
              <w:spacing w:before="0" w:after="40" w:line="252" w:lineRule="auto"/>
            </w:pPr>
            <w:r>
              <w:rPr>
                <w:rFonts w:ascii="Noto Sans" w:hAnsi="Noto Sans" w:eastAsia="Noto Sans"/>
                <w:b w:val="0"/>
                <w:i w:val="0"/>
                <w:color w:val="000000"/>
                <w:sz w:val="17"/>
              </w:rPr>
              <w:t>REVOKED</w:t>
            </w:r>
          </w:p>
        </w:tc>
        <w:tc>
          <w:tcPr>
            <w:tcW w:type="dxa" w:w="1701"/>
            <w:vAlign w:val="top"/>
          </w:tcPr>
          <w:p>
            <w:pPr>
              <w:spacing w:before="0" w:after="40" w:line="252" w:lineRule="auto"/>
            </w:pPr>
            <w:r>
              <w:rPr>
                <w:rFonts w:ascii="Noto Sans" w:hAnsi="Noto Sans" w:eastAsia="Noto Sans"/>
                <w:b w:val="0"/>
                <w:i w:val="0"/>
                <w:color w:val="000000"/>
                <w:sz w:val="17"/>
              </w:rPr>
              <w:t>No</w:t>
            </w:r>
          </w:p>
        </w:tc>
        <w:tc>
          <w:tcPr>
            <w:tcW w:type="dxa" w:w="2268"/>
            <w:vAlign w:val="top"/>
          </w:tcPr>
          <w:p>
            <w:pPr>
              <w:spacing w:before="0" w:after="40" w:line="252" w:lineRule="auto"/>
            </w:pPr>
            <w:r>
              <w:rPr>
                <w:rFonts w:ascii="Noto Sans" w:hAnsi="Noto Sans" w:eastAsia="Noto Sans"/>
                <w:b w:val="0"/>
                <w:i w:val="0"/>
                <w:color w:val="000000"/>
                <w:sz w:val="17"/>
              </w:rPr>
              <w:t>No</w:t>
            </w:r>
          </w:p>
        </w:tc>
        <w:tc>
          <w:tcPr>
            <w:tcW w:type="dxa" w:w="3118"/>
            <w:vAlign w:val="top"/>
          </w:tcPr>
          <w:p>
            <w:pPr>
              <w:spacing w:before="0" w:after="40" w:line="252" w:lineRule="auto"/>
            </w:pPr>
            <w:r>
              <w:rPr>
                <w:rFonts w:ascii="Noto Sans" w:hAnsi="Noto Sans" w:eastAsia="Noto Sans"/>
                <w:b w:val="0"/>
                <w:i w:val="0"/>
                <w:color w:val="000000"/>
                <w:sz w:val="17"/>
              </w:rPr>
              <w:t>Revoca urgente; fail closed verso grant revocati.</w:t>
            </w:r>
          </w:p>
        </w:tc>
      </w:tr>
    </w:tbl>
    <w:p>
      <w:pPr>
        <w:spacing w:after="40"/>
      </w:pPr>
    </w:p>
    <w:p>
      <w:pPr>
        <w:pStyle w:val="Heading2"/>
        <w:keepNext/>
      </w:pPr>
      <w:r>
        <w:rPr>
          <w:rFonts w:ascii="Noto Sans" w:hAnsi="Noto Sans" w:eastAsia="Noto Sans"/>
        </w:rPr>
        <w:t>13.2 Cambio ruolo esterno vs cambio policy OUF</w:t>
      </w:r>
    </w:p>
    <w:p>
      <w:pPr>
        <w:spacing w:before="0" w:after="120" w:line="276" w:lineRule="auto"/>
      </w:pPr>
      <w:r>
        <w:rPr>
          <w:rFonts w:ascii="Noto Sans" w:hAnsi="Noto Sans" w:eastAsia="Noto Sans"/>
          <w:b w:val="0"/>
          <w:i w:val="0"/>
          <w:color w:val="000000"/>
          <w:sz w:val="18"/>
        </w:rPr>
        <w:t>La modifica di un ruolo dell’utente nell’IAM centrale non richiede nuova versione delle policy OUF: cambia il subject context al rinnovo/lookup. La modifica della mappatura tra ruolo e capability è invece una modifica della policy OUF e segue il lifecycle sopra definito.</w:t>
      </w:r>
    </w:p>
    <w:p>
      <w:r>
        <w:rPr>
          <w:rFonts w:ascii="Noto Sans" w:hAnsi="Noto Sans" w:eastAsia="Noto Sans"/>
        </w:rPr>
      </w:r>
    </w:p>
    <w:p>
      <w:pPr>
        <w:pStyle w:val="Heading1"/>
        <w:keepNext/>
      </w:pPr>
      <w:r>
        <w:rPr>
          <w:rFonts w:ascii="Noto Sans" w:hAnsi="Noto Sans" w:eastAsia="Noto Sans"/>
        </w:rPr>
        <w:t>14. Contratto API Authorization Policy Registry</w:t>
      </w:r>
    </w:p>
    <w:p>
      <w:pPr>
        <w:spacing w:before="0" w:after="120" w:line="276" w:lineRule="auto"/>
      </w:pPr>
      <w:r>
        <w:rPr>
          <w:rFonts w:ascii="Noto Sans" w:hAnsi="Noto Sans" w:eastAsia="Noto Sans"/>
          <w:b w:val="0"/>
          <w:i w:val="0"/>
          <w:color w:val="000000"/>
          <w:sz w:val="18"/>
        </w:rPr>
        <w:t>Le API sono esposte tramite Urban API Gateway. Nella baseline fisica sono implementate dal deployable Source Onboarding &amp; Configuration, ma usano un prefisso e package separati per mantenere il confine logico.</w:t>
      </w:r>
    </w:p>
    <w:p>
      <w:pPr>
        <w:spacing w:before="0" w:after="120" w:line="276" w:lineRule="auto"/>
      </w:pPr>
      <w:r>
        <w:rPr>
          <w:rFonts w:ascii="Noto Sans" w:hAnsi="Noto Sans" w:eastAsia="Noto Sans"/>
          <w:b w:val="0"/>
          <w:i w:val="0"/>
          <w:color w:val="000000"/>
          <w:sz w:val="18"/>
        </w:rPr>
        <w:t>Prefisso baseline: /api/authz/v1</w:t>
      </w:r>
    </w:p>
    <w:tbl>
      <w:tblPr>
        <w:tblStyle w:val="TableGrid"/>
        <w:tblW w:type="auto" w:w="0"/>
        <w:jc w:val="center"/>
        <w:tblLayout w:type="fixed"/>
        <w:tblLook w:firstColumn="1" w:firstRow="1" w:lastColumn="0" w:lastRow="0" w:noHBand="0" w:noVBand="1" w:val="04A0"/>
      </w:tblPr>
      <w:tblGrid>
        <w:gridCol w:w="964"/>
        <w:gridCol w:w="3118"/>
        <w:gridCol w:w="2721"/>
        <w:gridCol w:w="1984"/>
      </w:tblGrid>
      <w:tr>
        <w:trPr>
          <w:tblHeader w:val="true"/>
          <w:tblHeader w:val="true"/>
        </w:trPr>
        <w:tc>
          <w:tcPr>
            <w:tcW w:type="dxa" w:w="2351"/>
            <w:shd w:fill="0B4F6C"/>
            <w:vAlign w:val="center"/>
          </w:tcPr>
          <w:p>
            <w:pPr>
              <w:spacing w:before="0" w:after="40" w:line="240" w:lineRule="auto"/>
              <w:jc w:val="left"/>
            </w:pPr>
            <w:r>
              <w:rPr>
                <w:rFonts w:ascii="Noto Sans" w:hAnsi="Noto Sans" w:eastAsia="Noto Sans"/>
                <w:b/>
                <w:i w:val="0"/>
                <w:color w:val="FFFFFF"/>
                <w:sz w:val="17"/>
              </w:rPr>
              <w:t>Metodo</w:t>
            </w:r>
          </w:p>
        </w:tc>
        <w:tc>
          <w:tcPr>
            <w:tcW w:type="dxa" w:w="2351"/>
            <w:shd w:fill="0B4F6C"/>
            <w:vAlign w:val="center"/>
          </w:tcPr>
          <w:p>
            <w:pPr>
              <w:spacing w:before="0" w:after="40" w:line="240" w:lineRule="auto"/>
              <w:jc w:val="left"/>
            </w:pPr>
            <w:r>
              <w:rPr>
                <w:rFonts w:ascii="Noto Sans" w:hAnsi="Noto Sans" w:eastAsia="Noto Sans"/>
                <w:b/>
                <w:i w:val="0"/>
                <w:color w:val="FFFFFF"/>
                <w:sz w:val="17"/>
              </w:rPr>
              <w:t>Path</w:t>
            </w:r>
          </w:p>
        </w:tc>
        <w:tc>
          <w:tcPr>
            <w:tcW w:type="dxa" w:w="2351"/>
            <w:shd w:fill="0B4F6C"/>
            <w:vAlign w:val="center"/>
          </w:tcPr>
          <w:p>
            <w:pPr>
              <w:spacing w:before="0" w:after="40" w:line="240" w:lineRule="auto"/>
              <w:jc w:val="left"/>
            </w:pPr>
            <w:r>
              <w:rPr>
                <w:rFonts w:ascii="Noto Sans" w:hAnsi="Noto Sans" w:eastAsia="Noto Sans"/>
                <w:b/>
                <w:i w:val="0"/>
                <w:color w:val="FFFFFF"/>
                <w:sz w:val="17"/>
              </w:rPr>
              <w:t>Capability amministrativa</w:t>
            </w:r>
          </w:p>
        </w:tc>
        <w:tc>
          <w:tcPr>
            <w:tcW w:type="dxa" w:w="2351"/>
            <w:shd w:fill="0B4F6C"/>
            <w:vAlign w:val="center"/>
          </w:tcPr>
          <w:p>
            <w:pPr>
              <w:spacing w:before="0" w:after="40" w:line="240" w:lineRule="auto"/>
              <w:jc w:val="left"/>
            </w:pPr>
            <w:r>
              <w:rPr>
                <w:rFonts w:ascii="Noto Sans" w:hAnsi="Noto Sans" w:eastAsia="Noto Sans"/>
                <w:b/>
                <w:i w:val="0"/>
                <w:color w:val="FFFFFF"/>
                <w:sz w:val="17"/>
              </w:rPr>
              <w:t>Scopo</w:t>
            </w:r>
          </w:p>
        </w:tc>
      </w:tr>
      <w:tr>
        <w:tc>
          <w:tcPr>
            <w:tcW w:type="dxa" w:w="964"/>
            <w:vAlign w:val="top"/>
            <w:shd w:fill="F8FAFC"/>
          </w:tcPr>
          <w:p>
            <w:pPr>
              <w:spacing w:before="0" w:after="40" w:line="252" w:lineRule="auto"/>
            </w:pPr>
            <w:r>
              <w:rPr>
                <w:rFonts w:ascii="Noto Sans" w:hAnsi="Noto Sans" w:eastAsia="Noto Sans"/>
                <w:b w:val="0"/>
                <w:i w:val="0"/>
                <w:color w:val="000000"/>
                <w:sz w:val="17"/>
              </w:rPr>
              <w:t>GET</w:t>
            </w:r>
          </w:p>
        </w:tc>
        <w:tc>
          <w:tcPr>
            <w:tcW w:type="dxa" w:w="3118"/>
            <w:vAlign w:val="top"/>
            <w:shd w:fill="F8FAFC"/>
          </w:tcPr>
          <w:p>
            <w:pPr>
              <w:spacing w:before="0" w:after="40" w:line="252" w:lineRule="auto"/>
            </w:pPr>
            <w:r>
              <w:rPr>
                <w:rFonts w:ascii="Noto Sans" w:hAnsi="Noto Sans" w:eastAsia="Noto Sans"/>
                <w:b w:val="0"/>
                <w:i w:val="0"/>
                <w:color w:val="000000"/>
                <w:sz w:val="17"/>
              </w:rPr>
              <w:t>/capabilities</w:t>
            </w:r>
          </w:p>
        </w:tc>
        <w:tc>
          <w:tcPr>
            <w:tcW w:type="dxa" w:w="2721"/>
            <w:vAlign w:val="top"/>
            <w:shd w:fill="F8FAFC"/>
          </w:tcPr>
          <w:p>
            <w:pPr>
              <w:spacing w:before="0" w:after="40" w:line="252" w:lineRule="auto"/>
            </w:pPr>
            <w:r>
              <w:rPr>
                <w:rFonts w:ascii="Noto Sans" w:hAnsi="Noto Sans" w:eastAsia="Noto Sans"/>
                <w:b w:val="0"/>
                <w:i w:val="0"/>
                <w:color w:val="000000"/>
                <w:sz w:val="17"/>
              </w:rPr>
              <w:t>authz.capability.read</w:t>
            </w:r>
          </w:p>
        </w:tc>
        <w:tc>
          <w:tcPr>
            <w:tcW w:type="dxa" w:w="1984"/>
            <w:vAlign w:val="top"/>
            <w:shd w:fill="F8FAFC"/>
          </w:tcPr>
          <w:p>
            <w:pPr>
              <w:spacing w:before="0" w:after="40" w:line="252" w:lineRule="auto"/>
            </w:pPr>
            <w:r>
              <w:rPr>
                <w:rFonts w:ascii="Noto Sans" w:hAnsi="Noto Sans" w:eastAsia="Noto Sans"/>
                <w:b w:val="0"/>
                <w:i w:val="0"/>
                <w:color w:val="000000"/>
                <w:sz w:val="17"/>
              </w:rPr>
              <w:t>Catalogo capability registrate.</w:t>
            </w:r>
          </w:p>
        </w:tc>
      </w:tr>
      <w:tr>
        <w:tc>
          <w:tcPr>
            <w:tcW w:type="dxa" w:w="964"/>
            <w:vAlign w:val="top"/>
          </w:tcPr>
          <w:p>
            <w:pPr>
              <w:spacing w:before="0" w:after="40" w:line="252" w:lineRule="auto"/>
            </w:pPr>
            <w:r>
              <w:rPr>
                <w:rFonts w:ascii="Noto Sans" w:hAnsi="Noto Sans" w:eastAsia="Noto Sans"/>
                <w:b w:val="0"/>
                <w:i w:val="0"/>
                <w:color w:val="000000"/>
                <w:sz w:val="17"/>
              </w:rPr>
              <w:t>POST</w:t>
            </w:r>
          </w:p>
        </w:tc>
        <w:tc>
          <w:tcPr>
            <w:tcW w:type="dxa" w:w="3118"/>
            <w:vAlign w:val="top"/>
          </w:tcPr>
          <w:p>
            <w:pPr>
              <w:spacing w:before="0" w:after="40" w:line="252" w:lineRule="auto"/>
            </w:pPr>
            <w:r>
              <w:rPr>
                <w:rFonts w:ascii="Noto Sans" w:hAnsi="Noto Sans" w:eastAsia="Noto Sans"/>
                <w:b w:val="0"/>
                <w:i w:val="0"/>
                <w:color w:val="000000"/>
                <w:sz w:val="17"/>
              </w:rPr>
              <w:t>/policies</w:t>
            </w:r>
          </w:p>
        </w:tc>
        <w:tc>
          <w:tcPr>
            <w:tcW w:type="dxa" w:w="2721"/>
            <w:vAlign w:val="top"/>
          </w:tcPr>
          <w:p>
            <w:pPr>
              <w:spacing w:before="0" w:after="40" w:line="252" w:lineRule="auto"/>
            </w:pPr>
            <w:r>
              <w:rPr>
                <w:rFonts w:ascii="Noto Sans" w:hAnsi="Noto Sans" w:eastAsia="Noto Sans"/>
                <w:b w:val="0"/>
                <w:i w:val="0"/>
                <w:color w:val="000000"/>
                <w:sz w:val="17"/>
              </w:rPr>
              <w:t>authz.policy.create</w:t>
            </w:r>
          </w:p>
        </w:tc>
        <w:tc>
          <w:tcPr>
            <w:tcW w:type="dxa" w:w="1984"/>
            <w:vAlign w:val="top"/>
          </w:tcPr>
          <w:p>
            <w:pPr>
              <w:spacing w:before="0" w:after="40" w:line="252" w:lineRule="auto"/>
            </w:pPr>
            <w:r>
              <w:rPr>
                <w:rFonts w:ascii="Noto Sans" w:hAnsi="Noto Sans" w:eastAsia="Noto Sans"/>
                <w:b w:val="0"/>
                <w:i w:val="0"/>
                <w:color w:val="000000"/>
                <w:sz w:val="17"/>
              </w:rPr>
              <w:t>Crea draft policy.</w:t>
            </w:r>
          </w:p>
        </w:tc>
      </w:tr>
      <w:tr>
        <w:tc>
          <w:tcPr>
            <w:tcW w:type="dxa" w:w="964"/>
            <w:vAlign w:val="top"/>
            <w:shd w:fill="F8FAFC"/>
          </w:tcPr>
          <w:p>
            <w:pPr>
              <w:spacing w:before="0" w:after="40" w:line="252" w:lineRule="auto"/>
            </w:pPr>
            <w:r>
              <w:rPr>
                <w:rFonts w:ascii="Noto Sans" w:hAnsi="Noto Sans" w:eastAsia="Noto Sans"/>
                <w:b w:val="0"/>
                <w:i w:val="0"/>
                <w:color w:val="000000"/>
                <w:sz w:val="17"/>
              </w:rPr>
              <w:t>GET</w:t>
            </w:r>
          </w:p>
        </w:tc>
        <w:tc>
          <w:tcPr>
            <w:tcW w:type="dxa" w:w="3118"/>
            <w:vAlign w:val="top"/>
            <w:shd w:fill="F8FAFC"/>
          </w:tcPr>
          <w:p>
            <w:pPr>
              <w:spacing w:before="0" w:after="40" w:line="252" w:lineRule="auto"/>
            </w:pPr>
            <w:r>
              <w:rPr>
                <w:rFonts w:ascii="Noto Sans" w:hAnsi="Noto Sans" w:eastAsia="Noto Sans"/>
                <w:b w:val="0"/>
                <w:i w:val="0"/>
                <w:color w:val="000000"/>
                <w:sz w:val="17"/>
              </w:rPr>
              <w:t>/policies</w:t>
            </w:r>
          </w:p>
        </w:tc>
        <w:tc>
          <w:tcPr>
            <w:tcW w:type="dxa" w:w="2721"/>
            <w:vAlign w:val="top"/>
            <w:shd w:fill="F8FAFC"/>
          </w:tcPr>
          <w:p>
            <w:pPr>
              <w:spacing w:before="0" w:after="40" w:line="252" w:lineRule="auto"/>
            </w:pPr>
            <w:r>
              <w:rPr>
                <w:rFonts w:ascii="Noto Sans" w:hAnsi="Noto Sans" w:eastAsia="Noto Sans"/>
                <w:b w:val="0"/>
                <w:i w:val="0"/>
                <w:color w:val="000000"/>
                <w:sz w:val="17"/>
              </w:rPr>
              <w:t>authz.policy.read</w:t>
            </w:r>
          </w:p>
        </w:tc>
        <w:tc>
          <w:tcPr>
            <w:tcW w:type="dxa" w:w="1984"/>
            <w:vAlign w:val="top"/>
            <w:shd w:fill="F8FAFC"/>
          </w:tcPr>
          <w:p>
            <w:pPr>
              <w:spacing w:before="0" w:after="40" w:line="252" w:lineRule="auto"/>
            </w:pPr>
            <w:r>
              <w:rPr>
                <w:rFonts w:ascii="Noto Sans" w:hAnsi="Noto Sans" w:eastAsia="Noto Sans"/>
                <w:b w:val="0"/>
                <w:i w:val="0"/>
                <w:color w:val="000000"/>
                <w:sz w:val="17"/>
              </w:rPr>
              <w:t>Ricerca/lista.</w:t>
            </w:r>
          </w:p>
        </w:tc>
      </w:tr>
      <w:tr>
        <w:tc>
          <w:tcPr>
            <w:tcW w:type="dxa" w:w="964"/>
            <w:vAlign w:val="top"/>
          </w:tcPr>
          <w:p>
            <w:pPr>
              <w:spacing w:before="0" w:after="40" w:line="252" w:lineRule="auto"/>
            </w:pPr>
            <w:r>
              <w:rPr>
                <w:rFonts w:ascii="Noto Sans" w:hAnsi="Noto Sans" w:eastAsia="Noto Sans"/>
                <w:b w:val="0"/>
                <w:i w:val="0"/>
                <w:color w:val="000000"/>
                <w:sz w:val="17"/>
              </w:rPr>
              <w:t>GET</w:t>
            </w:r>
          </w:p>
        </w:tc>
        <w:tc>
          <w:tcPr>
            <w:tcW w:type="dxa" w:w="3118"/>
            <w:vAlign w:val="top"/>
          </w:tcPr>
          <w:p>
            <w:pPr>
              <w:spacing w:before="0" w:after="40" w:line="252" w:lineRule="auto"/>
            </w:pPr>
            <w:r>
              <w:rPr>
                <w:rFonts w:ascii="Noto Sans" w:hAnsi="Noto Sans" w:eastAsia="Noto Sans"/>
                <w:b w:val="0"/>
                <w:i w:val="0"/>
                <w:color w:val="000000"/>
                <w:sz w:val="17"/>
              </w:rPr>
              <w:t>/policies/{policyId}/versions/{version}</w:t>
            </w:r>
          </w:p>
        </w:tc>
        <w:tc>
          <w:tcPr>
            <w:tcW w:type="dxa" w:w="2721"/>
            <w:vAlign w:val="top"/>
          </w:tcPr>
          <w:p>
            <w:pPr>
              <w:spacing w:before="0" w:after="40" w:line="252" w:lineRule="auto"/>
            </w:pPr>
            <w:r>
              <w:rPr>
                <w:rFonts w:ascii="Noto Sans" w:hAnsi="Noto Sans" w:eastAsia="Noto Sans"/>
                <w:b w:val="0"/>
                <w:i w:val="0"/>
                <w:color w:val="000000"/>
                <w:sz w:val="17"/>
              </w:rPr>
              <w:t>authz.policy.read</w:t>
            </w:r>
          </w:p>
        </w:tc>
        <w:tc>
          <w:tcPr>
            <w:tcW w:type="dxa" w:w="1984"/>
            <w:vAlign w:val="top"/>
          </w:tcPr>
          <w:p>
            <w:pPr>
              <w:spacing w:before="0" w:after="40" w:line="252" w:lineRule="auto"/>
            </w:pPr>
            <w:r>
              <w:rPr>
                <w:rFonts w:ascii="Noto Sans" w:hAnsi="Noto Sans" w:eastAsia="Noto Sans"/>
                <w:b w:val="0"/>
                <w:i w:val="0"/>
                <w:color w:val="000000"/>
                <w:sz w:val="17"/>
              </w:rPr>
              <w:t>Dettaglio versione.</w:t>
            </w:r>
          </w:p>
        </w:tc>
      </w:tr>
      <w:tr>
        <w:tc>
          <w:tcPr>
            <w:tcW w:type="dxa" w:w="964"/>
            <w:vAlign w:val="top"/>
            <w:shd w:fill="F8FAFC"/>
          </w:tcPr>
          <w:p>
            <w:pPr>
              <w:spacing w:before="0" w:after="40" w:line="252" w:lineRule="auto"/>
            </w:pPr>
            <w:r>
              <w:rPr>
                <w:rFonts w:ascii="Noto Sans" w:hAnsi="Noto Sans" w:eastAsia="Noto Sans"/>
                <w:b w:val="0"/>
                <w:i w:val="0"/>
                <w:color w:val="000000"/>
                <w:sz w:val="17"/>
              </w:rPr>
              <w:t>PATCH</w:t>
            </w:r>
          </w:p>
        </w:tc>
        <w:tc>
          <w:tcPr>
            <w:tcW w:type="dxa" w:w="3118"/>
            <w:vAlign w:val="top"/>
            <w:shd w:fill="F8FAFC"/>
          </w:tcPr>
          <w:p>
            <w:pPr>
              <w:spacing w:before="0" w:after="40" w:line="252" w:lineRule="auto"/>
            </w:pPr>
            <w:r>
              <w:rPr>
                <w:rFonts w:ascii="Noto Sans" w:hAnsi="Noto Sans" w:eastAsia="Noto Sans"/>
                <w:b w:val="0"/>
                <w:i w:val="0"/>
                <w:color w:val="000000"/>
                <w:sz w:val="17"/>
              </w:rPr>
              <w:t>/policies/{policyId}/draft</w:t>
            </w:r>
          </w:p>
        </w:tc>
        <w:tc>
          <w:tcPr>
            <w:tcW w:type="dxa" w:w="2721"/>
            <w:vAlign w:val="top"/>
            <w:shd w:fill="F8FAFC"/>
          </w:tcPr>
          <w:p>
            <w:pPr>
              <w:spacing w:before="0" w:after="40" w:line="252" w:lineRule="auto"/>
            </w:pPr>
            <w:r>
              <w:rPr>
                <w:rFonts w:ascii="Noto Sans" w:hAnsi="Noto Sans" w:eastAsia="Noto Sans"/>
                <w:b w:val="0"/>
                <w:i w:val="0"/>
                <w:color w:val="000000"/>
                <w:sz w:val="17"/>
              </w:rPr>
              <w:t>authz.policy.edit</w:t>
            </w:r>
          </w:p>
        </w:tc>
        <w:tc>
          <w:tcPr>
            <w:tcW w:type="dxa" w:w="1984"/>
            <w:vAlign w:val="top"/>
            <w:shd w:fill="F8FAFC"/>
          </w:tcPr>
          <w:p>
            <w:pPr>
              <w:spacing w:before="0" w:after="40" w:line="252" w:lineRule="auto"/>
            </w:pPr>
            <w:r>
              <w:rPr>
                <w:rFonts w:ascii="Noto Sans" w:hAnsi="Noto Sans" w:eastAsia="Noto Sans"/>
                <w:b w:val="0"/>
                <w:i w:val="0"/>
                <w:color w:val="000000"/>
                <w:sz w:val="17"/>
              </w:rPr>
              <w:t>Modifica draft.</w:t>
            </w:r>
          </w:p>
        </w:tc>
      </w:tr>
      <w:tr>
        <w:tc>
          <w:tcPr>
            <w:tcW w:type="dxa" w:w="964"/>
            <w:vAlign w:val="top"/>
          </w:tcPr>
          <w:p>
            <w:pPr>
              <w:spacing w:before="0" w:after="40" w:line="252" w:lineRule="auto"/>
            </w:pPr>
            <w:r>
              <w:rPr>
                <w:rFonts w:ascii="Noto Sans" w:hAnsi="Noto Sans" w:eastAsia="Noto Sans"/>
                <w:b w:val="0"/>
                <w:i w:val="0"/>
                <w:color w:val="000000"/>
                <w:sz w:val="17"/>
              </w:rPr>
              <w:t>POST</w:t>
            </w:r>
          </w:p>
        </w:tc>
        <w:tc>
          <w:tcPr>
            <w:tcW w:type="dxa" w:w="3118"/>
            <w:vAlign w:val="top"/>
          </w:tcPr>
          <w:p>
            <w:pPr>
              <w:spacing w:before="0" w:after="40" w:line="252" w:lineRule="auto"/>
            </w:pPr>
            <w:r>
              <w:rPr>
                <w:rFonts w:ascii="Noto Sans" w:hAnsi="Noto Sans" w:eastAsia="Noto Sans"/>
                <w:b w:val="0"/>
                <w:i w:val="0"/>
                <w:color w:val="000000"/>
                <w:sz w:val="17"/>
              </w:rPr>
              <w:t>/policies/{policyId}/submit</w:t>
            </w:r>
          </w:p>
        </w:tc>
        <w:tc>
          <w:tcPr>
            <w:tcW w:type="dxa" w:w="2721"/>
            <w:vAlign w:val="top"/>
          </w:tcPr>
          <w:p>
            <w:pPr>
              <w:spacing w:before="0" w:after="40" w:line="252" w:lineRule="auto"/>
            </w:pPr>
            <w:r>
              <w:rPr>
                <w:rFonts w:ascii="Noto Sans" w:hAnsi="Noto Sans" w:eastAsia="Noto Sans"/>
                <w:b w:val="0"/>
                <w:i w:val="0"/>
                <w:color w:val="000000"/>
                <w:sz w:val="17"/>
              </w:rPr>
              <w:t>authz.policy.submit</w:t>
            </w:r>
          </w:p>
        </w:tc>
        <w:tc>
          <w:tcPr>
            <w:tcW w:type="dxa" w:w="1984"/>
            <w:vAlign w:val="top"/>
          </w:tcPr>
          <w:p>
            <w:pPr>
              <w:spacing w:before="0" w:after="40" w:line="252" w:lineRule="auto"/>
            </w:pPr>
            <w:r>
              <w:rPr>
                <w:rFonts w:ascii="Noto Sans" w:hAnsi="Noto Sans" w:eastAsia="Noto Sans"/>
                <w:b w:val="0"/>
                <w:i w:val="0"/>
                <w:color w:val="000000"/>
                <w:sz w:val="17"/>
              </w:rPr>
              <w:t>Invia in review.</w:t>
            </w:r>
          </w:p>
        </w:tc>
      </w:tr>
      <w:tr>
        <w:tc>
          <w:tcPr>
            <w:tcW w:type="dxa" w:w="964"/>
            <w:vAlign w:val="top"/>
            <w:shd w:fill="F8FAFC"/>
          </w:tcPr>
          <w:p>
            <w:pPr>
              <w:spacing w:before="0" w:after="40" w:line="252" w:lineRule="auto"/>
            </w:pPr>
            <w:r>
              <w:rPr>
                <w:rFonts w:ascii="Noto Sans" w:hAnsi="Noto Sans" w:eastAsia="Noto Sans"/>
                <w:b w:val="0"/>
                <w:i w:val="0"/>
                <w:color w:val="000000"/>
                <w:sz w:val="17"/>
              </w:rPr>
              <w:t>POST</w:t>
            </w:r>
          </w:p>
        </w:tc>
        <w:tc>
          <w:tcPr>
            <w:tcW w:type="dxa" w:w="3118"/>
            <w:vAlign w:val="top"/>
            <w:shd w:fill="F8FAFC"/>
          </w:tcPr>
          <w:p>
            <w:pPr>
              <w:spacing w:before="0" w:after="40" w:line="252" w:lineRule="auto"/>
            </w:pPr>
            <w:r>
              <w:rPr>
                <w:rFonts w:ascii="Noto Sans" w:hAnsi="Noto Sans" w:eastAsia="Noto Sans"/>
                <w:b w:val="0"/>
                <w:i w:val="0"/>
                <w:color w:val="000000"/>
                <w:sz w:val="17"/>
              </w:rPr>
              <w:t>/policies/{policyId}/approve</w:t>
            </w:r>
          </w:p>
        </w:tc>
        <w:tc>
          <w:tcPr>
            <w:tcW w:type="dxa" w:w="2721"/>
            <w:vAlign w:val="top"/>
            <w:shd w:fill="F8FAFC"/>
          </w:tcPr>
          <w:p>
            <w:pPr>
              <w:spacing w:before="0" w:after="40" w:line="252" w:lineRule="auto"/>
            </w:pPr>
            <w:r>
              <w:rPr>
                <w:rFonts w:ascii="Noto Sans" w:hAnsi="Noto Sans" w:eastAsia="Noto Sans"/>
                <w:b w:val="0"/>
                <w:i w:val="0"/>
                <w:color w:val="000000"/>
                <w:sz w:val="17"/>
              </w:rPr>
              <w:t>authz.policy.approve</w:t>
            </w:r>
          </w:p>
        </w:tc>
        <w:tc>
          <w:tcPr>
            <w:tcW w:type="dxa" w:w="1984"/>
            <w:vAlign w:val="top"/>
            <w:shd w:fill="F8FAFC"/>
          </w:tcPr>
          <w:p>
            <w:pPr>
              <w:spacing w:before="0" w:after="40" w:line="252" w:lineRule="auto"/>
            </w:pPr>
            <w:r>
              <w:rPr>
                <w:rFonts w:ascii="Noto Sans" w:hAnsi="Noto Sans" w:eastAsia="Noto Sans"/>
                <w:b w:val="0"/>
                <w:i w:val="0"/>
                <w:color w:val="000000"/>
                <w:sz w:val="17"/>
              </w:rPr>
              <w:t>Human-only.</w:t>
            </w:r>
          </w:p>
        </w:tc>
      </w:tr>
      <w:tr>
        <w:tc>
          <w:tcPr>
            <w:tcW w:type="dxa" w:w="964"/>
            <w:vAlign w:val="top"/>
          </w:tcPr>
          <w:p>
            <w:pPr>
              <w:spacing w:before="0" w:after="40" w:line="252" w:lineRule="auto"/>
            </w:pPr>
            <w:r>
              <w:rPr>
                <w:rFonts w:ascii="Noto Sans" w:hAnsi="Noto Sans" w:eastAsia="Noto Sans"/>
                <w:b w:val="0"/>
                <w:i w:val="0"/>
                <w:color w:val="000000"/>
                <w:sz w:val="17"/>
              </w:rPr>
              <w:t>POST</w:t>
            </w:r>
          </w:p>
        </w:tc>
        <w:tc>
          <w:tcPr>
            <w:tcW w:type="dxa" w:w="3118"/>
            <w:vAlign w:val="top"/>
          </w:tcPr>
          <w:p>
            <w:pPr>
              <w:spacing w:before="0" w:after="40" w:line="252" w:lineRule="auto"/>
            </w:pPr>
            <w:r>
              <w:rPr>
                <w:rFonts w:ascii="Noto Sans" w:hAnsi="Noto Sans" w:eastAsia="Noto Sans"/>
                <w:b w:val="0"/>
                <w:i w:val="0"/>
                <w:color w:val="000000"/>
                <w:sz w:val="17"/>
              </w:rPr>
              <w:t>/policies/{policyId}/publish</w:t>
            </w:r>
          </w:p>
        </w:tc>
        <w:tc>
          <w:tcPr>
            <w:tcW w:type="dxa" w:w="2721"/>
            <w:vAlign w:val="top"/>
          </w:tcPr>
          <w:p>
            <w:pPr>
              <w:spacing w:before="0" w:after="40" w:line="252" w:lineRule="auto"/>
            </w:pPr>
            <w:r>
              <w:rPr>
                <w:rFonts w:ascii="Noto Sans" w:hAnsi="Noto Sans" w:eastAsia="Noto Sans"/>
                <w:b w:val="0"/>
                <w:i w:val="0"/>
                <w:color w:val="000000"/>
                <w:sz w:val="17"/>
              </w:rPr>
              <w:t>authz.policy.publish</w:t>
            </w:r>
          </w:p>
        </w:tc>
        <w:tc>
          <w:tcPr>
            <w:tcW w:type="dxa" w:w="1984"/>
            <w:vAlign w:val="top"/>
          </w:tcPr>
          <w:p>
            <w:pPr>
              <w:spacing w:before="0" w:after="40" w:line="252" w:lineRule="auto"/>
            </w:pPr>
            <w:r>
              <w:rPr>
                <w:rFonts w:ascii="Noto Sans" w:hAnsi="Noto Sans" w:eastAsia="Noto Sans"/>
                <w:b w:val="0"/>
                <w:i w:val="0"/>
                <w:color w:val="000000"/>
                <w:sz w:val="17"/>
              </w:rPr>
              <w:t>Human-only / policy governance.</w:t>
            </w:r>
          </w:p>
        </w:tc>
      </w:tr>
      <w:tr>
        <w:tc>
          <w:tcPr>
            <w:tcW w:type="dxa" w:w="964"/>
            <w:vAlign w:val="top"/>
            <w:shd w:fill="F8FAFC"/>
          </w:tcPr>
          <w:p>
            <w:pPr>
              <w:spacing w:before="0" w:after="40" w:line="252" w:lineRule="auto"/>
            </w:pPr>
            <w:r>
              <w:rPr>
                <w:rFonts w:ascii="Noto Sans" w:hAnsi="Noto Sans" w:eastAsia="Noto Sans"/>
                <w:b w:val="0"/>
                <w:i w:val="0"/>
                <w:color w:val="000000"/>
                <w:sz w:val="17"/>
              </w:rPr>
              <w:t>POST</w:t>
            </w:r>
          </w:p>
        </w:tc>
        <w:tc>
          <w:tcPr>
            <w:tcW w:type="dxa" w:w="3118"/>
            <w:vAlign w:val="top"/>
            <w:shd w:fill="F8FAFC"/>
          </w:tcPr>
          <w:p>
            <w:pPr>
              <w:spacing w:before="0" w:after="40" w:line="252" w:lineRule="auto"/>
            </w:pPr>
            <w:r>
              <w:rPr>
                <w:rFonts w:ascii="Noto Sans" w:hAnsi="Noto Sans" w:eastAsia="Noto Sans"/>
                <w:b w:val="0"/>
                <w:i w:val="0"/>
                <w:color w:val="000000"/>
                <w:sz w:val="17"/>
              </w:rPr>
              <w:t>/policies/evaluate</w:t>
            </w:r>
          </w:p>
        </w:tc>
        <w:tc>
          <w:tcPr>
            <w:tcW w:type="dxa" w:w="2721"/>
            <w:vAlign w:val="top"/>
            <w:shd w:fill="F8FAFC"/>
          </w:tcPr>
          <w:p>
            <w:pPr>
              <w:spacing w:before="0" w:after="40" w:line="252" w:lineRule="auto"/>
            </w:pPr>
            <w:r>
              <w:rPr>
                <w:rFonts w:ascii="Noto Sans" w:hAnsi="Noto Sans" w:eastAsia="Noto Sans"/>
                <w:b w:val="0"/>
                <w:i w:val="0"/>
                <w:color w:val="000000"/>
                <w:sz w:val="17"/>
              </w:rPr>
              <w:t>authz.policy.simulate</w:t>
            </w:r>
          </w:p>
        </w:tc>
        <w:tc>
          <w:tcPr>
            <w:tcW w:type="dxa" w:w="1984"/>
            <w:vAlign w:val="top"/>
            <w:shd w:fill="F8FAFC"/>
          </w:tcPr>
          <w:p>
            <w:pPr>
              <w:spacing w:before="0" w:after="40" w:line="252" w:lineRule="auto"/>
            </w:pPr>
            <w:r>
              <w:rPr>
                <w:rFonts w:ascii="Noto Sans" w:hAnsi="Noto Sans" w:eastAsia="Noto Sans"/>
                <w:b w:val="0"/>
                <w:i w:val="0"/>
                <w:color w:val="000000"/>
                <w:sz w:val="17"/>
              </w:rPr>
              <w:t>Simulazione non autoritativa.</w:t>
            </w:r>
          </w:p>
        </w:tc>
      </w:tr>
      <w:tr>
        <w:tc>
          <w:tcPr>
            <w:tcW w:type="dxa" w:w="964"/>
            <w:vAlign w:val="top"/>
          </w:tcPr>
          <w:p>
            <w:pPr>
              <w:spacing w:before="0" w:after="40" w:line="252" w:lineRule="auto"/>
            </w:pPr>
            <w:r>
              <w:rPr>
                <w:rFonts w:ascii="Noto Sans" w:hAnsi="Noto Sans" w:eastAsia="Noto Sans"/>
                <w:b w:val="0"/>
                <w:i w:val="0"/>
                <w:color w:val="000000"/>
                <w:sz w:val="17"/>
              </w:rPr>
              <w:t>GET</w:t>
            </w:r>
          </w:p>
        </w:tc>
        <w:tc>
          <w:tcPr>
            <w:tcW w:type="dxa" w:w="3118"/>
            <w:vAlign w:val="top"/>
          </w:tcPr>
          <w:p>
            <w:pPr>
              <w:spacing w:before="0" w:after="40" w:line="252" w:lineRule="auto"/>
            </w:pPr>
            <w:r>
              <w:rPr>
                <w:rFonts w:ascii="Noto Sans" w:hAnsi="Noto Sans" w:eastAsia="Noto Sans"/>
                <w:b w:val="0"/>
                <w:i w:val="0"/>
                <w:color w:val="000000"/>
                <w:sz w:val="17"/>
              </w:rPr>
              <w:t>/publications/active</w:t>
            </w:r>
          </w:p>
        </w:tc>
        <w:tc>
          <w:tcPr>
            <w:tcW w:type="dxa" w:w="2721"/>
            <w:vAlign w:val="top"/>
          </w:tcPr>
          <w:p>
            <w:pPr>
              <w:spacing w:before="0" w:after="40" w:line="252" w:lineRule="auto"/>
            </w:pPr>
            <w:r>
              <w:rPr>
                <w:rFonts w:ascii="Noto Sans" w:hAnsi="Noto Sans" w:eastAsia="Noto Sans"/>
                <w:b w:val="0"/>
                <w:i w:val="0"/>
                <w:color w:val="000000"/>
                <w:sz w:val="17"/>
              </w:rPr>
              <w:t>authz.bundle.read</w:t>
            </w:r>
          </w:p>
        </w:tc>
        <w:tc>
          <w:tcPr>
            <w:tcW w:type="dxa" w:w="1984"/>
            <w:vAlign w:val="top"/>
          </w:tcPr>
          <w:p>
            <w:pPr>
              <w:spacing w:before="0" w:after="40" w:line="252" w:lineRule="auto"/>
            </w:pPr>
            <w:r>
              <w:rPr>
                <w:rFonts w:ascii="Noto Sans" w:hAnsi="Noto Sans" w:eastAsia="Noto Sans"/>
                <w:b w:val="0"/>
                <w:i w:val="0"/>
                <w:color w:val="000000"/>
                <w:sz w:val="17"/>
              </w:rPr>
              <w:t>Bundle ACTIVE per consumer interni.</w:t>
            </w:r>
          </w:p>
        </w:tc>
      </w:tr>
    </w:tbl>
    <w:p>
      <w:pPr>
        <w:spacing w:after="40"/>
      </w:pPr>
    </w:p>
    <w:p>
      <w:pPr>
        <w:pStyle w:val="Heading2"/>
        <w:keepNext/>
      </w:pPr>
      <w:r>
        <w:rPr>
          <w:rFonts w:ascii="Noto Sans" w:hAnsi="Noto Sans" w:eastAsia="Noto Sans"/>
        </w:rPr>
        <w:t>14.1 Evaluate API: uso limitato</w:t>
      </w:r>
    </w:p>
    <w:p>
      <w:pPr>
        <w:spacing w:before="0" w:after="120" w:line="276" w:lineRule="auto"/>
      </w:pPr>
      <w:r>
        <w:rPr>
          <w:rFonts w:ascii="Noto Sans" w:hAnsi="Noto Sans" w:eastAsia="Noto Sans"/>
          <w:b w:val="0"/>
          <w:i w:val="0"/>
          <w:color w:val="000000"/>
          <w:sz w:val="18"/>
        </w:rPr>
        <w:t>L’endpoint evaluate serve a test, simulazione e casi di policy centralizzata eccezionali. L’enforcement ordinario dei servizi non deve dipendere da una chiamata sincrona remota per ogni request: i servizi consumano il bundle ACTIVE e valutano localmente tramite Authorization SDK.</w:t>
      </w:r>
    </w:p>
    <w:p>
      <w:r>
        <w:rPr>
          <w:rFonts w:ascii="Noto Sans" w:hAnsi="Noto Sans" w:eastAsia="Noto Sans"/>
        </w:rPr>
      </w:r>
    </w:p>
    <w:p>
      <w:pPr>
        <w:pStyle w:val="Heading1"/>
        <w:keepNext/>
      </w:pPr>
      <w:r>
        <w:rPr>
          <w:rFonts w:ascii="Noto Sans" w:hAnsi="Noto Sans" w:eastAsia="Noto Sans"/>
        </w:rPr>
        <w:t>15. Persistenza e schema fisico</w:t>
      </w:r>
    </w:p>
    <w:p>
      <w:pPr>
        <w:spacing w:before="0" w:after="120" w:line="276" w:lineRule="auto"/>
      </w:pPr>
      <w:r>
        <w:rPr>
          <w:rFonts w:ascii="Noto Sans" w:hAnsi="Noto Sans" w:eastAsia="Noto Sans"/>
          <w:b w:val="0"/>
          <w:i w:val="0"/>
          <w:color w:val="000000"/>
          <w:sz w:val="18"/>
        </w:rPr>
        <w:t>La baseline usa lo stesso PostgreSQL di piattaforma del deployable Onboarding, con schema logico separato authz. Non vengono create istanze database dedicate.</w:t>
      </w:r>
    </w:p>
    <w:tbl>
      <w:tblPr>
        <w:tblStyle w:val="TableGrid"/>
        <w:tblW w:type="auto" w:w="0"/>
        <w:jc w:val="center"/>
        <w:tblLayout w:type="fixed"/>
        <w:tblLook w:firstColumn="1" w:firstRow="1" w:lastColumn="0" w:lastRow="0" w:noHBand="0" w:noVBand="1" w:val="04A0"/>
      </w:tblPr>
      <w:tblGrid>
        <w:gridCol w:w="2835"/>
        <w:gridCol w:w="5953"/>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Tabella</w:t>
            </w:r>
          </w:p>
        </w:tc>
        <w:tc>
          <w:tcPr>
            <w:tcW w:type="dxa" w:w="4703"/>
            <w:shd w:fill="0B4F6C"/>
            <w:vAlign w:val="center"/>
          </w:tcPr>
          <w:p>
            <w:pPr>
              <w:spacing w:before="0" w:after="40" w:line="240" w:lineRule="auto"/>
              <w:jc w:val="left"/>
            </w:pPr>
            <w:r>
              <w:rPr>
                <w:rFonts w:ascii="Noto Sans" w:hAnsi="Noto Sans" w:eastAsia="Noto Sans"/>
                <w:b/>
                <w:i w:val="0"/>
                <w:color w:val="FFFFFF"/>
                <w:sz w:val="17"/>
              </w:rPr>
              <w:t>Contenuto</w:t>
            </w:r>
          </w:p>
        </w:tc>
      </w:tr>
      <w:tr>
        <w:tc>
          <w:tcPr>
            <w:tcW w:type="dxa" w:w="2835"/>
            <w:vAlign w:val="top"/>
            <w:shd w:fill="F8FAFC"/>
          </w:tcPr>
          <w:p>
            <w:pPr>
              <w:spacing w:before="0" w:after="40" w:line="252" w:lineRule="auto"/>
            </w:pPr>
            <w:r>
              <w:rPr>
                <w:rFonts w:ascii="Noto Sans" w:hAnsi="Noto Sans" w:eastAsia="Noto Sans"/>
                <w:b w:val="0"/>
                <w:i w:val="0"/>
                <w:color w:val="000000"/>
                <w:sz w:val="17"/>
              </w:rPr>
              <w:t>authz_policy</w:t>
            </w:r>
          </w:p>
        </w:tc>
        <w:tc>
          <w:tcPr>
            <w:tcW w:type="dxa" w:w="5953"/>
            <w:vAlign w:val="top"/>
            <w:shd w:fill="F8FAFC"/>
          </w:tcPr>
          <w:p>
            <w:pPr>
              <w:spacing w:before="0" w:after="40" w:line="252" w:lineRule="auto"/>
            </w:pPr>
            <w:r>
              <w:rPr>
                <w:rFonts w:ascii="Noto Sans" w:hAnsi="Noto Sans" w:eastAsia="Noto Sans"/>
                <w:b w:val="0"/>
                <w:i w:val="0"/>
                <w:color w:val="000000"/>
                <w:sz w:val="17"/>
              </w:rPr>
              <w:t>aggregate root e metadati lifecycle.</w:t>
            </w:r>
          </w:p>
        </w:tc>
      </w:tr>
      <w:tr>
        <w:tc>
          <w:tcPr>
            <w:tcW w:type="dxa" w:w="2835"/>
            <w:vAlign w:val="top"/>
          </w:tcPr>
          <w:p>
            <w:pPr>
              <w:spacing w:before="0" w:after="40" w:line="252" w:lineRule="auto"/>
            </w:pPr>
            <w:r>
              <w:rPr>
                <w:rFonts w:ascii="Noto Sans" w:hAnsi="Noto Sans" w:eastAsia="Noto Sans"/>
                <w:b w:val="0"/>
                <w:i w:val="0"/>
                <w:color w:val="000000"/>
                <w:sz w:val="17"/>
              </w:rPr>
              <w:t>authz_policy_revision</w:t>
            </w:r>
          </w:p>
        </w:tc>
        <w:tc>
          <w:tcPr>
            <w:tcW w:type="dxa" w:w="5953"/>
            <w:vAlign w:val="top"/>
          </w:tcPr>
          <w:p>
            <w:pPr>
              <w:spacing w:before="0" w:after="40" w:line="252" w:lineRule="auto"/>
            </w:pPr>
            <w:r>
              <w:rPr>
                <w:rFonts w:ascii="Noto Sans" w:hAnsi="Noto Sans" w:eastAsia="Noto Sans"/>
                <w:b w:val="0"/>
                <w:i w:val="0"/>
                <w:color w:val="000000"/>
                <w:sz w:val="17"/>
              </w:rPr>
              <w:t>contenuto immutabile/version hash.</w:t>
            </w:r>
          </w:p>
        </w:tc>
      </w:tr>
      <w:tr>
        <w:tc>
          <w:tcPr>
            <w:tcW w:type="dxa" w:w="2835"/>
            <w:vAlign w:val="top"/>
            <w:shd w:fill="F8FAFC"/>
          </w:tcPr>
          <w:p>
            <w:pPr>
              <w:spacing w:before="0" w:after="40" w:line="252" w:lineRule="auto"/>
            </w:pPr>
            <w:r>
              <w:rPr>
                <w:rFonts w:ascii="Noto Sans" w:hAnsi="Noto Sans" w:eastAsia="Noto Sans"/>
                <w:b w:val="0"/>
                <w:i w:val="0"/>
                <w:color w:val="000000"/>
                <w:sz w:val="17"/>
              </w:rPr>
              <w:t>authz_grant</w:t>
            </w:r>
          </w:p>
        </w:tc>
        <w:tc>
          <w:tcPr>
            <w:tcW w:type="dxa" w:w="5953"/>
            <w:vAlign w:val="top"/>
            <w:shd w:fill="F8FAFC"/>
          </w:tcPr>
          <w:p>
            <w:pPr>
              <w:spacing w:before="0" w:after="40" w:line="252" w:lineRule="auto"/>
            </w:pPr>
            <w:r>
              <w:rPr>
                <w:rFonts w:ascii="Noto Sans" w:hAnsi="Noto Sans" w:eastAsia="Noto Sans"/>
                <w:b w:val="0"/>
                <w:i w:val="0"/>
                <w:color w:val="000000"/>
                <w:sz w:val="17"/>
              </w:rPr>
              <w:t>grant normalizzati per ruolo/capability/condizioni.</w:t>
            </w:r>
          </w:p>
        </w:tc>
      </w:tr>
      <w:tr>
        <w:tc>
          <w:tcPr>
            <w:tcW w:type="dxa" w:w="2835"/>
            <w:vAlign w:val="top"/>
          </w:tcPr>
          <w:p>
            <w:pPr>
              <w:spacing w:before="0" w:after="40" w:line="252" w:lineRule="auto"/>
            </w:pPr>
            <w:r>
              <w:rPr>
                <w:rFonts w:ascii="Noto Sans" w:hAnsi="Noto Sans" w:eastAsia="Noto Sans"/>
                <w:b w:val="0"/>
                <w:i w:val="0"/>
                <w:color w:val="000000"/>
                <w:sz w:val="17"/>
              </w:rPr>
              <w:t>authz_org_scope</w:t>
            </w:r>
          </w:p>
        </w:tc>
        <w:tc>
          <w:tcPr>
            <w:tcW w:type="dxa" w:w="5953"/>
            <w:vAlign w:val="top"/>
          </w:tcPr>
          <w:p>
            <w:pPr>
              <w:spacing w:before="0" w:after="40" w:line="252" w:lineRule="auto"/>
            </w:pPr>
            <w:r>
              <w:rPr>
                <w:rFonts w:ascii="Noto Sans" w:hAnsi="Noto Sans" w:eastAsia="Noto Sans"/>
                <w:b w:val="0"/>
                <w:i w:val="0"/>
                <w:color w:val="000000"/>
                <w:sz w:val="17"/>
              </w:rPr>
              <w:t>scope organizzativi.</w:t>
            </w:r>
          </w:p>
        </w:tc>
      </w:tr>
      <w:tr>
        <w:tc>
          <w:tcPr>
            <w:tcW w:type="dxa" w:w="2835"/>
            <w:vAlign w:val="top"/>
            <w:shd w:fill="F8FAFC"/>
          </w:tcPr>
          <w:p>
            <w:pPr>
              <w:spacing w:before="0" w:after="40" w:line="252" w:lineRule="auto"/>
            </w:pPr>
            <w:r>
              <w:rPr>
                <w:rFonts w:ascii="Noto Sans" w:hAnsi="Noto Sans" w:eastAsia="Noto Sans"/>
                <w:b w:val="0"/>
                <w:i w:val="0"/>
                <w:color w:val="000000"/>
                <w:sz w:val="17"/>
              </w:rPr>
              <w:t>authz_capability_ref</w:t>
            </w:r>
          </w:p>
        </w:tc>
        <w:tc>
          <w:tcPr>
            <w:tcW w:type="dxa" w:w="5953"/>
            <w:vAlign w:val="top"/>
            <w:shd w:fill="F8FAFC"/>
          </w:tcPr>
          <w:p>
            <w:pPr>
              <w:spacing w:before="0" w:after="40" w:line="252" w:lineRule="auto"/>
            </w:pPr>
            <w:r>
              <w:rPr>
                <w:rFonts w:ascii="Noto Sans" w:hAnsi="Noto Sans" w:eastAsia="Noto Sans"/>
                <w:b w:val="0"/>
                <w:i w:val="0"/>
                <w:color w:val="000000"/>
                <w:sz w:val="17"/>
              </w:rPr>
              <w:t>catalogo/riferimenti capability.</w:t>
            </w:r>
          </w:p>
        </w:tc>
      </w:tr>
      <w:tr>
        <w:tc>
          <w:tcPr>
            <w:tcW w:type="dxa" w:w="2835"/>
            <w:vAlign w:val="top"/>
          </w:tcPr>
          <w:p>
            <w:pPr>
              <w:spacing w:before="0" w:after="40" w:line="252" w:lineRule="auto"/>
            </w:pPr>
            <w:r>
              <w:rPr>
                <w:rFonts w:ascii="Noto Sans" w:hAnsi="Noto Sans" w:eastAsia="Noto Sans"/>
                <w:b w:val="0"/>
                <w:i w:val="0"/>
                <w:color w:val="000000"/>
                <w:sz w:val="17"/>
              </w:rPr>
              <w:t>authz_publication</w:t>
            </w:r>
          </w:p>
        </w:tc>
        <w:tc>
          <w:tcPr>
            <w:tcW w:type="dxa" w:w="5953"/>
            <w:vAlign w:val="top"/>
          </w:tcPr>
          <w:p>
            <w:pPr>
              <w:spacing w:before="0" w:after="40" w:line="252" w:lineRule="auto"/>
            </w:pPr>
            <w:r>
              <w:rPr>
                <w:rFonts w:ascii="Noto Sans" w:hAnsi="Noto Sans" w:eastAsia="Noto Sans"/>
                <w:b w:val="0"/>
                <w:i w:val="0"/>
                <w:color w:val="000000"/>
                <w:sz w:val="17"/>
              </w:rPr>
              <w:t>bundle pubblicati e active pointer.</w:t>
            </w:r>
          </w:p>
        </w:tc>
      </w:tr>
      <w:tr>
        <w:tc>
          <w:tcPr>
            <w:tcW w:type="dxa" w:w="2835"/>
            <w:vAlign w:val="top"/>
            <w:shd w:fill="F8FAFC"/>
          </w:tcPr>
          <w:p>
            <w:pPr>
              <w:spacing w:before="0" w:after="40" w:line="252" w:lineRule="auto"/>
            </w:pPr>
            <w:r>
              <w:rPr>
                <w:rFonts w:ascii="Noto Sans" w:hAnsi="Noto Sans" w:eastAsia="Noto Sans"/>
                <w:b w:val="0"/>
                <w:i w:val="0"/>
                <w:color w:val="000000"/>
                <w:sz w:val="17"/>
              </w:rPr>
              <w:t>authz_approval_decision</w:t>
            </w:r>
          </w:p>
        </w:tc>
        <w:tc>
          <w:tcPr>
            <w:tcW w:type="dxa" w:w="5953"/>
            <w:vAlign w:val="top"/>
            <w:shd w:fill="F8FAFC"/>
          </w:tcPr>
          <w:p>
            <w:pPr>
              <w:spacing w:before="0" w:after="40" w:line="252" w:lineRule="auto"/>
            </w:pPr>
            <w:r>
              <w:rPr>
                <w:rFonts w:ascii="Noto Sans" w:hAnsi="Noto Sans" w:eastAsia="Noto Sans"/>
                <w:b w:val="0"/>
                <w:i w:val="0"/>
                <w:color w:val="000000"/>
                <w:sz w:val="17"/>
              </w:rPr>
              <w:t>decisioni umane append-only.</w:t>
            </w:r>
          </w:p>
        </w:tc>
      </w:tr>
      <w:tr>
        <w:tc>
          <w:tcPr>
            <w:tcW w:type="dxa" w:w="2835"/>
            <w:vAlign w:val="top"/>
          </w:tcPr>
          <w:p>
            <w:pPr>
              <w:spacing w:before="0" w:after="40" w:line="252" w:lineRule="auto"/>
            </w:pPr>
            <w:r>
              <w:rPr>
                <w:rFonts w:ascii="Noto Sans" w:hAnsi="Noto Sans" w:eastAsia="Noto Sans"/>
                <w:b w:val="0"/>
                <w:i w:val="0"/>
                <w:color w:val="000000"/>
                <w:sz w:val="17"/>
              </w:rPr>
              <w:t>authz_audit_event</w:t>
            </w:r>
          </w:p>
        </w:tc>
        <w:tc>
          <w:tcPr>
            <w:tcW w:type="dxa" w:w="5953"/>
            <w:vAlign w:val="top"/>
          </w:tcPr>
          <w:p>
            <w:pPr>
              <w:spacing w:before="0" w:after="40" w:line="252" w:lineRule="auto"/>
            </w:pPr>
            <w:r>
              <w:rPr>
                <w:rFonts w:ascii="Noto Sans" w:hAnsi="Noto Sans" w:eastAsia="Noto Sans"/>
                <w:b w:val="0"/>
                <w:i w:val="0"/>
                <w:color w:val="000000"/>
                <w:sz w:val="17"/>
              </w:rPr>
              <w:t>eventi amministrativi e security-relevant.</w:t>
            </w:r>
          </w:p>
        </w:tc>
      </w:tr>
      <w:tr>
        <w:tc>
          <w:tcPr>
            <w:tcW w:type="dxa" w:w="2835"/>
            <w:vAlign w:val="top"/>
            <w:shd w:fill="F8FAFC"/>
          </w:tcPr>
          <w:p>
            <w:pPr>
              <w:spacing w:before="0" w:after="40" w:line="252" w:lineRule="auto"/>
            </w:pPr>
            <w:r>
              <w:rPr>
                <w:rFonts w:ascii="Noto Sans" w:hAnsi="Noto Sans" w:eastAsia="Noto Sans"/>
                <w:b w:val="0"/>
                <w:i w:val="0"/>
                <w:color w:val="000000"/>
                <w:sz w:val="17"/>
              </w:rPr>
              <w:t>authz_directory_cache</w:t>
            </w:r>
          </w:p>
        </w:tc>
        <w:tc>
          <w:tcPr>
            <w:tcW w:type="dxa" w:w="5953"/>
            <w:vAlign w:val="top"/>
            <w:shd w:fill="F8FAFC"/>
          </w:tcPr>
          <w:p>
            <w:pPr>
              <w:spacing w:before="0" w:after="40" w:line="252" w:lineRule="auto"/>
            </w:pPr>
            <w:r>
              <w:rPr>
                <w:rFonts w:ascii="Noto Sans" w:hAnsi="Noto Sans" w:eastAsia="Noto Sans"/>
                <w:b w:val="0"/>
                <w:i w:val="0"/>
                <w:color w:val="000000"/>
                <w:sz w:val="17"/>
              </w:rPr>
              <w:t>opzionale, TTL, non autoritativa.</w:t>
            </w:r>
          </w:p>
        </w:tc>
      </w:tr>
    </w:tbl>
    <w:p>
      <w:pPr>
        <w:spacing w:after="40"/>
      </w:pPr>
    </w:p>
    <w:p>
      <w:pPr>
        <w:pStyle w:val="Heading2"/>
        <w:keepNext/>
      </w:pPr>
      <w:r>
        <w:rPr>
          <w:rFonts w:ascii="Noto Sans" w:hAnsi="Noto Sans" w:eastAsia="Noto Sans"/>
        </w:rPr>
        <w:t>15.1 Vincoli transazionali</w:t>
      </w:r>
    </w:p>
    <w:p>
      <w:pPr>
        <w:pStyle w:val="ListBullet"/>
        <w:spacing w:before="0" w:after="60" w:line="264" w:lineRule="auto"/>
      </w:pPr>
      <w:r>
        <w:rPr>
          <w:rFonts w:ascii="Noto Sans" w:hAnsi="Noto Sans" w:eastAsia="Noto Sans"/>
          <w:b w:val="0"/>
          <w:i w:val="0"/>
          <w:color w:val="000000"/>
          <w:sz w:val="18"/>
        </w:rPr>
        <w:t>Publication e aggiornamento active pointer sono atomici.</w:t>
      </w:r>
    </w:p>
    <w:p>
      <w:pPr>
        <w:pStyle w:val="ListBullet"/>
        <w:spacing w:before="0" w:after="60" w:line="264" w:lineRule="auto"/>
      </w:pPr>
      <w:r>
        <w:rPr>
          <w:rFonts w:ascii="Noto Sans" w:hAnsi="Noto Sans" w:eastAsia="Noto Sans"/>
          <w:b w:val="0"/>
          <w:i w:val="0"/>
          <w:color w:val="000000"/>
          <w:sz w:val="18"/>
        </w:rPr>
        <w:t>Una policy ACTIVE non viene modificata in-place.</w:t>
      </w:r>
    </w:p>
    <w:p>
      <w:pPr>
        <w:pStyle w:val="ListBullet"/>
        <w:spacing w:before="0" w:after="60" w:line="264" w:lineRule="auto"/>
      </w:pPr>
      <w:r>
        <w:rPr>
          <w:rFonts w:ascii="Noto Sans" w:hAnsi="Noto Sans" w:eastAsia="Noto Sans"/>
          <w:b w:val="0"/>
          <w:i w:val="0"/>
          <w:color w:val="000000"/>
          <w:sz w:val="18"/>
        </w:rPr>
        <w:t>Il contenuto pubblicato ha contentHash SHA-256.</w:t>
      </w:r>
    </w:p>
    <w:p>
      <w:pPr>
        <w:pStyle w:val="ListBullet"/>
        <w:spacing w:before="0" w:after="60" w:line="264" w:lineRule="auto"/>
      </w:pPr>
      <w:r>
        <w:rPr>
          <w:rFonts w:ascii="Noto Sans" w:hAnsi="Noto Sans" w:eastAsia="Noto Sans"/>
          <w:b w:val="0"/>
          <w:i w:val="0"/>
          <w:color w:val="000000"/>
          <w:sz w:val="18"/>
        </w:rPr>
        <w:t>Le chiamate remote IAM non vengono eseguite dentro transazioni lunghe.</w:t>
      </w:r>
    </w:p>
    <w:p>
      <w:pPr>
        <w:pStyle w:val="ListBullet"/>
        <w:spacing w:before="0" w:after="60" w:line="264" w:lineRule="auto"/>
      </w:pPr>
      <w:r>
        <w:rPr>
          <w:rFonts w:ascii="Noto Sans" w:hAnsi="Noto Sans" w:eastAsia="Noto Sans"/>
          <w:b w:val="0"/>
          <w:i w:val="0"/>
          <w:color w:val="000000"/>
          <w:sz w:val="18"/>
        </w:rPr>
        <w:t>La cache directory può essere persa e ricostruita senza perdita di authority.</w:t>
      </w:r>
    </w:p>
    <w:p>
      <w:r>
        <w:rPr>
          <w:rFonts w:ascii="Noto Sans" w:hAnsi="Noto Sans" w:eastAsia="Noto Sans"/>
        </w:rPr>
      </w:r>
    </w:p>
    <w:p>
      <w:pPr>
        <w:pStyle w:val="Heading1"/>
        <w:keepNext/>
      </w:pPr>
      <w:r>
        <w:rPr>
          <w:rFonts w:ascii="Noto Sans" w:hAnsi="Noto Sans" w:eastAsia="Noto Sans"/>
        </w:rPr>
        <w:t>16. AuthorizationPolicyBundle e distribuzione</w:t>
      </w:r>
    </w:p>
    <w:p>
      <w:pPr>
        <w:pStyle w:val="Heading2"/>
        <w:keepNext/>
      </w:pPr>
      <w:r>
        <w:rPr>
          <w:rFonts w:ascii="Noto Sans" w:hAnsi="Noto Sans" w:eastAsia="Noto Sans"/>
        </w:rPr>
        <w:t>16.1 Obiettivo</w:t>
      </w:r>
    </w:p>
    <w:p>
      <w:pPr>
        <w:spacing w:before="0" w:after="120" w:line="276" w:lineRule="auto"/>
      </w:pPr>
      <w:r>
        <w:rPr>
          <w:rFonts w:ascii="Noto Sans" w:hAnsi="Noto Sans" w:eastAsia="Noto Sans"/>
          <w:b w:val="0"/>
          <w:i w:val="0"/>
          <w:color w:val="000000"/>
          <w:sz w:val="18"/>
        </w:rPr>
        <w:t>I servizi OUF devono poter applicare policy senza una dipendenza runtime sincrona dal componente Authorization per ogni richiesta. Il Policy Publisher produce un bundle immutabile, firmabile/hashato, che i servizi caricano e cacheano.</w:t>
      </w:r>
    </w:p>
    <w:p>
      <w:pPr>
        <w:pStyle w:val="Heading2"/>
        <w:keepNext/>
      </w:pPr>
      <w:r>
        <w:rPr>
          <w:rFonts w:ascii="Noto Sans" w:hAnsi="Noto Sans" w:eastAsia="Noto Sans"/>
        </w:rPr>
        <w:t>16.2 Contenuto minimo</w:t>
      </w:r>
    </w:p>
    <w:p>
      <w:pPr>
        <w:pStyle w:val="CodeBlock"/>
        <w:shd w:fill="F2F2F2"/>
      </w:pPr>
      <w:r>
        <w:rPr>
          <w:rFonts w:ascii="DejaVu Sans Mono" w:hAnsi="DejaVu Sans Mono" w:eastAsia="DejaVu Sans Mono"/>
          <w:b w:val="0"/>
          <w:i w:val="0"/>
          <w:color w:val="000000"/>
          <w:sz w:val="17"/>
        </w:rPr>
        <w:t>{</w:t>
      </w:r>
    </w:p>
    <w:p>
      <w:pPr>
        <w:pStyle w:val="CodeBlock"/>
        <w:shd w:fill="F2F2F2"/>
      </w:pPr>
      <w:r>
        <w:rPr>
          <w:rFonts w:ascii="DejaVu Sans Mono" w:hAnsi="DejaVu Sans Mono" w:eastAsia="DejaVu Sans Mono"/>
          <w:b w:val="0"/>
          <w:i w:val="0"/>
          <w:color w:val="000000"/>
          <w:sz w:val="17"/>
        </w:rPr>
        <w:t xml:space="preserve">  "publicationId": "authz-pub-2026-08-001",</w:t>
      </w:r>
    </w:p>
    <w:p>
      <w:pPr>
        <w:pStyle w:val="CodeBlock"/>
        <w:shd w:fill="F2F2F2"/>
      </w:pPr>
      <w:r>
        <w:rPr>
          <w:rFonts w:ascii="DejaVu Sans Mono" w:hAnsi="DejaVu Sans Mono" w:eastAsia="DejaVu Sans Mono"/>
          <w:b w:val="0"/>
          <w:i w:val="0"/>
          <w:color w:val="000000"/>
          <w:sz w:val="17"/>
        </w:rPr>
        <w:t xml:space="preserve">  "policyVersion": "1.0.3",</w:t>
      </w:r>
    </w:p>
    <w:p>
      <w:pPr>
        <w:pStyle w:val="CodeBlock"/>
        <w:shd w:fill="F2F2F2"/>
      </w:pPr>
      <w:r>
        <w:rPr>
          <w:rFonts w:ascii="DejaVu Sans Mono" w:hAnsi="DejaVu Sans Mono" w:eastAsia="DejaVu Sans Mono"/>
          <w:b w:val="0"/>
          <w:i w:val="0"/>
          <w:color w:val="000000"/>
          <w:sz w:val="17"/>
        </w:rPr>
        <w:t xml:space="preserve">  "createdAt": "2026-08-31T10:00:00Z",</w:t>
      </w:r>
    </w:p>
    <w:p>
      <w:pPr>
        <w:pStyle w:val="CodeBlock"/>
        <w:shd w:fill="F2F2F2"/>
      </w:pPr>
      <w:r>
        <w:rPr>
          <w:rFonts w:ascii="DejaVu Sans Mono" w:hAnsi="DejaVu Sans Mono" w:eastAsia="DejaVu Sans Mono"/>
          <w:b w:val="0"/>
          <w:i w:val="0"/>
          <w:color w:val="000000"/>
          <w:sz w:val="17"/>
        </w:rPr>
        <w:t xml:space="preserve">  "contentHash": "sha256:...",</w:t>
      </w:r>
    </w:p>
    <w:p>
      <w:pPr>
        <w:pStyle w:val="CodeBlock"/>
        <w:shd w:fill="F2F2F2"/>
      </w:pPr>
      <w:r>
        <w:rPr>
          <w:rFonts w:ascii="DejaVu Sans Mono" w:hAnsi="DejaVu Sans Mono" w:eastAsia="DejaVu Sans Mono"/>
          <w:b w:val="0"/>
          <w:i w:val="0"/>
          <w:color w:val="000000"/>
          <w:sz w:val="17"/>
        </w:rPr>
        <w:t xml:space="preserve">  "capabilitySchemaVersion": "1",</w:t>
      </w:r>
    </w:p>
    <w:p>
      <w:pPr>
        <w:pStyle w:val="CodeBlock"/>
        <w:shd w:fill="F2F2F2"/>
      </w:pPr>
      <w:r>
        <w:rPr>
          <w:rFonts w:ascii="DejaVu Sans Mono" w:hAnsi="DejaVu Sans Mono" w:eastAsia="DejaVu Sans Mono"/>
          <w:b w:val="0"/>
          <w:i w:val="0"/>
          <w:color w:val="000000"/>
          <w:sz w:val="17"/>
        </w:rPr>
        <w:t xml:space="preserve">  "grants": [ ... ],</w:t>
      </w:r>
    </w:p>
    <w:p>
      <w:pPr>
        <w:pStyle w:val="CodeBlock"/>
        <w:shd w:fill="F2F2F2"/>
      </w:pPr>
      <w:r>
        <w:rPr>
          <w:rFonts w:ascii="DejaVu Sans Mono" w:hAnsi="DejaVu Sans Mono" w:eastAsia="DejaVu Sans Mono"/>
          <w:b w:val="0"/>
          <w:i w:val="0"/>
          <w:color w:val="000000"/>
          <w:sz w:val="17"/>
        </w:rPr>
        <w:t xml:space="preserve">  "denyRules": [ ... ]</w:t>
      </w:r>
    </w:p>
    <w:p>
      <w:pPr>
        <w:pStyle w:val="CodeBlock"/>
        <w:shd w:fill="F2F2F2"/>
      </w:pPr>
      <w:r>
        <w:rPr>
          <w:rFonts w:ascii="DejaVu Sans Mono" w:hAnsi="DejaVu Sans Mono" w:eastAsia="DejaVu Sans Mono"/>
          <w:b w:val="0"/>
          <w:i w:val="0"/>
          <w:color w:val="000000"/>
          <w:sz w:val="17"/>
        </w:rPr>
        <w:t>}</w:t>
      </w:r>
    </w:p>
    <w:p>
      <w:pPr>
        <w:pStyle w:val="Heading2"/>
        <w:keepNext/>
      </w:pPr>
      <w:r>
        <w:rPr>
          <w:rFonts w:ascii="Noto Sans" w:hAnsi="Noto Sans" w:eastAsia="Noto Sans"/>
        </w:rPr>
        <w:t>16.3 Refresh</w:t>
      </w:r>
    </w:p>
    <w:p>
      <w:pPr>
        <w:pStyle w:val="ListBullet"/>
        <w:spacing w:before="0" w:after="60" w:line="264" w:lineRule="auto"/>
      </w:pPr>
      <w:r>
        <w:rPr>
          <w:rFonts w:ascii="Noto Sans" w:hAnsi="Noto Sans" w:eastAsia="Noto Sans"/>
          <w:b w:val="0"/>
          <w:i w:val="0"/>
          <w:color w:val="000000"/>
          <w:sz w:val="18"/>
        </w:rPr>
        <w:t>Pull iniziale e polling leggero dell’active pointer; eventuale evento futuro è solo acceleratore, non requisito.</w:t>
      </w:r>
    </w:p>
    <w:p>
      <w:pPr>
        <w:pStyle w:val="ListBullet"/>
        <w:spacing w:before="0" w:after="60" w:line="264" w:lineRule="auto"/>
      </w:pPr>
      <w:r>
        <w:rPr>
          <w:rFonts w:ascii="Noto Sans" w:hAnsi="Noto Sans" w:eastAsia="Noto Sans"/>
          <w:b w:val="0"/>
          <w:i w:val="0"/>
          <w:color w:val="000000"/>
          <w:sz w:val="18"/>
        </w:rPr>
        <w:t>ETag/If-None-Match per evitare download inutili.</w:t>
      </w:r>
    </w:p>
    <w:p>
      <w:pPr>
        <w:pStyle w:val="ListBullet"/>
        <w:spacing w:before="0" w:after="60" w:line="264" w:lineRule="auto"/>
      </w:pPr>
      <w:r>
        <w:rPr>
          <w:rFonts w:ascii="Noto Sans" w:hAnsi="Noto Sans" w:eastAsia="Noto Sans"/>
          <w:b w:val="0"/>
          <w:i w:val="0"/>
          <w:color w:val="000000"/>
          <w:sz w:val="18"/>
        </w:rPr>
        <w:t>Bundle precedente mantenuto per rollback/audit.</w:t>
      </w:r>
    </w:p>
    <w:p>
      <w:pPr>
        <w:pStyle w:val="ListBullet"/>
        <w:spacing w:before="0" w:after="60" w:line="264" w:lineRule="auto"/>
      </w:pPr>
      <w:r>
        <w:rPr>
          <w:rFonts w:ascii="Noto Sans" w:hAnsi="Noto Sans" w:eastAsia="Noto Sans"/>
          <w:b w:val="0"/>
          <w:i w:val="0"/>
          <w:color w:val="000000"/>
          <w:sz w:val="18"/>
        </w:rPr>
        <w:t>Revoca urgente può forzare TTL breve o invalidazione tramite configurazione condivisa; nessun broker dedicato richiesto.</w:t>
      </w:r>
    </w:p>
    <w:p>
      <w:r>
        <w:rPr>
          <w:rFonts w:ascii="Noto Sans" w:hAnsi="Noto Sans" w:eastAsia="Noto Sans"/>
        </w:rPr>
      </w:r>
    </w:p>
    <w:p>
      <w:pPr>
        <w:pStyle w:val="Heading2"/>
      </w:pPr>
      <w:r>
        <w:rPr>
          <w:rFonts w:ascii="Noto Sans" w:hAnsi="Noto Sans"/>
        </w:rPr>
        <w:t>16.1 Atomic policy snapshot per request</w:t>
      </w:r>
    </w:p>
    <w:p>
      <w:pPr/>
      <w:r>
        <w:rPr>
          <w:rFonts w:ascii="Noto Sans" w:hAnsi="Noto Sans"/>
        </w:rPr>
        <w:t>Il refresh dell'AuthorizationPolicyBundle DEVE avvenire tramite pubblicazione atomica di un oggetto immutabile. Ogni richiesta cattura una singola reference del bundle attivo all'inizio dell'evaluation e usa esclusivamente quella policyVersion per capability check, ABAC, resource scope e DataAccessLabel fino alla produzione della decisione finale. Un refresh concorrente non può modificare la semantica di una request già in-flight.</w:t>
      </w:r>
    </w:p>
    <w:p>
      <w:pPr/>
      <w:r>
        <w:rPr>
          <w:rFonts w:ascii="Noto Sans" w:hAnsi="Noto Sans"/>
        </w:rPr>
        <w:t>request start</w:t>
        <w:br/>
        <w:t>policySnapshot = activePolicyRef.get()</w:t>
        <w:br/>
        <w:br/>
        <w:t>evaluate capability</w:t>
        <w:br/>
        <w:t>evaluate ABAC/resource scope</w:t>
        <w:br/>
        <w:t>evaluate DataAccessLabel</w:t>
        <w:br/>
        <w:t>build AuthorizationDecision</w:t>
        <w:br/>
        <w:t>audit policyVersion</w:t>
        <w:br/>
        <w:br/>
        <w:t>request end</w:t>
        <w:br/>
        <w:br/>
        <w:t>refresh worker:</w:t>
        <w:br/>
        <w:t>build -&gt; validate -&gt; immutable bundle</w:t>
        <w:br/>
        <w:t>activePolicyRef.set(newBundle)</w:t>
      </w:r>
    </w:p>
    <w:p>
      <w:pPr/>
      <w:r>
        <w:rPr>
          <w:rFonts w:ascii="Noto Sans" w:hAnsi="Noto Sans"/>
        </w:rPr>
        <w:t>POLICY-ATOMIC-01 — Il runtime SHOULD usare AtomicReference&lt;AuthorizationPolicyBundle&gt; o meccanismo equivalente con atomic swap. Il bundle pubblicato è immutabile; non vengono mutate map/list interne dopo la publication.</w:t>
      </w:r>
    </w:p>
    <w:p>
      <w:pPr/>
      <w:r>
        <w:rPr>
          <w:rFonts w:ascii="Noto Sans" w:hAnsi="Noto Sans"/>
        </w:rPr>
        <w:t>POLICY-ATOMIC-02 — Una singola request non deve richiamare activePolicyRef.get() in punti diversi dell'evaluation per ottenere la policy corrente. La reference viene acquisita una volta e propagata nell'AuthorizationContext.</w:t>
      </w:r>
    </w:p>
    <w:p>
      <w:pPr/>
      <w:r>
        <w:rPr>
          <w:rFonts w:ascii="Noto Sans" w:hAnsi="Noto Sans"/>
        </w:rPr>
        <w:t>POLICY-ATOMIC-03 — Il refresh worker costruisce e valida completamente il nuovo bundle prima dello swap. Un bundle parziale o non validato non diventa mai ACTIVE.</w:t>
      </w:r>
    </w:p>
    <w:p>
      <w:pPr/>
      <w:r>
        <w:rPr>
          <w:rFonts w:ascii="Noto Sans" w:hAnsi="Noto Sans"/>
        </w:rPr>
        <w:t>POLICY-ATOMIC-04 — AuthorizationDecision e audit evidence registrano policyVersion/bundle checksum usati dalla request, così da rendere riproducibile un ALLOW/DENY anche dopo refresh successivi.</w:t>
      </w:r>
    </w:p>
    <w:p>
      <w:pPr>
        <w:pStyle w:val="Heading1"/>
        <w:keepNext/>
      </w:pPr>
      <w:r>
        <w:rPr>
          <w:rFonts w:ascii="Noto Sans" w:hAnsi="Noto Sans" w:eastAsia="Noto Sans"/>
        </w:rPr>
        <w:t>17. Enforcement nei moduli OUF</w:t>
      </w:r>
    </w:p>
    <w:p>
      <w:pPr>
        <w:pStyle w:val="Heading2"/>
        <w:keepNext/>
      </w:pPr>
      <w:r>
        <w:rPr>
          <w:rFonts w:ascii="Noto Sans" w:hAnsi="Noto Sans" w:eastAsia="Noto Sans"/>
        </w:rPr>
        <w:t>17.1 Pattern</w:t>
      </w:r>
    </w:p>
    <w:p>
      <w:pPr>
        <w:pStyle w:val="CodeBlock"/>
        <w:shd w:fill="F2F2F2"/>
      </w:pPr>
      <w:r>
        <w:rPr>
          <w:rFonts w:ascii="DejaVu Sans Mono" w:hAnsi="DejaVu Sans Mono" w:eastAsia="DejaVu Sans Mono"/>
          <w:b w:val="0"/>
          <w:i w:val="0"/>
          <w:color w:val="000000"/>
          <w:sz w:val="17"/>
        </w:rPr>
        <w:t>Request</w:t>
      </w:r>
    </w:p>
    <w:p>
      <w:pPr>
        <w:pStyle w:val="CodeBlock"/>
        <w:shd w:fill="F2F2F2"/>
      </w:pPr>
      <w:r>
        <w:rPr>
          <w:rFonts w:ascii="DejaVu Sans Mono" w:hAnsi="DejaVu Sans Mono" w:eastAsia="DejaVu Sans Mono"/>
          <w:b w:val="0"/>
          <w:i w:val="0"/>
          <w:color w:val="000000"/>
          <w:sz w:val="17"/>
        </w:rPr>
        <w:t xml:space="preserve">  ↓</w:t>
      </w:r>
    </w:p>
    <w:p>
      <w:pPr>
        <w:pStyle w:val="CodeBlock"/>
        <w:shd w:fill="F2F2F2"/>
      </w:pPr>
      <w:r>
        <w:rPr>
          <w:rFonts w:ascii="DejaVu Sans Mono" w:hAnsi="DejaVu Sans Mono" w:eastAsia="DejaVu Sans Mono"/>
          <w:b w:val="0"/>
          <w:i w:val="0"/>
          <w:color w:val="000000"/>
          <w:sz w:val="17"/>
        </w:rPr>
        <w:t>Gateway token validation + coarse scope</w:t>
      </w:r>
    </w:p>
    <w:p>
      <w:pPr>
        <w:pStyle w:val="CodeBlock"/>
        <w:shd w:fill="F2F2F2"/>
      </w:pPr>
      <w:r>
        <w:rPr>
          <w:rFonts w:ascii="DejaVu Sans Mono" w:hAnsi="DejaVu Sans Mono" w:eastAsia="DejaVu Sans Mono"/>
          <w:b w:val="0"/>
          <w:i w:val="0"/>
          <w:color w:val="000000"/>
          <w:sz w:val="17"/>
        </w:rPr>
        <w:t xml:space="preserve">  ↓</w:t>
      </w:r>
    </w:p>
    <w:p>
      <w:pPr>
        <w:pStyle w:val="CodeBlock"/>
        <w:shd w:fill="F2F2F2"/>
      </w:pPr>
      <w:r>
        <w:rPr>
          <w:rFonts w:ascii="DejaVu Sans Mono" w:hAnsi="DejaVu Sans Mono" w:eastAsia="DejaVu Sans Mono"/>
          <w:b w:val="0"/>
          <w:i w:val="0"/>
          <w:color w:val="000000"/>
          <w:sz w:val="17"/>
        </w:rPr>
        <w:t>Service Security Filter</w:t>
      </w:r>
    </w:p>
    <w:p>
      <w:pPr>
        <w:pStyle w:val="CodeBlock"/>
        <w:shd w:fill="F2F2F2"/>
      </w:pPr>
      <w:r>
        <w:rPr>
          <w:rFonts w:ascii="DejaVu Sans Mono" w:hAnsi="DejaVu Sans Mono" w:eastAsia="DejaVu Sans Mono"/>
          <w:b w:val="0"/>
          <w:i w:val="0"/>
          <w:color w:val="000000"/>
          <w:sz w:val="17"/>
        </w:rPr>
        <w:t xml:space="preserve">  ↓</w:t>
      </w:r>
    </w:p>
    <w:p>
      <w:pPr>
        <w:pStyle w:val="CodeBlock"/>
        <w:shd w:fill="F2F2F2"/>
      </w:pPr>
      <w:r>
        <w:rPr>
          <w:rFonts w:ascii="DejaVu Sans Mono" w:hAnsi="DejaVu Sans Mono" w:eastAsia="DejaVu Sans Mono"/>
          <w:b w:val="0"/>
          <w:i w:val="0"/>
          <w:color w:val="000000"/>
          <w:sz w:val="17"/>
        </w:rPr>
        <w:t>Authorization SDK.evaluate(capability, resourceContext)</w:t>
      </w:r>
    </w:p>
    <w:p>
      <w:pPr>
        <w:pStyle w:val="CodeBlock"/>
        <w:shd w:fill="F2F2F2"/>
      </w:pPr>
      <w:r>
        <w:rPr>
          <w:rFonts w:ascii="DejaVu Sans Mono" w:hAnsi="DejaVu Sans Mono" w:eastAsia="DejaVu Sans Mono"/>
          <w:b w:val="0"/>
          <w:i w:val="0"/>
          <w:color w:val="000000"/>
          <w:sz w:val="17"/>
        </w:rPr>
        <w:t xml:space="preserve">  ↓ ALLOW</w:t>
      </w:r>
    </w:p>
    <w:p>
      <w:pPr>
        <w:pStyle w:val="CodeBlock"/>
        <w:shd w:fill="F2F2F2"/>
      </w:pPr>
      <w:r>
        <w:rPr>
          <w:rFonts w:ascii="DejaVu Sans Mono" w:hAnsi="DejaVu Sans Mono" w:eastAsia="DejaVu Sans Mono"/>
          <w:b w:val="0"/>
          <w:i w:val="0"/>
          <w:color w:val="000000"/>
          <w:sz w:val="17"/>
        </w:rPr>
        <w:t>Domain guard / state machine</w:t>
      </w:r>
    </w:p>
    <w:p>
      <w:pPr>
        <w:pStyle w:val="CodeBlock"/>
        <w:shd w:fill="F2F2F2"/>
      </w:pPr>
      <w:r>
        <w:rPr>
          <w:rFonts w:ascii="DejaVu Sans Mono" w:hAnsi="DejaVu Sans Mono" w:eastAsia="DejaVu Sans Mono"/>
          <w:b w:val="0"/>
          <w:i w:val="0"/>
          <w:color w:val="000000"/>
          <w:sz w:val="17"/>
        </w:rPr>
        <w:t xml:space="preserve">  ↓</w:t>
      </w:r>
    </w:p>
    <w:p>
      <w:pPr>
        <w:pStyle w:val="CodeBlock"/>
        <w:shd w:fill="F2F2F2"/>
      </w:pPr>
      <w:r>
        <w:rPr>
          <w:rFonts w:ascii="DejaVu Sans Mono" w:hAnsi="DejaVu Sans Mono" w:eastAsia="DejaVu Sans Mono"/>
          <w:b w:val="0"/>
          <w:i w:val="0"/>
          <w:color w:val="000000"/>
          <w:sz w:val="17"/>
        </w:rPr>
        <w:t>Use case</w:t>
      </w:r>
    </w:p>
    <w:p>
      <w:pPr>
        <w:pStyle w:val="Heading2"/>
        <w:keepNext/>
      </w:pPr>
      <w:r>
        <w:rPr>
          <w:rFonts w:ascii="Noto Sans" w:hAnsi="Noto Sans" w:eastAsia="Noto Sans"/>
        </w:rPr>
        <w:t>17.2 Shared Authorization SDK</w:t>
      </w:r>
    </w:p>
    <w:p>
      <w:pPr>
        <w:pStyle w:val="ListBullet"/>
        <w:spacing w:before="0" w:after="60" w:line="264" w:lineRule="auto"/>
      </w:pPr>
      <w:r>
        <w:rPr>
          <w:rFonts w:ascii="Noto Sans" w:hAnsi="Noto Sans" w:eastAsia="Noto Sans"/>
          <w:b w:val="0"/>
          <w:i w:val="0"/>
          <w:color w:val="000000"/>
          <w:sz w:val="18"/>
        </w:rPr>
        <w:t>Parsing e normalizzazione del principal trusted.</w:t>
      </w:r>
    </w:p>
    <w:p>
      <w:pPr>
        <w:pStyle w:val="ListBullet"/>
        <w:spacing w:before="0" w:after="60" w:line="264" w:lineRule="auto"/>
      </w:pPr>
      <w:r>
        <w:rPr>
          <w:rFonts w:ascii="Noto Sans" w:hAnsi="Noto Sans" w:eastAsia="Noto Sans"/>
          <w:b w:val="0"/>
          <w:i w:val="0"/>
          <w:color w:val="000000"/>
          <w:sz w:val="18"/>
        </w:rPr>
        <w:t>Accesso ai claim ruolo/org già validati.</w:t>
      </w:r>
    </w:p>
    <w:p>
      <w:pPr>
        <w:pStyle w:val="ListBullet"/>
        <w:spacing w:before="0" w:after="60" w:line="264" w:lineRule="auto"/>
      </w:pPr>
      <w:r>
        <w:rPr>
          <w:rFonts w:ascii="Noto Sans" w:hAnsi="Noto Sans" w:eastAsia="Noto Sans"/>
          <w:b w:val="0"/>
          <w:i w:val="0"/>
          <w:color w:val="000000"/>
          <w:sz w:val="18"/>
        </w:rPr>
        <w:t>Caricamento/cache del bundle ACTIVE.</w:t>
      </w:r>
    </w:p>
    <w:p>
      <w:pPr>
        <w:pStyle w:val="ListBullet"/>
        <w:spacing w:before="0" w:after="60" w:line="264" w:lineRule="auto"/>
      </w:pPr>
      <w:r>
        <w:rPr>
          <w:rFonts w:ascii="Noto Sans" w:hAnsi="Noto Sans" w:eastAsia="Noto Sans"/>
          <w:b w:val="0"/>
          <w:i w:val="0"/>
          <w:color w:val="000000"/>
          <w:sz w:val="18"/>
        </w:rPr>
        <w:t>Evaluator deterministico e testabile.</w:t>
      </w:r>
    </w:p>
    <w:p>
      <w:pPr>
        <w:pStyle w:val="ListBullet"/>
        <w:spacing w:before="0" w:after="60" w:line="264" w:lineRule="auto"/>
      </w:pPr>
      <w:r>
        <w:rPr>
          <w:rFonts w:ascii="Noto Sans" w:hAnsi="Noto Sans" w:eastAsia="Noto Sans"/>
          <w:b w:val="0"/>
          <w:i w:val="0"/>
          <w:color w:val="000000"/>
          <w:sz w:val="18"/>
        </w:rPr>
        <w:t>Annotazioni/helper per capability checks.</w:t>
      </w:r>
    </w:p>
    <w:p>
      <w:pPr>
        <w:pStyle w:val="ListBullet"/>
        <w:spacing w:before="0" w:after="60" w:line="264" w:lineRule="auto"/>
      </w:pPr>
      <w:r>
        <w:rPr>
          <w:rFonts w:ascii="Noto Sans" w:hAnsi="Noto Sans" w:eastAsia="Noto Sans"/>
          <w:b w:val="0"/>
          <w:i w:val="0"/>
          <w:color w:val="000000"/>
          <w:sz w:val="18"/>
        </w:rPr>
        <w:t>Reason codes standardizzati.</w:t>
      </w:r>
    </w:p>
    <w:p>
      <w:pPr>
        <w:pStyle w:val="ListBullet"/>
        <w:spacing w:before="0" w:after="60" w:line="264" w:lineRule="auto"/>
      </w:pPr>
      <w:r>
        <w:rPr>
          <w:rFonts w:ascii="Noto Sans" w:hAnsi="Noto Sans" w:eastAsia="Noto Sans"/>
          <w:b w:val="0"/>
          <w:i w:val="0"/>
          <w:color w:val="000000"/>
          <w:sz w:val="18"/>
        </w:rPr>
        <w:t>CorrelationId e policyVersion nei log security-relevant.</w:t>
      </w:r>
    </w:p>
    <w:p>
      <w:pPr>
        <w:pStyle w:val="Heading2"/>
        <w:keepNext/>
      </w:pPr>
      <w:r>
        <w:rPr>
          <w:rFonts w:ascii="Noto Sans" w:hAnsi="Noto Sans" w:eastAsia="Noto Sans"/>
        </w:rPr>
        <w:t>17.3 Esempio Spring</w:t>
      </w:r>
    </w:p>
    <w:p>
      <w:pPr>
        <w:pStyle w:val="CodeBlock"/>
        <w:shd w:fill="F2F2F2"/>
      </w:pPr>
      <w:r>
        <w:rPr>
          <w:rFonts w:ascii="DejaVu Sans Mono" w:hAnsi="DejaVu Sans Mono" w:eastAsia="DejaVu Sans Mono"/>
          <w:b w:val="0"/>
          <w:i w:val="0"/>
          <w:color w:val="000000"/>
          <w:sz w:val="17"/>
        </w:rPr>
        <w:t>@RequiresCapability("semantic.publish")</w:t>
      </w:r>
    </w:p>
    <w:p>
      <w:pPr>
        <w:pStyle w:val="CodeBlock"/>
        <w:shd w:fill="F2F2F2"/>
      </w:pPr>
      <w:r>
        <w:rPr>
          <w:rFonts w:ascii="DejaVu Sans Mono" w:hAnsi="DejaVu Sans Mono" w:eastAsia="DejaVu Sans Mono"/>
          <w:b w:val="0"/>
          <w:i w:val="0"/>
          <w:color w:val="000000"/>
          <w:sz w:val="17"/>
        </w:rPr>
        <w:t>@RequiresActor(HUMAN_USER)</w:t>
      </w:r>
    </w:p>
    <w:p>
      <w:pPr>
        <w:pStyle w:val="CodeBlock"/>
        <w:shd w:fill="F2F2F2"/>
      </w:pPr>
      <w:r>
        <w:rPr>
          <w:rFonts w:ascii="DejaVu Sans Mono" w:hAnsi="DejaVu Sans Mono" w:eastAsia="DejaVu Sans Mono"/>
          <w:b w:val="0"/>
          <w:i w:val="0"/>
          <w:color w:val="000000"/>
          <w:sz w:val="17"/>
        </w:rPr>
        <w:t>public PublicationResult publish(...) {</w:t>
      </w:r>
    </w:p>
    <w:p>
      <w:pPr>
        <w:pStyle w:val="CodeBlock"/>
        <w:shd w:fill="F2F2F2"/>
      </w:pPr>
      <w:r>
        <w:rPr>
          <w:rFonts w:ascii="DejaVu Sans Mono" w:hAnsi="DejaVu Sans Mono" w:eastAsia="DejaVu Sans Mono"/>
          <w:b w:val="0"/>
          <w:i w:val="0"/>
          <w:color w:val="000000"/>
          <w:sz w:val="17"/>
        </w:rPr>
        <w:t xml:space="preserve">    // domain validation + approval challenge</w:t>
      </w:r>
    </w:p>
    <w:p>
      <w:pPr>
        <w:pStyle w:val="CodeBlock"/>
        <w:shd w:fill="F2F2F2"/>
      </w:pPr>
      <w:r>
        <w:rPr>
          <w:rFonts w:ascii="DejaVu Sans Mono" w:hAnsi="DejaVu Sans Mono" w:eastAsia="DejaVu Sans Mono"/>
          <w:b w:val="0"/>
          <w:i w:val="0"/>
          <w:color w:val="000000"/>
          <w:sz w:val="17"/>
        </w:rPr>
        <w:t>}</w:t>
      </w:r>
    </w:p>
    <w:p>
      <w:r>
        <w:rPr>
          <w:rFonts w:ascii="Noto Sans" w:hAnsi="Noto Sans" w:eastAsia="Noto Sans"/>
        </w:rPr>
      </w:r>
    </w:p>
    <w:p>
      <w:pPr>
        <w:pStyle w:val="Heading1"/>
        <w:keepNext/>
      </w:pPr>
      <w:r>
        <w:rPr>
          <w:rFonts w:ascii="Noto Sans" w:hAnsi="Noto Sans" w:eastAsia="Noto Sans"/>
        </w:rPr>
        <w:t>18. Confine con Urban API Gateway</w:t>
      </w:r>
    </w:p>
    <w:p>
      <w:pPr>
        <w:pStyle w:val="Heading2"/>
        <w:keepNext/>
      </w:pPr>
      <w:r>
        <w:rPr>
          <w:rFonts w:ascii="Noto Sans" w:hAnsi="Noto Sans" w:eastAsia="Noto Sans"/>
        </w:rPr>
        <w:t>18.1 Responsabilità Gateway</w:t>
      </w:r>
    </w:p>
    <w:p>
      <w:pPr>
        <w:pStyle w:val="ListBullet"/>
        <w:spacing w:before="0" w:after="60" w:line="264" w:lineRule="auto"/>
      </w:pPr>
      <w:r>
        <w:rPr>
          <w:rFonts w:ascii="Noto Sans" w:hAnsi="Noto Sans" w:eastAsia="Noto Sans"/>
          <w:b w:val="0"/>
          <w:i w:val="0"/>
          <w:color w:val="000000"/>
          <w:sz w:val="18"/>
        </w:rPr>
        <w:t>Validare issuer, firma, audience, expiration e token format.</w:t>
      </w:r>
    </w:p>
    <w:p>
      <w:pPr>
        <w:pStyle w:val="ListBullet"/>
        <w:spacing w:before="0" w:after="60" w:line="264" w:lineRule="auto"/>
      </w:pPr>
      <w:r>
        <w:rPr>
          <w:rFonts w:ascii="Noto Sans" w:hAnsi="Noto Sans" w:eastAsia="Noto Sans"/>
          <w:b w:val="0"/>
          <w:i w:val="0"/>
          <w:color w:val="000000"/>
          <w:sz w:val="18"/>
        </w:rPr>
        <w:t>Applicare coarse OAuth scopes e route-level policy.</w:t>
      </w:r>
    </w:p>
    <w:p>
      <w:pPr>
        <w:pStyle w:val="ListBullet"/>
        <w:spacing w:before="0" w:after="60" w:line="264" w:lineRule="auto"/>
      </w:pPr>
      <w:r>
        <w:rPr>
          <w:rFonts w:ascii="Noto Sans" w:hAnsi="Noto Sans" w:eastAsia="Noto Sans"/>
          <w:b w:val="0"/>
          <w:i w:val="0"/>
          <w:color w:val="000000"/>
          <w:sz w:val="18"/>
        </w:rPr>
        <w:t>Gestire rate limiting, mTLS e boundary security.</w:t>
      </w:r>
    </w:p>
    <w:p>
      <w:pPr>
        <w:pStyle w:val="ListBullet"/>
        <w:spacing w:before="0" w:after="60" w:line="264" w:lineRule="auto"/>
      </w:pPr>
      <w:r>
        <w:rPr>
          <w:rFonts w:ascii="Noto Sans" w:hAnsi="Noto Sans" w:eastAsia="Noto Sans"/>
          <w:b w:val="0"/>
          <w:i w:val="0"/>
          <w:color w:val="000000"/>
          <w:sz w:val="18"/>
        </w:rPr>
        <w:t>Propagare identity context e correlation ID in modo sicuro.</w:t>
      </w:r>
    </w:p>
    <w:p>
      <w:pPr>
        <w:pStyle w:val="Heading2"/>
        <w:keepNext/>
      </w:pPr>
      <w:r>
        <w:rPr>
          <w:rFonts w:ascii="Noto Sans" w:hAnsi="Noto Sans" w:eastAsia="Noto Sans"/>
        </w:rPr>
        <w:t>18.2 Responsabilità escluse dal Gateway</w:t>
      </w:r>
    </w:p>
    <w:p>
      <w:pPr>
        <w:pStyle w:val="ListBullet"/>
        <w:spacing w:before="0" w:after="60" w:line="264" w:lineRule="auto"/>
      </w:pPr>
      <w:r>
        <w:rPr>
          <w:rFonts w:ascii="Noto Sans" w:hAnsi="Noto Sans" w:eastAsia="Noto Sans"/>
          <w:b w:val="0"/>
          <w:i w:val="0"/>
          <w:color w:val="000000"/>
          <w:sz w:val="18"/>
        </w:rPr>
        <w:t>Interpretare la struttura organizzativa dell’Ente.</w:t>
      </w:r>
    </w:p>
    <w:p>
      <w:pPr>
        <w:pStyle w:val="ListBullet"/>
        <w:spacing w:before="0" w:after="60" w:line="264" w:lineRule="auto"/>
      </w:pPr>
      <w:r>
        <w:rPr>
          <w:rFonts w:ascii="Noto Sans" w:hAnsi="Noto Sans" w:eastAsia="Noto Sans"/>
          <w:b w:val="0"/>
          <w:i w:val="0"/>
          <w:color w:val="000000"/>
          <w:sz w:val="18"/>
        </w:rPr>
        <w:t>Decidere se RESPONSABILE_SUO può approvare una specifica fonte.</w:t>
      </w:r>
    </w:p>
    <w:p>
      <w:pPr>
        <w:pStyle w:val="ListBullet"/>
        <w:spacing w:before="0" w:after="60" w:line="264" w:lineRule="auto"/>
      </w:pPr>
      <w:r>
        <w:rPr>
          <w:rFonts w:ascii="Noto Sans" w:hAnsi="Noto Sans" w:eastAsia="Noto Sans"/>
          <w:b w:val="0"/>
          <w:i w:val="0"/>
          <w:color w:val="000000"/>
          <w:sz w:val="18"/>
        </w:rPr>
        <w:t>Gestire segregation of duties.</w:t>
      </w:r>
    </w:p>
    <w:p>
      <w:pPr>
        <w:pStyle w:val="ListBullet"/>
        <w:spacing w:before="0" w:after="60" w:line="264" w:lineRule="auto"/>
      </w:pPr>
      <w:r>
        <w:rPr>
          <w:rFonts w:ascii="Noto Sans" w:hAnsi="Noto Sans" w:eastAsia="Noto Sans"/>
          <w:b w:val="0"/>
          <w:i w:val="0"/>
          <w:color w:val="000000"/>
          <w:sz w:val="18"/>
        </w:rPr>
        <w:t>Valutare workflow state o resource ownership.</w:t>
      </w:r>
    </w:p>
    <w:p>
      <w:pPr>
        <w:pStyle w:val="ListBullet"/>
        <w:spacing w:before="0" w:after="60" w:line="264" w:lineRule="auto"/>
      </w:pPr>
      <w:r>
        <w:rPr>
          <w:rFonts w:ascii="Noto Sans" w:hAnsi="Noto Sans" w:eastAsia="Noto Sans"/>
          <w:b w:val="0"/>
          <w:i w:val="0"/>
          <w:color w:val="000000"/>
          <w:sz w:val="18"/>
        </w:rPr>
        <w:t>Contenere policy di business OUF in plugin custom.</w:t>
      </w:r>
    </w:p>
    <w:tbl>
      <w:tblPr>
        <w:tblW w:type="auto" w:w="0"/>
        <w:jc w:val="center"/>
        <w:tblLayout w:type="fixed"/>
        <w:tblLook w:firstColumn="1" w:firstRow="1" w:lastColumn="0" w:lastRow="0" w:noHBand="0" w:noVBand="1" w:val="04A0"/>
      </w:tblPr>
      <w:tblGrid>
        <w:gridCol w:w="8787"/>
      </w:tblGrid>
      <w:tr>
        <w:trPr>
          <w:tblHeader w:val="true"/>
        </w:trPr>
        <w:tc>
          <w:tcPr>
            <w:tcW w:type="dxa" w:w="9406"/>
            <w:shd w:fill="0B4F6C"/>
            <w:tcBorders>
              <w:top w:val="single" w:sz="10" w:color="2E7D32"/>
              <w:left w:val="single" w:sz="10" w:color="2E7D32"/>
              <w:bottom w:val="single" w:sz="10" w:color="2E7D32"/>
              <w:right w:val="single" w:sz="10" w:color="2E7D32"/>
            </w:tcBorders>
          </w:tcPr>
          <w:p>
            <w:pPr>
              <w:spacing w:before="40" w:after="80" w:line="264" w:lineRule="auto"/>
            </w:pPr>
            <w:r>
              <w:rPr>
                <w:rFonts w:ascii="Noto Sans" w:hAnsi="Noto Sans" w:eastAsia="Noto Sans"/>
                <w:b/>
                <w:i w:val="0"/>
                <w:color w:val="FFFFFF"/>
                <w:sz w:val="17"/>
              </w:rPr>
              <w:t>Invariante</w:t>
            </w:r>
          </w:p>
          <w:p>
            <w:pPr>
              <w:spacing w:before="0" w:after="40" w:line="264" w:lineRule="auto"/>
            </w:pPr>
            <w:r>
              <w:rPr>
                <w:rFonts w:ascii="Noto Sans" w:hAnsi="Noto Sans" w:eastAsia="Noto Sans"/>
                <w:b/>
                <w:i w:val="0"/>
                <w:color w:val="FFFFFF"/>
                <w:sz w:val="17"/>
              </w:rPr>
              <w:t>Il Gateway può negare prima; non può concedere un’operazione che il servizio applicativo nega.</w:t>
            </w:r>
          </w:p>
        </w:tc>
      </w:tr>
    </w:tbl>
    <w:p>
      <w:pPr>
        <w:spacing w:after="20"/>
      </w:pPr>
    </w:p>
    <w:p>
      <w:r>
        <w:rPr>
          <w:rFonts w:ascii="Noto Sans" w:hAnsi="Noto Sans" w:eastAsia="Noto Sans"/>
        </w:rPr>
      </w:r>
    </w:p>
    <w:p>
      <w:pPr>
        <w:pStyle w:val="Heading1"/>
        <w:keepNext/>
      </w:pPr>
      <w:r>
        <w:rPr>
          <w:rFonts w:ascii="Noto Sans" w:hAnsi="Noto Sans" w:eastAsia="Noto Sans"/>
        </w:rPr>
        <w:t>19. Confini con i moduli OUF</w:t>
      </w:r>
    </w:p>
    <w:tbl>
      <w:tblPr>
        <w:tblStyle w:val="TableGrid"/>
        <w:tblW w:type="auto" w:w="0"/>
        <w:jc w:val="center"/>
        <w:tblLayout w:type="fixed"/>
        <w:tblLook w:firstColumn="1" w:firstRow="1" w:lastColumn="0" w:lastRow="0" w:noHBand="0" w:noVBand="1" w:val="04A0"/>
      </w:tblPr>
      <w:tblGrid>
        <w:gridCol w:w="2551"/>
        <w:gridCol w:w="6236"/>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Modulo</w:t>
            </w:r>
          </w:p>
        </w:tc>
        <w:tc>
          <w:tcPr>
            <w:tcW w:type="dxa" w:w="4703"/>
            <w:shd w:fill="0B4F6C"/>
            <w:vAlign w:val="center"/>
          </w:tcPr>
          <w:p>
            <w:pPr>
              <w:spacing w:before="0" w:after="40" w:line="240" w:lineRule="auto"/>
              <w:jc w:val="left"/>
            </w:pPr>
            <w:r>
              <w:rPr>
                <w:rFonts w:ascii="Noto Sans" w:hAnsi="Noto Sans" w:eastAsia="Noto Sans"/>
                <w:b/>
                <w:i w:val="0"/>
                <w:color w:val="FFFFFF"/>
                <w:sz w:val="17"/>
              </w:rPr>
              <w:t>Integrazione Authorization</w:t>
            </w:r>
          </w:p>
        </w:tc>
      </w:tr>
      <w:tr>
        <w:tc>
          <w:tcPr>
            <w:tcW w:type="dxa" w:w="2551"/>
            <w:vAlign w:val="top"/>
            <w:shd w:fill="F8FAFC"/>
          </w:tcPr>
          <w:p>
            <w:pPr>
              <w:spacing w:before="0" w:after="40" w:line="252" w:lineRule="auto"/>
            </w:pPr>
            <w:r>
              <w:rPr>
                <w:rFonts w:ascii="Noto Sans" w:hAnsi="Noto Sans" w:eastAsia="Noto Sans"/>
                <w:b w:val="0"/>
                <w:i w:val="0"/>
                <w:color w:val="000000"/>
                <w:sz w:val="17"/>
              </w:rPr>
              <w:t>Source Onboarding &amp; Configuration</w:t>
            </w:r>
          </w:p>
        </w:tc>
        <w:tc>
          <w:tcPr>
            <w:tcW w:type="dxa" w:w="6236"/>
            <w:vAlign w:val="top"/>
            <w:shd w:fill="F8FAFC"/>
          </w:tcPr>
          <w:p>
            <w:pPr>
              <w:spacing w:before="0" w:after="40" w:line="252" w:lineRule="auto"/>
            </w:pPr>
            <w:r>
              <w:rPr>
                <w:rFonts w:ascii="Noto Sans" w:hAnsi="Noto Sans" w:eastAsia="Noto Sans"/>
                <w:b w:val="0"/>
                <w:i w:val="0"/>
                <w:color w:val="000000"/>
                <w:sz w:val="17"/>
              </w:rPr>
              <w:t>Ospita fisicamente APR; usa capability su source/mapping/workflow; produce ApprovalChallenge di dominio.</w:t>
            </w:r>
          </w:p>
        </w:tc>
      </w:tr>
      <w:tr>
        <w:tc>
          <w:tcPr>
            <w:tcW w:type="dxa" w:w="2551"/>
            <w:vAlign w:val="top"/>
          </w:tcPr>
          <w:p>
            <w:pPr>
              <w:spacing w:before="0" w:after="40" w:line="252" w:lineRule="auto"/>
            </w:pPr>
            <w:r>
              <w:rPr>
                <w:rFonts w:ascii="Noto Sans" w:hAnsi="Noto Sans" w:eastAsia="Noto Sans"/>
                <w:b w:val="0"/>
                <w:i w:val="0"/>
                <w:color w:val="000000"/>
                <w:sz w:val="17"/>
              </w:rPr>
              <w:t>Semantic Model / Registry</w:t>
            </w:r>
          </w:p>
        </w:tc>
        <w:tc>
          <w:tcPr>
            <w:tcW w:type="dxa" w:w="6236"/>
            <w:vAlign w:val="top"/>
          </w:tcPr>
          <w:p>
            <w:pPr>
              <w:spacing w:before="0" w:after="40" w:line="252" w:lineRule="auto"/>
            </w:pPr>
            <w:r>
              <w:rPr>
                <w:rFonts w:ascii="Noto Sans" w:hAnsi="Noto Sans" w:eastAsia="Noto Sans"/>
                <w:b w:val="0"/>
                <w:i w:val="0"/>
                <w:color w:val="000000"/>
                <w:sz w:val="17"/>
              </w:rPr>
              <w:t>Consuma bundle e applica semantic.*; adopt/publish human-only; nessun accesso diretto al DB authz.</w:t>
            </w:r>
          </w:p>
        </w:tc>
      </w:tr>
      <w:tr>
        <w:tc>
          <w:tcPr>
            <w:tcW w:type="dxa" w:w="2551"/>
            <w:vAlign w:val="top"/>
            <w:shd w:fill="F8FAFC"/>
          </w:tcPr>
          <w:p>
            <w:pPr>
              <w:spacing w:before="0" w:after="40" w:line="252" w:lineRule="auto"/>
            </w:pPr>
            <w:r>
              <w:rPr>
                <w:rFonts w:ascii="Noto Sans" w:hAnsi="Noto Sans" w:eastAsia="Noto Sans"/>
                <w:b w:val="0"/>
                <w:i w:val="0"/>
                <w:color w:val="000000"/>
                <w:sz w:val="17"/>
              </w:rPr>
              <w:t>Ingestion Runtime</w:t>
            </w:r>
          </w:p>
        </w:tc>
        <w:tc>
          <w:tcPr>
            <w:tcW w:type="dxa" w:w="6236"/>
            <w:vAlign w:val="top"/>
            <w:shd w:fill="F8FAFC"/>
          </w:tcPr>
          <w:p>
            <w:pPr>
              <w:spacing w:before="0" w:after="40" w:line="252" w:lineRule="auto"/>
            </w:pPr>
            <w:r>
              <w:rPr>
                <w:rFonts w:ascii="Noto Sans" w:hAnsi="Noto Sans" w:eastAsia="Noto Sans"/>
                <w:b w:val="0"/>
                <w:i w:val="0"/>
                <w:color w:val="000000"/>
                <w:sz w:val="17"/>
              </w:rPr>
              <w:t>Usa service identity e capability tecniche; nessun human approval.</w:t>
            </w:r>
          </w:p>
        </w:tc>
      </w:tr>
      <w:tr>
        <w:tc>
          <w:tcPr>
            <w:tcW w:type="dxa" w:w="2551"/>
            <w:vAlign w:val="top"/>
          </w:tcPr>
          <w:p>
            <w:pPr>
              <w:spacing w:before="0" w:after="40" w:line="252" w:lineRule="auto"/>
            </w:pPr>
            <w:r>
              <w:rPr>
                <w:rFonts w:ascii="Noto Sans" w:hAnsi="Noto Sans" w:eastAsia="Noto Sans"/>
                <w:b w:val="0"/>
                <w:i w:val="0"/>
                <w:color w:val="000000"/>
                <w:sz w:val="17"/>
              </w:rPr>
              <w:t>UDP / Urban Object Service</w:t>
            </w:r>
          </w:p>
        </w:tc>
        <w:tc>
          <w:tcPr>
            <w:tcW w:type="dxa" w:w="6236"/>
            <w:vAlign w:val="top"/>
          </w:tcPr>
          <w:p>
            <w:pPr>
              <w:spacing w:before="0" w:after="40" w:line="252" w:lineRule="auto"/>
            </w:pPr>
            <w:r>
              <w:rPr>
                <w:rFonts w:ascii="Noto Sans" w:hAnsi="Noto Sans" w:eastAsia="Noto Sans"/>
                <w:b w:val="0"/>
                <w:i w:val="0"/>
                <w:color w:val="000000"/>
                <w:sz w:val="17"/>
              </w:rPr>
              <w:t>Enforcement su read/query/admin e futuri write governati.</w:t>
            </w:r>
          </w:p>
        </w:tc>
      </w:tr>
      <w:tr>
        <w:tc>
          <w:tcPr>
            <w:tcW w:type="dxa" w:w="2551"/>
            <w:vAlign w:val="top"/>
            <w:shd w:fill="F8FAFC"/>
          </w:tcPr>
          <w:p>
            <w:pPr>
              <w:spacing w:before="0" w:after="40" w:line="252" w:lineRule="auto"/>
            </w:pPr>
            <w:r>
              <w:rPr>
                <w:rFonts w:ascii="Noto Sans" w:hAnsi="Noto Sans" w:eastAsia="Noto Sans"/>
                <w:b w:val="0"/>
                <w:i w:val="0"/>
                <w:color w:val="000000"/>
                <w:sz w:val="17"/>
              </w:rPr>
              <w:t>MCP Server</w:t>
            </w:r>
          </w:p>
        </w:tc>
        <w:tc>
          <w:tcPr>
            <w:tcW w:type="dxa" w:w="6236"/>
            <w:vAlign w:val="top"/>
            <w:shd w:fill="F8FAFC"/>
          </w:tcPr>
          <w:p>
            <w:pPr>
              <w:spacing w:before="0" w:after="40" w:line="252" w:lineRule="auto"/>
            </w:pPr>
            <w:r>
              <w:rPr>
                <w:rFonts w:ascii="Noto Sans" w:hAnsi="Noto Sans" w:eastAsia="Noto Sans"/>
                <w:b w:val="0"/>
                <w:i w:val="0"/>
                <w:color w:val="000000"/>
                <w:sz w:val="17"/>
              </w:rPr>
              <w:t>Filtra tool esponibili/invocabili secondo actor/client capability; mai bypass.</w:t>
            </w:r>
          </w:p>
        </w:tc>
      </w:tr>
      <w:tr>
        <w:tc>
          <w:tcPr>
            <w:tcW w:type="dxa" w:w="2551"/>
            <w:vAlign w:val="top"/>
          </w:tcPr>
          <w:p>
            <w:pPr>
              <w:spacing w:before="0" w:after="40" w:line="252" w:lineRule="auto"/>
            </w:pPr>
            <w:r>
              <w:rPr>
                <w:rFonts w:ascii="Noto Sans" w:hAnsi="Noto Sans" w:eastAsia="Noto Sans"/>
                <w:b w:val="0"/>
                <w:i w:val="0"/>
                <w:color w:val="000000"/>
                <w:sz w:val="17"/>
              </w:rPr>
              <w:t>Urban API Gateway</w:t>
            </w:r>
          </w:p>
        </w:tc>
        <w:tc>
          <w:tcPr>
            <w:tcW w:type="dxa" w:w="6236"/>
            <w:vAlign w:val="top"/>
          </w:tcPr>
          <w:p>
            <w:pPr>
              <w:spacing w:before="0" w:after="40" w:line="252" w:lineRule="auto"/>
            </w:pPr>
            <w:r>
              <w:rPr>
                <w:rFonts w:ascii="Noto Sans" w:hAnsi="Noto Sans" w:eastAsia="Noto Sans"/>
                <w:b w:val="0"/>
                <w:i w:val="0"/>
                <w:color w:val="000000"/>
                <w:sz w:val="17"/>
              </w:rPr>
              <w:t>Authentication e coarse scopes; non possiede le policy applicative.</w:t>
            </w:r>
          </w:p>
        </w:tc>
      </w:tr>
    </w:tbl>
    <w:p>
      <w:pPr>
        <w:spacing w:after="40"/>
      </w:pPr>
    </w:p>
    <w:p>
      <w:r>
        <w:rPr>
          <w:rFonts w:ascii="Noto Sans" w:hAnsi="Noto Sans" w:eastAsia="Noto Sans"/>
        </w:rPr>
      </w:r>
    </w:p>
    <w:p>
      <w:pPr>
        <w:pStyle w:val="Heading1"/>
        <w:keepNext/>
      </w:pPr>
      <w:r>
        <w:rPr>
          <w:rFonts w:ascii="Noto Sans" w:hAnsi="Noto Sans" w:eastAsia="Noto Sans"/>
        </w:rPr>
        <w:t>20. Amministrazione delle policy</w:t>
      </w:r>
    </w:p>
    <w:p>
      <w:pPr>
        <w:pStyle w:val="Heading2"/>
        <w:keepNext/>
      </w:pPr>
      <w:r>
        <w:rPr>
          <w:rFonts w:ascii="Noto Sans" w:hAnsi="Noto Sans" w:eastAsia="Noto Sans"/>
        </w:rPr>
        <w:t>20.1 Chi può amministrare Authorization</w:t>
      </w:r>
    </w:p>
    <w:p>
      <w:pPr>
        <w:spacing w:before="0" w:after="120" w:line="276" w:lineRule="auto"/>
      </w:pPr>
      <w:r>
        <w:rPr>
          <w:rFonts w:ascii="Noto Sans" w:hAnsi="Noto Sans" w:eastAsia="Noto Sans"/>
        </w:rPr>
        <w:t>La baseline non definisce nomi organizzativi specifici del Comune; definisce capability amministrative OUF assegnate a ruoli EVO per gli utenti umani e capability tecniche assegnate a principal M2M stabili per i servizi. Questo evita hardcoding di denominazioni organizzative o credenziali nel software.</w:t>
      </w:r>
    </w:p>
    <w:tbl>
      <w:tblPr>
        <w:tblStyle w:val="TableGrid"/>
        <w:tblW w:type="auto" w:w="0"/>
        <w:jc w:val="center"/>
        <w:tblLayout w:type="fixed"/>
        <w:tblLook w:firstColumn="1" w:firstRow="1" w:lastColumn="0" w:lastRow="0" w:noHBand="0" w:noVBand="1" w:val="04A0"/>
      </w:tblPr>
      <w:tblGrid>
        <w:gridCol w:w="2835"/>
        <w:gridCol w:w="3402"/>
        <w:gridCol w:w="2551"/>
      </w:tblGrid>
      <w:tr>
        <w:trPr>
          <w:tblHeader w:val="true"/>
          <w:tblHeader w:val="true"/>
        </w:trPr>
        <w:tc>
          <w:tcPr>
            <w:tcW w:type="dxa" w:w="3135"/>
            <w:shd w:fill="0B4F6C"/>
            <w:vAlign w:val="center"/>
          </w:tcPr>
          <w:p>
            <w:pPr>
              <w:spacing w:before="0" w:after="40" w:line="240" w:lineRule="auto"/>
              <w:jc w:val="left"/>
            </w:pPr>
            <w:r>
              <w:rPr>
                <w:rFonts w:ascii="Noto Sans" w:hAnsi="Noto Sans" w:eastAsia="Noto Sans"/>
                <w:b/>
                <w:i w:val="0"/>
                <w:color w:val="FFFFFF"/>
                <w:sz w:val="17"/>
              </w:rPr>
              <w:t>Capability amministrativa</w:t>
            </w:r>
          </w:p>
        </w:tc>
        <w:tc>
          <w:tcPr>
            <w:tcW w:type="dxa" w:w="3135"/>
            <w:shd w:fill="0B4F6C"/>
            <w:vAlign w:val="center"/>
          </w:tcPr>
          <w:p>
            <w:pPr>
              <w:spacing w:before="0" w:after="40" w:line="240" w:lineRule="auto"/>
              <w:jc w:val="left"/>
            </w:pPr>
            <w:r>
              <w:rPr>
                <w:rFonts w:ascii="Noto Sans" w:hAnsi="Noto Sans" w:eastAsia="Noto Sans"/>
                <w:b/>
                <w:i w:val="0"/>
                <w:color w:val="FFFFFF"/>
                <w:sz w:val="17"/>
              </w:rPr>
              <w:t>Effetto</w:t>
            </w:r>
          </w:p>
        </w:tc>
        <w:tc>
          <w:tcPr>
            <w:tcW w:type="dxa" w:w="3135"/>
            <w:shd w:fill="0B4F6C"/>
            <w:vAlign w:val="center"/>
          </w:tcPr>
          <w:p>
            <w:pPr>
              <w:spacing w:before="0" w:after="40" w:line="240" w:lineRule="auto"/>
              <w:jc w:val="left"/>
            </w:pPr>
            <w:r>
              <w:rPr>
                <w:rFonts w:ascii="Noto Sans" w:hAnsi="Noto Sans" w:eastAsia="Noto Sans"/>
                <w:b/>
                <w:i w:val="0"/>
                <w:color w:val="FFFFFF"/>
                <w:sz w:val="17"/>
              </w:rPr>
              <w:t>Guard</w:t>
            </w:r>
          </w:p>
        </w:tc>
      </w:tr>
      <w:tr>
        <w:tc>
          <w:tcPr>
            <w:tcW w:type="dxa" w:w="2835"/>
            <w:vAlign w:val="top"/>
            <w:shd w:fill="F8FAFC"/>
          </w:tcPr>
          <w:p>
            <w:pPr>
              <w:spacing w:before="0" w:after="40" w:line="252" w:lineRule="auto"/>
            </w:pPr>
            <w:r>
              <w:rPr>
                <w:rFonts w:ascii="Noto Sans" w:hAnsi="Noto Sans" w:eastAsia="Noto Sans"/>
                <w:b w:val="0"/>
                <w:i w:val="0"/>
                <w:color w:val="000000"/>
                <w:sz w:val="17"/>
              </w:rPr>
              <w:t>authz.policy.read</w:t>
            </w:r>
          </w:p>
        </w:tc>
        <w:tc>
          <w:tcPr>
            <w:tcW w:type="dxa" w:w="3402"/>
            <w:vAlign w:val="top"/>
            <w:shd w:fill="F8FAFC"/>
          </w:tcPr>
          <w:p>
            <w:pPr>
              <w:spacing w:before="0" w:after="40" w:line="252" w:lineRule="auto"/>
            </w:pPr>
            <w:r>
              <w:rPr>
                <w:rFonts w:ascii="Noto Sans" w:hAnsi="Noto Sans" w:eastAsia="Noto Sans"/>
                <w:b w:val="0"/>
                <w:i w:val="0"/>
                <w:color w:val="000000"/>
                <w:sz w:val="17"/>
              </w:rPr>
              <w:t>Consulta policy e diff</w:t>
            </w:r>
          </w:p>
        </w:tc>
        <w:tc>
          <w:tcPr>
            <w:tcW w:type="dxa" w:w="2551"/>
            <w:vAlign w:val="top"/>
            <w:shd w:fill="F8FAFC"/>
          </w:tcPr>
          <w:p>
            <w:pPr>
              <w:spacing w:before="0" w:after="40" w:line="252" w:lineRule="auto"/>
            </w:pPr>
            <w:r>
              <w:rPr>
                <w:rFonts w:ascii="Noto Sans" w:hAnsi="Noto Sans" w:eastAsia="Noto Sans"/>
                <w:b w:val="0"/>
                <w:i w:val="0"/>
                <w:color w:val="000000"/>
                <w:sz w:val="17"/>
              </w:rPr>
              <w:t>HUMAN_USER o service audit autorizzato.</w:t>
            </w:r>
          </w:p>
        </w:tc>
      </w:tr>
      <w:tr>
        <w:tc>
          <w:tcPr>
            <w:tcW w:type="dxa" w:w="2835"/>
            <w:vAlign w:val="top"/>
          </w:tcPr>
          <w:p>
            <w:pPr>
              <w:spacing w:before="0" w:after="40" w:line="252" w:lineRule="auto"/>
            </w:pPr>
            <w:r>
              <w:rPr>
                <w:rFonts w:ascii="Noto Sans" w:hAnsi="Noto Sans" w:eastAsia="Noto Sans"/>
                <w:b w:val="0"/>
                <w:i w:val="0"/>
                <w:color w:val="000000"/>
                <w:sz w:val="17"/>
              </w:rPr>
              <w:t>authz.policy.create/edit</w:t>
            </w:r>
          </w:p>
        </w:tc>
        <w:tc>
          <w:tcPr>
            <w:tcW w:type="dxa" w:w="3402"/>
            <w:vAlign w:val="top"/>
          </w:tcPr>
          <w:p>
            <w:pPr>
              <w:spacing w:before="0" w:after="40" w:line="252" w:lineRule="auto"/>
            </w:pPr>
            <w:r>
              <w:rPr>
                <w:rFonts w:ascii="Noto Sans" w:hAnsi="Noto Sans" w:eastAsia="Noto Sans"/>
                <w:b w:val="0"/>
                <w:i w:val="0"/>
                <w:color w:val="000000"/>
                <w:sz w:val="17"/>
              </w:rPr>
              <w:t>Crea/modifica draft</w:t>
            </w:r>
          </w:p>
        </w:tc>
        <w:tc>
          <w:tcPr>
            <w:tcW w:type="dxa" w:w="2551"/>
            <w:vAlign w:val="top"/>
          </w:tcPr>
          <w:p>
            <w:pPr>
              <w:spacing w:before="0" w:after="40" w:line="252" w:lineRule="auto"/>
            </w:pPr>
            <w:r>
              <w:rPr>
                <w:rFonts w:ascii="Noto Sans" w:hAnsi="Noto Sans" w:eastAsia="Noto Sans"/>
                <w:b w:val="0"/>
                <w:i w:val="0"/>
                <w:color w:val="000000"/>
                <w:sz w:val="17"/>
              </w:rPr>
              <w:t>HUMAN_USER con ruolo amministrativo.</w:t>
            </w:r>
          </w:p>
        </w:tc>
      </w:tr>
      <w:tr>
        <w:tc>
          <w:tcPr>
            <w:tcW w:type="dxa" w:w="2835"/>
            <w:vAlign w:val="top"/>
            <w:shd w:fill="F8FAFC"/>
          </w:tcPr>
          <w:p>
            <w:pPr>
              <w:spacing w:before="0" w:after="40" w:line="252" w:lineRule="auto"/>
            </w:pPr>
            <w:r>
              <w:rPr>
                <w:rFonts w:ascii="Noto Sans" w:hAnsi="Noto Sans" w:eastAsia="Noto Sans"/>
                <w:b w:val="0"/>
                <w:i w:val="0"/>
                <w:color w:val="000000"/>
                <w:sz w:val="17"/>
              </w:rPr>
              <w:t>authz.policy.submit</w:t>
            </w:r>
          </w:p>
        </w:tc>
        <w:tc>
          <w:tcPr>
            <w:tcW w:type="dxa" w:w="3402"/>
            <w:vAlign w:val="top"/>
            <w:shd w:fill="F8FAFC"/>
          </w:tcPr>
          <w:p>
            <w:pPr>
              <w:spacing w:before="0" w:after="40" w:line="252" w:lineRule="auto"/>
            </w:pPr>
            <w:r>
              <w:rPr>
                <w:rFonts w:ascii="Noto Sans" w:hAnsi="Noto Sans" w:eastAsia="Noto Sans"/>
                <w:b w:val="0"/>
                <w:i w:val="0"/>
                <w:color w:val="000000"/>
                <w:sz w:val="17"/>
              </w:rPr>
              <w:t>Invia in review</w:t>
            </w:r>
          </w:p>
        </w:tc>
        <w:tc>
          <w:tcPr>
            <w:tcW w:type="dxa" w:w="2551"/>
            <w:vAlign w:val="top"/>
            <w:shd w:fill="F8FAFC"/>
          </w:tcPr>
          <w:p>
            <w:pPr>
              <w:spacing w:before="0" w:after="40" w:line="252" w:lineRule="auto"/>
            </w:pPr>
            <w:r>
              <w:rPr>
                <w:rFonts w:ascii="Noto Sans" w:hAnsi="Noto Sans" w:eastAsia="Noto Sans"/>
                <w:b w:val="0"/>
                <w:i w:val="0"/>
                <w:color w:val="000000"/>
                <w:sz w:val="17"/>
              </w:rPr>
              <w:t>HUMAN_USER.</w:t>
            </w:r>
          </w:p>
        </w:tc>
      </w:tr>
      <w:tr>
        <w:tc>
          <w:tcPr>
            <w:tcW w:type="dxa" w:w="2835"/>
            <w:vAlign w:val="top"/>
          </w:tcPr>
          <w:p>
            <w:pPr>
              <w:spacing w:before="0" w:after="40" w:line="252" w:lineRule="auto"/>
            </w:pPr>
            <w:r>
              <w:rPr>
                <w:rFonts w:ascii="Noto Sans" w:hAnsi="Noto Sans" w:eastAsia="Noto Sans"/>
                <w:b w:val="0"/>
                <w:i w:val="0"/>
                <w:color w:val="000000"/>
                <w:sz w:val="17"/>
              </w:rPr>
              <w:t>authz.policy.approve</w:t>
            </w:r>
          </w:p>
        </w:tc>
        <w:tc>
          <w:tcPr>
            <w:tcW w:type="dxa" w:w="3402"/>
            <w:vAlign w:val="top"/>
          </w:tcPr>
          <w:p>
            <w:pPr>
              <w:spacing w:before="0" w:after="40" w:line="252" w:lineRule="auto"/>
            </w:pPr>
            <w:r>
              <w:rPr>
                <w:rFonts w:ascii="Noto Sans" w:hAnsi="Noto Sans" w:eastAsia="Noto Sans"/>
                <w:b w:val="0"/>
                <w:i w:val="0"/>
                <w:color w:val="000000"/>
                <w:sz w:val="17"/>
              </w:rPr>
              <w:t>Approva policy</w:t>
            </w:r>
          </w:p>
        </w:tc>
        <w:tc>
          <w:tcPr>
            <w:tcW w:type="dxa" w:w="2551"/>
            <w:vAlign w:val="top"/>
          </w:tcPr>
          <w:p>
            <w:pPr>
              <w:spacing w:before="0" w:after="40" w:line="252" w:lineRule="auto"/>
            </w:pPr>
            <w:r>
              <w:rPr>
                <w:rFonts w:ascii="Noto Sans" w:hAnsi="Noto Sans" w:eastAsia="Noto Sans"/>
                <w:b w:val="0"/>
                <w:i w:val="0"/>
                <w:color w:val="000000"/>
                <w:sz w:val="17"/>
              </w:rPr>
              <w:t>HUMAN_USER; possibile SoD.</w:t>
            </w:r>
          </w:p>
        </w:tc>
      </w:tr>
      <w:tr>
        <w:tc>
          <w:tcPr>
            <w:tcW w:type="dxa" w:w="2835"/>
            <w:vAlign w:val="top"/>
            <w:shd w:fill="F8FAFC"/>
          </w:tcPr>
          <w:p>
            <w:pPr>
              <w:spacing w:before="0" w:after="40" w:line="252" w:lineRule="auto"/>
            </w:pPr>
            <w:r>
              <w:rPr>
                <w:rFonts w:ascii="Noto Sans" w:hAnsi="Noto Sans" w:eastAsia="Noto Sans"/>
                <w:b w:val="0"/>
                <w:i w:val="0"/>
                <w:color w:val="000000"/>
                <w:sz w:val="17"/>
              </w:rPr>
              <w:t>authz.policy.publish</w:t>
            </w:r>
          </w:p>
        </w:tc>
        <w:tc>
          <w:tcPr>
            <w:tcW w:type="dxa" w:w="3402"/>
            <w:vAlign w:val="top"/>
            <w:shd w:fill="F8FAFC"/>
          </w:tcPr>
          <w:p>
            <w:pPr>
              <w:spacing w:before="0" w:after="40" w:line="252" w:lineRule="auto"/>
            </w:pPr>
            <w:r>
              <w:rPr>
                <w:rFonts w:ascii="Noto Sans" w:hAnsi="Noto Sans" w:eastAsia="Noto Sans"/>
                <w:b w:val="0"/>
                <w:i w:val="0"/>
                <w:color w:val="000000"/>
                <w:sz w:val="17"/>
              </w:rPr>
              <w:t>Attiva policy</w:t>
            </w:r>
          </w:p>
        </w:tc>
        <w:tc>
          <w:tcPr>
            <w:tcW w:type="dxa" w:w="2551"/>
            <w:vAlign w:val="top"/>
            <w:shd w:fill="F8FAFC"/>
          </w:tcPr>
          <w:p>
            <w:pPr>
              <w:spacing w:before="0" w:after="40" w:line="252" w:lineRule="auto"/>
            </w:pPr>
            <w:r>
              <w:rPr>
                <w:rFonts w:ascii="Noto Sans" w:hAnsi="Noto Sans" w:eastAsia="Noto Sans"/>
                <w:b w:val="0"/>
                <w:i w:val="0"/>
                <w:color w:val="000000"/>
                <w:sz w:val="17"/>
              </w:rPr>
              <w:t>HUMAN_USER; high impact / step-up configurabile.</w:t>
            </w:r>
          </w:p>
        </w:tc>
      </w:tr>
      <w:tr>
        <w:tc>
          <w:tcPr>
            <w:tcW w:type="dxa" w:w="2835"/>
            <w:vAlign w:val="top"/>
          </w:tcPr>
          <w:p>
            <w:pPr>
              <w:spacing w:before="0" w:after="40" w:line="252" w:lineRule="auto"/>
            </w:pPr>
            <w:r>
              <w:rPr>
                <w:rFonts w:ascii="Noto Sans" w:hAnsi="Noto Sans" w:eastAsia="Noto Sans"/>
                <w:b w:val="0"/>
                <w:i w:val="0"/>
                <w:color w:val="000000"/>
                <w:sz w:val="17"/>
              </w:rPr>
              <w:t>authz.policy.revoke</w:t>
            </w:r>
          </w:p>
        </w:tc>
        <w:tc>
          <w:tcPr>
            <w:tcW w:type="dxa" w:w="3402"/>
            <w:vAlign w:val="top"/>
          </w:tcPr>
          <w:p>
            <w:pPr>
              <w:spacing w:before="0" w:after="40" w:line="252" w:lineRule="auto"/>
            </w:pPr>
            <w:r>
              <w:rPr>
                <w:rFonts w:ascii="Noto Sans" w:hAnsi="Noto Sans" w:eastAsia="Noto Sans"/>
                <w:b w:val="0"/>
                <w:i w:val="0"/>
                <w:color w:val="000000"/>
                <w:sz w:val="17"/>
              </w:rPr>
              <w:t>Revoca urgente</w:t>
            </w:r>
          </w:p>
        </w:tc>
        <w:tc>
          <w:tcPr>
            <w:tcW w:type="dxa" w:w="2551"/>
            <w:vAlign w:val="top"/>
          </w:tcPr>
          <w:p>
            <w:pPr>
              <w:spacing w:before="0" w:after="40" w:line="252" w:lineRule="auto"/>
            </w:pPr>
            <w:r>
              <w:rPr>
                <w:rFonts w:ascii="Noto Sans" w:hAnsi="Noto Sans" w:eastAsia="Noto Sans"/>
                <w:b w:val="0"/>
                <w:i w:val="0"/>
                <w:color w:val="000000"/>
                <w:sz w:val="17"/>
              </w:rPr>
              <w:t>HUMAN_USER; reason obbligatorio; audit forte.</w:t>
            </w:r>
          </w:p>
        </w:tc>
      </w:tr>
    </w:tbl>
    <w:p>
      <w:pPr>
        <w:spacing w:after="40"/>
      </w:pPr>
    </w:p>
    <w:p>
      <w:pPr>
        <w:pStyle w:val="Heading2"/>
        <w:keepNext/>
      </w:pPr>
      <w:r>
        <w:rPr>
          <w:rFonts w:ascii="Noto Sans" w:hAnsi="Noto Sans" w:eastAsia="Noto Sans"/>
        </w:rPr>
        <w:t>20.2 Bootstrap</w:t>
      </w:r>
    </w:p>
    <w:p>
      <w:pPr>
        <w:spacing w:before="0" w:after="120" w:line="276" w:lineRule="auto"/>
      </w:pPr>
      <w:r>
        <w:rPr>
          <w:rFonts w:ascii="Noto Sans" w:hAnsi="Noto Sans" w:eastAsia="Noto Sans"/>
        </w:rPr>
        <w:t>L’installazione iniziale richiede una bootstrap policy minima firmata/versionata: attribuisce a uno o più ruoli EVO amministrativi le capability umane necessarie a governare le policy e, se richiesto, ai principal M2M iniziali le sole capability tecniche necessarie. Il bootstrap non crea utenti locali né conserva secret.</w:t>
      </w:r>
    </w:p>
    <w:p>
      <w:r>
        <w:rPr>
          <w:rFonts w:ascii="Noto Sans" w:hAnsi="Noto Sans" w:eastAsia="Noto Sans"/>
        </w:rPr>
      </w:r>
    </w:p>
    <w:p>
      <w:pPr>
        <w:pStyle w:val="Heading1"/>
        <w:keepNext/>
      </w:pPr>
      <w:r>
        <w:rPr>
          <w:rFonts w:ascii="Noto Sans" w:hAnsi="Noto Sans" w:eastAsia="Noto Sans"/>
        </w:rPr>
        <w:t>21. Assurance, step-up e operazioni ad alto impatto</w:t>
      </w:r>
    </w:p>
    <w:p>
      <w:pPr>
        <w:spacing w:before="0" w:after="120" w:line="276" w:lineRule="auto"/>
      </w:pPr>
      <w:r>
        <w:rPr>
          <w:rFonts w:ascii="Noto Sans" w:hAnsi="Noto Sans" w:eastAsia="Noto Sans"/>
          <w:b w:val="0"/>
          <w:i w:val="0"/>
          <w:color w:val="000000"/>
          <w:sz w:val="18"/>
        </w:rPr>
        <w:t>L’Authorization layer può richiedere un livello minimo di assurance per specifiche capability. L’esecuzione del vero step-up resta nell’IAM centrale; OUF verifica i claim acr/amr/freshness risultanti.</w:t>
      </w:r>
    </w:p>
    <w:tbl>
      <w:tblPr>
        <w:tblStyle w:val="TableGrid"/>
        <w:tblW w:type="auto" w:w="0"/>
        <w:jc w:val="center"/>
        <w:tblLayout w:type="fixed"/>
        <w:tblLook w:firstColumn="1" w:firstRow="1" w:lastColumn="0" w:lastRow="0" w:noHBand="0" w:noVBand="1" w:val="04A0"/>
      </w:tblPr>
      <w:tblGrid>
        <w:gridCol w:w="1701"/>
        <w:gridCol w:w="3402"/>
        <w:gridCol w:w="3685"/>
      </w:tblGrid>
      <w:tr>
        <w:trPr>
          <w:tblHeader w:val="true"/>
          <w:tblHeader w:val="true"/>
        </w:trPr>
        <w:tc>
          <w:tcPr>
            <w:tcW w:type="dxa" w:w="3135"/>
            <w:shd w:fill="0B4F6C"/>
            <w:vAlign w:val="center"/>
          </w:tcPr>
          <w:p>
            <w:pPr>
              <w:spacing w:before="0" w:after="40" w:line="240" w:lineRule="auto"/>
              <w:jc w:val="left"/>
            </w:pPr>
            <w:r>
              <w:rPr>
                <w:rFonts w:ascii="Noto Sans" w:hAnsi="Noto Sans" w:eastAsia="Noto Sans"/>
                <w:b/>
                <w:i w:val="0"/>
                <w:color w:val="FFFFFF"/>
                <w:sz w:val="17"/>
              </w:rPr>
              <w:t>Risk class</w:t>
            </w:r>
          </w:p>
        </w:tc>
        <w:tc>
          <w:tcPr>
            <w:tcW w:type="dxa" w:w="3135"/>
            <w:shd w:fill="0B4F6C"/>
            <w:vAlign w:val="center"/>
          </w:tcPr>
          <w:p>
            <w:pPr>
              <w:spacing w:before="0" w:after="40" w:line="240" w:lineRule="auto"/>
              <w:jc w:val="left"/>
            </w:pPr>
            <w:r>
              <w:rPr>
                <w:rFonts w:ascii="Noto Sans" w:hAnsi="Noto Sans" w:eastAsia="Noto Sans"/>
                <w:b/>
                <w:i w:val="0"/>
                <w:color w:val="FFFFFF"/>
                <w:sz w:val="17"/>
              </w:rPr>
              <w:t>Esempi</w:t>
            </w:r>
          </w:p>
        </w:tc>
        <w:tc>
          <w:tcPr>
            <w:tcW w:type="dxa" w:w="3135"/>
            <w:shd w:fill="0B4F6C"/>
            <w:vAlign w:val="center"/>
          </w:tcPr>
          <w:p>
            <w:pPr>
              <w:spacing w:before="0" w:after="40" w:line="240" w:lineRule="auto"/>
              <w:jc w:val="left"/>
            </w:pPr>
            <w:r>
              <w:rPr>
                <w:rFonts w:ascii="Noto Sans" w:hAnsi="Noto Sans" w:eastAsia="Noto Sans"/>
                <w:b/>
                <w:i w:val="0"/>
                <w:color w:val="FFFFFF"/>
                <w:sz w:val="17"/>
              </w:rPr>
              <w:t>Baseline</w:t>
            </w:r>
          </w:p>
        </w:tc>
      </w:tr>
      <w:tr>
        <w:tc>
          <w:tcPr>
            <w:tcW w:type="dxa" w:w="1701"/>
            <w:vAlign w:val="top"/>
            <w:shd w:fill="F8FAFC"/>
          </w:tcPr>
          <w:p>
            <w:pPr>
              <w:spacing w:before="0" w:after="40" w:line="252" w:lineRule="auto"/>
            </w:pPr>
            <w:r>
              <w:rPr>
                <w:rFonts w:ascii="Noto Sans" w:hAnsi="Noto Sans" w:eastAsia="Noto Sans"/>
                <w:b w:val="0"/>
                <w:i w:val="0"/>
                <w:color w:val="000000"/>
                <w:sz w:val="17"/>
              </w:rPr>
              <w:t>LOW</w:t>
            </w:r>
          </w:p>
        </w:tc>
        <w:tc>
          <w:tcPr>
            <w:tcW w:type="dxa" w:w="3402"/>
            <w:vAlign w:val="top"/>
            <w:shd w:fill="F8FAFC"/>
          </w:tcPr>
          <w:p>
            <w:pPr>
              <w:spacing w:before="0" w:after="40" w:line="252" w:lineRule="auto"/>
            </w:pPr>
            <w:r>
              <w:rPr>
                <w:rFonts w:ascii="Noto Sans" w:hAnsi="Noto Sans" w:eastAsia="Noto Sans"/>
                <w:b w:val="0"/>
                <w:i w:val="0"/>
                <w:color w:val="000000"/>
                <w:sz w:val="17"/>
              </w:rPr>
              <w:t>read/search</w:t>
            </w:r>
          </w:p>
        </w:tc>
        <w:tc>
          <w:tcPr>
            <w:tcW w:type="dxa" w:w="3685"/>
            <w:vAlign w:val="top"/>
            <w:shd w:fill="F8FAFC"/>
          </w:tcPr>
          <w:p>
            <w:pPr>
              <w:spacing w:before="0" w:after="40" w:line="252" w:lineRule="auto"/>
            </w:pPr>
            <w:r>
              <w:rPr>
                <w:rFonts w:ascii="Noto Sans" w:hAnsi="Noto Sans" w:eastAsia="Noto Sans"/>
                <w:b w:val="0"/>
                <w:i w:val="0"/>
                <w:color w:val="000000"/>
                <w:sz w:val="17"/>
              </w:rPr>
              <w:t>Nessun step-up.</w:t>
            </w:r>
          </w:p>
        </w:tc>
      </w:tr>
      <w:tr>
        <w:tc>
          <w:tcPr>
            <w:tcW w:type="dxa" w:w="1701"/>
            <w:vAlign w:val="top"/>
          </w:tcPr>
          <w:p>
            <w:pPr>
              <w:spacing w:before="0" w:after="40" w:line="252" w:lineRule="auto"/>
            </w:pPr>
            <w:r>
              <w:rPr>
                <w:rFonts w:ascii="Noto Sans" w:hAnsi="Noto Sans" w:eastAsia="Noto Sans"/>
                <w:b w:val="0"/>
                <w:i w:val="0"/>
                <w:color w:val="000000"/>
                <w:sz w:val="17"/>
              </w:rPr>
              <w:t>MEDIUM</w:t>
            </w:r>
          </w:p>
        </w:tc>
        <w:tc>
          <w:tcPr>
            <w:tcW w:type="dxa" w:w="3402"/>
            <w:vAlign w:val="top"/>
          </w:tcPr>
          <w:p>
            <w:pPr>
              <w:spacing w:before="0" w:after="40" w:line="252" w:lineRule="auto"/>
            </w:pPr>
            <w:r>
              <w:rPr>
                <w:rFonts w:ascii="Noto Sans" w:hAnsi="Noto Sans" w:eastAsia="Noto Sans"/>
                <w:b w:val="0"/>
                <w:i w:val="0"/>
                <w:color w:val="000000"/>
                <w:sz w:val="17"/>
              </w:rPr>
              <w:t>edit/submit</w:t>
            </w:r>
          </w:p>
        </w:tc>
        <w:tc>
          <w:tcPr>
            <w:tcW w:type="dxa" w:w="3685"/>
            <w:vAlign w:val="top"/>
          </w:tcPr>
          <w:p>
            <w:pPr>
              <w:spacing w:before="0" w:after="40" w:line="252" w:lineRule="auto"/>
            </w:pPr>
            <w:r>
              <w:rPr>
                <w:rFonts w:ascii="Noto Sans" w:hAnsi="Noto Sans" w:eastAsia="Noto Sans"/>
                <w:b w:val="0"/>
                <w:i w:val="0"/>
                <w:color w:val="000000"/>
                <w:sz w:val="17"/>
              </w:rPr>
              <w:t>Sessione SSO valida.</w:t>
            </w:r>
          </w:p>
        </w:tc>
      </w:tr>
      <w:tr>
        <w:tc>
          <w:tcPr>
            <w:tcW w:type="dxa" w:w="1701"/>
            <w:vAlign w:val="top"/>
            <w:shd w:fill="F8FAFC"/>
          </w:tcPr>
          <w:p>
            <w:pPr>
              <w:spacing w:before="0" w:after="40" w:line="252" w:lineRule="auto"/>
            </w:pPr>
            <w:r>
              <w:rPr>
                <w:rFonts w:ascii="Noto Sans" w:hAnsi="Noto Sans" w:eastAsia="Noto Sans"/>
                <w:b w:val="0"/>
                <w:i w:val="0"/>
                <w:color w:val="000000"/>
                <w:sz w:val="17"/>
              </w:rPr>
              <w:t>HIGH</w:t>
            </w:r>
          </w:p>
        </w:tc>
        <w:tc>
          <w:tcPr>
            <w:tcW w:type="dxa" w:w="3402"/>
            <w:vAlign w:val="top"/>
            <w:shd w:fill="F8FAFC"/>
          </w:tcPr>
          <w:p>
            <w:pPr>
              <w:spacing w:before="0" w:after="40" w:line="252" w:lineRule="auto"/>
            </w:pPr>
            <w:r>
              <w:rPr>
                <w:rFonts w:ascii="Noto Sans" w:hAnsi="Noto Sans" w:eastAsia="Noto Sans"/>
                <w:b w:val="0"/>
                <w:i w:val="0"/>
                <w:color w:val="000000"/>
                <w:sz w:val="17"/>
              </w:rPr>
              <w:t>activate/publish/policy change</w:t>
            </w:r>
          </w:p>
        </w:tc>
        <w:tc>
          <w:tcPr>
            <w:tcW w:type="dxa" w:w="3685"/>
            <w:vAlign w:val="top"/>
            <w:shd w:fill="F8FAFC"/>
          </w:tcPr>
          <w:p>
            <w:pPr>
              <w:spacing w:before="0" w:after="40" w:line="252" w:lineRule="auto"/>
            </w:pPr>
            <w:r>
              <w:rPr>
                <w:rFonts w:ascii="Noto Sans" w:hAnsi="Noto Sans" w:eastAsia="Noto Sans"/>
                <w:b w:val="0"/>
                <w:i w:val="0"/>
                <w:color w:val="000000"/>
                <w:sz w:val="17"/>
              </w:rPr>
              <w:t>Step-up configurabile se richiesto dalla policy dell’Ente.</w:t>
            </w:r>
          </w:p>
        </w:tc>
      </w:tr>
      <w:tr>
        <w:tc>
          <w:tcPr>
            <w:tcW w:type="dxa" w:w="1701"/>
            <w:vAlign w:val="top"/>
          </w:tcPr>
          <w:p>
            <w:pPr>
              <w:spacing w:before="0" w:after="40" w:line="252" w:lineRule="auto"/>
            </w:pPr>
            <w:r>
              <w:rPr>
                <w:rFonts w:ascii="Noto Sans" w:hAnsi="Noto Sans" w:eastAsia="Noto Sans"/>
                <w:b w:val="0"/>
                <w:i w:val="0"/>
                <w:color w:val="000000"/>
                <w:sz w:val="17"/>
              </w:rPr>
              <w:t>CRITICAL</w:t>
            </w:r>
          </w:p>
        </w:tc>
        <w:tc>
          <w:tcPr>
            <w:tcW w:type="dxa" w:w="3402"/>
            <w:vAlign w:val="top"/>
          </w:tcPr>
          <w:p>
            <w:pPr>
              <w:spacing w:before="0" w:after="40" w:line="252" w:lineRule="auto"/>
            </w:pPr>
            <w:r>
              <w:rPr>
                <w:rFonts w:ascii="Noto Sans" w:hAnsi="Noto Sans" w:eastAsia="Noto Sans"/>
                <w:b w:val="0"/>
                <w:i w:val="0"/>
                <w:color w:val="000000"/>
                <w:sz w:val="17"/>
              </w:rPr>
              <w:t>break-glass/revoke broad policy</w:t>
            </w:r>
          </w:p>
        </w:tc>
        <w:tc>
          <w:tcPr>
            <w:tcW w:type="dxa" w:w="3685"/>
            <w:vAlign w:val="top"/>
          </w:tcPr>
          <w:p>
            <w:pPr>
              <w:spacing w:before="0" w:after="40" w:line="252" w:lineRule="auto"/>
            </w:pPr>
            <w:r>
              <w:rPr>
                <w:rFonts w:ascii="Noto Sans" w:hAnsi="Noto Sans" w:eastAsia="Noto Sans"/>
                <w:b w:val="0"/>
                <w:i w:val="0"/>
                <w:color w:val="000000"/>
                <w:sz w:val="17"/>
              </w:rPr>
              <w:t>Step-up + reason + audit obbligatori; eventuale dual control futuro.</w:t>
            </w:r>
          </w:p>
        </w:tc>
      </w:tr>
    </w:tbl>
    <w:p>
      <w:pPr>
        <w:spacing w:after="40"/>
      </w:pPr>
    </w:p>
    <w:p>
      <w:r>
        <w:rPr>
          <w:rFonts w:ascii="Noto Sans" w:hAnsi="Noto Sans" w:eastAsia="Noto Sans"/>
        </w:rPr>
      </w:r>
    </w:p>
    <w:p>
      <w:pPr>
        <w:pStyle w:val="Heading1"/>
        <w:keepNext/>
      </w:pPr>
      <w:r>
        <w:rPr>
          <w:rFonts w:ascii="Noto Sans" w:hAnsi="Noto Sans" w:eastAsia="Noto Sans"/>
        </w:rPr>
        <w:t>22. Break-glass e recovery amministrativo</w:t>
      </w:r>
    </w:p>
    <w:p>
      <w:pPr>
        <w:spacing w:before="0" w:after="120" w:line="276" w:lineRule="auto"/>
      </w:pPr>
      <w:r>
        <w:rPr>
          <w:rFonts w:ascii="Noto Sans" w:hAnsi="Noto Sans" w:eastAsia="Noto Sans"/>
          <w:b w:val="0"/>
          <w:i w:val="0"/>
          <w:color w:val="000000"/>
          <w:sz w:val="18"/>
        </w:rPr>
        <w:t>Per evitare lock-out totale dovuto a una policy errata, la piattaforma deve prevedere un percorso di recovery governato. La baseline preferisce un meccanismo IAM/operativo esterno al normale flusso applicativo, non una backdoor nel codice OUF.</w:t>
      </w:r>
    </w:p>
    <w:p>
      <w:pPr>
        <w:pStyle w:val="ListBullet"/>
        <w:spacing w:before="0" w:after="60" w:line="264" w:lineRule="auto"/>
      </w:pPr>
      <w:r>
        <w:rPr>
          <w:rFonts w:ascii="Noto Sans" w:hAnsi="Noto Sans" w:eastAsia="Noto Sans"/>
          <w:b w:val="0"/>
          <w:i w:val="0"/>
          <w:color w:val="000000"/>
          <w:sz w:val="18"/>
        </w:rPr>
        <w:t>Account/ruolo break-glass gestito nell’IAM centrale secondo policy dell’Ente.</w:t>
      </w:r>
    </w:p>
    <w:p>
      <w:pPr>
        <w:pStyle w:val="ListBullet"/>
        <w:spacing w:before="0" w:after="60" w:line="264" w:lineRule="auto"/>
      </w:pPr>
      <w:r>
        <w:rPr>
          <w:rFonts w:ascii="Noto Sans" w:hAnsi="Noto Sans" w:eastAsia="Noto Sans"/>
          <w:b w:val="0"/>
          <w:i w:val="0"/>
          <w:color w:val="000000"/>
          <w:sz w:val="18"/>
        </w:rPr>
        <w:t>Capability limitata a authz.policy.revoke / rollback publication.</w:t>
      </w:r>
    </w:p>
    <w:p>
      <w:pPr>
        <w:pStyle w:val="ListBullet"/>
        <w:spacing w:before="0" w:after="60" w:line="264" w:lineRule="auto"/>
      </w:pPr>
      <w:r>
        <w:rPr>
          <w:rFonts w:ascii="Noto Sans" w:hAnsi="Noto Sans" w:eastAsia="Noto Sans"/>
          <w:b w:val="0"/>
          <w:i w:val="0"/>
          <w:color w:val="000000"/>
          <w:sz w:val="18"/>
        </w:rPr>
        <w:t>Accesso soggetto a forte assurance e logging.</w:t>
      </w:r>
    </w:p>
    <w:p>
      <w:pPr>
        <w:pStyle w:val="ListBullet"/>
        <w:spacing w:before="0" w:after="60" w:line="264" w:lineRule="auto"/>
      </w:pPr>
      <w:r>
        <w:rPr>
          <w:rFonts w:ascii="Noto Sans" w:hAnsi="Noto Sans" w:eastAsia="Noto Sans"/>
          <w:b w:val="0"/>
          <w:i w:val="0"/>
          <w:color w:val="000000"/>
          <w:sz w:val="18"/>
        </w:rPr>
        <w:t>Nessuna password hardcoded o utenza locale nel database OUF.</w:t>
      </w:r>
    </w:p>
    <w:p>
      <w:pPr>
        <w:pStyle w:val="ListBullet"/>
        <w:spacing w:before="0" w:after="60" w:line="264" w:lineRule="auto"/>
      </w:pPr>
      <w:r>
        <w:rPr>
          <w:rFonts w:ascii="Noto Sans" w:hAnsi="Noto Sans" w:eastAsia="Noto Sans"/>
          <w:b w:val="0"/>
          <w:i w:val="0"/>
          <w:color w:val="000000"/>
          <w:sz w:val="18"/>
        </w:rPr>
        <w:t>Ogni uso genera un security event ad alta priorità.</w:t>
      </w:r>
    </w:p>
    <w:p>
      <w:r>
        <w:rPr>
          <w:rFonts w:ascii="Noto Sans" w:hAnsi="Noto Sans" w:eastAsia="Noto Sans"/>
        </w:rPr>
      </w:r>
    </w:p>
    <w:p>
      <w:pPr>
        <w:pStyle w:val="Heading1"/>
        <w:keepNext/>
      </w:pPr>
      <w:r>
        <w:rPr>
          <w:rFonts w:ascii="Noto Sans" w:hAnsi="Noto Sans" w:eastAsia="Noto Sans"/>
        </w:rPr>
        <w:t>23. Audit, evidence e accountability</w:t>
      </w:r>
    </w:p>
    <w:p>
      <w:pPr>
        <w:pStyle w:val="Heading2"/>
        <w:keepNext/>
      </w:pPr>
      <w:r>
        <w:rPr>
          <w:rFonts w:ascii="Noto Sans" w:hAnsi="Noto Sans" w:eastAsia="Noto Sans"/>
        </w:rPr>
        <w:t>23.1 Audit minimo per operazioni privilegiate</w:t>
      </w:r>
    </w:p>
    <w:tbl>
      <w:tblPr>
        <w:tblStyle w:val="TableGrid"/>
        <w:tblW w:type="auto" w:w="0"/>
        <w:jc w:val="center"/>
        <w:tblLayout w:type="fixed"/>
        <w:tblLook w:firstColumn="1" w:firstRow="1" w:lastColumn="0" w:lastRow="0" w:noHBand="0" w:noVBand="1" w:val="04A0"/>
      </w:tblPr>
      <w:tblGrid>
        <w:gridCol w:w="2438"/>
        <w:gridCol w:w="6350"/>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Campo</w:t>
            </w:r>
          </w:p>
        </w:tc>
        <w:tc>
          <w:tcPr>
            <w:tcW w:type="dxa" w:w="4703"/>
            <w:shd w:fill="0B4F6C"/>
            <w:vAlign w:val="center"/>
          </w:tcPr>
          <w:p>
            <w:pPr>
              <w:spacing w:before="0" w:after="40" w:line="240" w:lineRule="auto"/>
              <w:jc w:val="left"/>
            </w:pPr>
            <w:r>
              <w:rPr>
                <w:rFonts w:ascii="Noto Sans" w:hAnsi="Noto Sans" w:eastAsia="Noto Sans"/>
                <w:b/>
                <w:i w:val="0"/>
                <w:color w:val="FFFFFF"/>
                <w:sz w:val="17"/>
              </w:rPr>
              <w:t>Descrizione</w:t>
            </w:r>
          </w:p>
        </w:tc>
      </w:tr>
      <w:tr>
        <w:tc>
          <w:tcPr>
            <w:tcW w:type="dxa" w:w="2438"/>
            <w:vAlign w:val="top"/>
            <w:shd w:fill="F8FAFC"/>
          </w:tcPr>
          <w:p>
            <w:pPr>
              <w:spacing w:before="0" w:after="40" w:line="252" w:lineRule="auto"/>
            </w:pPr>
            <w:r>
              <w:rPr>
                <w:rFonts w:ascii="Noto Sans" w:hAnsi="Noto Sans" w:eastAsia="Noto Sans"/>
                <w:b w:val="0"/>
                <w:i w:val="0"/>
                <w:color w:val="000000"/>
                <w:sz w:val="17"/>
              </w:rPr>
              <w:t>timestamp</w:t>
            </w:r>
          </w:p>
        </w:tc>
        <w:tc>
          <w:tcPr>
            <w:tcW w:type="dxa" w:w="6350"/>
            <w:vAlign w:val="top"/>
            <w:shd w:fill="F8FAFC"/>
          </w:tcPr>
          <w:p>
            <w:pPr>
              <w:spacing w:before="0" w:after="40" w:line="252" w:lineRule="auto"/>
            </w:pPr>
            <w:r>
              <w:rPr>
                <w:rFonts w:ascii="Noto Sans" w:hAnsi="Noto Sans" w:eastAsia="Noto Sans"/>
                <w:b w:val="0"/>
                <w:i w:val="0"/>
                <w:color w:val="000000"/>
                <w:sz w:val="17"/>
              </w:rPr>
              <w:t>UTC server-side.</w:t>
            </w:r>
          </w:p>
        </w:tc>
      </w:tr>
      <w:tr>
        <w:tc>
          <w:tcPr>
            <w:tcW w:type="dxa" w:w="2438"/>
            <w:vAlign w:val="top"/>
          </w:tcPr>
          <w:p>
            <w:pPr>
              <w:spacing w:before="0" w:after="40" w:line="252" w:lineRule="auto"/>
            </w:pPr>
            <w:r>
              <w:rPr>
                <w:rFonts w:ascii="Noto Sans" w:hAnsi="Noto Sans" w:eastAsia="Noto Sans"/>
                <w:b w:val="0"/>
                <w:i w:val="0"/>
                <w:color w:val="000000"/>
                <w:sz w:val="17"/>
              </w:rPr>
              <w:t>subject</w:t>
            </w:r>
          </w:p>
        </w:tc>
        <w:tc>
          <w:tcPr>
            <w:tcW w:type="dxa" w:w="6350"/>
            <w:vAlign w:val="top"/>
          </w:tcPr>
          <w:p>
            <w:pPr>
              <w:spacing w:before="0" w:after="40" w:line="252" w:lineRule="auto"/>
            </w:pPr>
            <w:r>
              <w:rPr>
                <w:rFonts w:ascii="Noto Sans" w:hAnsi="Noto Sans" w:eastAsia="Noto Sans"/>
                <w:b w:val="0"/>
                <w:i w:val="0"/>
                <w:color w:val="000000"/>
                <w:sz w:val="17"/>
              </w:rPr>
              <w:t>sub IAM validato.</w:t>
            </w:r>
          </w:p>
        </w:tc>
      </w:tr>
      <w:tr>
        <w:tc>
          <w:tcPr>
            <w:tcW w:type="dxa" w:w="2438"/>
            <w:vAlign w:val="top"/>
            <w:shd w:fill="F8FAFC"/>
          </w:tcPr>
          <w:p>
            <w:pPr>
              <w:spacing w:before="0" w:after="40" w:line="252" w:lineRule="auto"/>
            </w:pPr>
            <w:r>
              <w:rPr>
                <w:rFonts w:ascii="Noto Sans" w:hAnsi="Noto Sans" w:eastAsia="Noto Sans"/>
                <w:b w:val="0"/>
                <w:i w:val="0"/>
                <w:color w:val="000000"/>
                <w:sz w:val="17"/>
              </w:rPr>
              <w:t>actorType</w:t>
            </w:r>
          </w:p>
        </w:tc>
        <w:tc>
          <w:tcPr>
            <w:tcW w:type="dxa" w:w="6350"/>
            <w:vAlign w:val="top"/>
            <w:shd w:fill="F8FAFC"/>
          </w:tcPr>
          <w:p>
            <w:pPr>
              <w:spacing w:before="0" w:after="40" w:line="252" w:lineRule="auto"/>
            </w:pPr>
            <w:r>
              <w:rPr>
                <w:rFonts w:ascii="Noto Sans" w:hAnsi="Noto Sans" w:eastAsia="Noto Sans"/>
                <w:b w:val="0"/>
                <w:i w:val="0"/>
                <w:color w:val="000000"/>
                <w:sz w:val="17"/>
              </w:rPr>
              <w:t>HUMAN_USER / AI_AGENT / MCP_SERVER / SERVICE_IDENTITY.</w:t>
            </w:r>
          </w:p>
        </w:tc>
      </w:tr>
      <w:tr>
        <w:tc>
          <w:tcPr>
            <w:tcW w:type="dxa" w:w="2438"/>
            <w:vAlign w:val="top"/>
          </w:tcPr>
          <w:p>
            <w:pPr>
              <w:spacing w:before="0" w:after="40" w:line="252" w:lineRule="auto"/>
            </w:pPr>
            <w:r>
              <w:rPr>
                <w:rFonts w:ascii="Noto Sans" w:hAnsi="Noto Sans" w:eastAsia="Noto Sans"/>
                <w:b w:val="0"/>
                <w:i w:val="0"/>
                <w:color w:val="000000"/>
                <w:sz w:val="17"/>
              </w:rPr>
              <w:t>clientId</w:t>
            </w:r>
          </w:p>
        </w:tc>
        <w:tc>
          <w:tcPr>
            <w:tcW w:type="dxa" w:w="6350"/>
            <w:vAlign w:val="top"/>
          </w:tcPr>
          <w:p>
            <w:pPr>
              <w:spacing w:before="0" w:after="40" w:line="252" w:lineRule="auto"/>
            </w:pPr>
            <w:r>
              <w:rPr>
                <w:rFonts w:ascii="Noto Sans" w:hAnsi="Noto Sans" w:eastAsia="Noto Sans"/>
                <w:b w:val="0"/>
                <w:i w:val="0"/>
                <w:color w:val="000000"/>
                <w:sz w:val="17"/>
              </w:rPr>
              <w:t>client/service che ha inviato la richiesta.</w:t>
            </w:r>
          </w:p>
        </w:tc>
      </w:tr>
      <w:tr>
        <w:tc>
          <w:tcPr>
            <w:tcW w:type="dxa" w:w="2438"/>
            <w:vAlign w:val="top"/>
            <w:shd w:fill="F8FAFC"/>
          </w:tcPr>
          <w:p>
            <w:pPr>
              <w:spacing w:before="0" w:after="40" w:line="252" w:lineRule="auto"/>
            </w:pPr>
            <w:r>
              <w:rPr>
                <w:rFonts w:ascii="Noto Sans" w:hAnsi="Noto Sans" w:eastAsia="Noto Sans"/>
                <w:b w:val="0"/>
                <w:i w:val="0"/>
                <w:color w:val="000000"/>
                <w:sz w:val="17"/>
              </w:rPr>
              <w:t>delegatedVia</w:t>
            </w:r>
          </w:p>
        </w:tc>
        <w:tc>
          <w:tcPr>
            <w:tcW w:type="dxa" w:w="6350"/>
            <w:vAlign w:val="top"/>
            <w:shd w:fill="F8FAFC"/>
          </w:tcPr>
          <w:p>
            <w:pPr>
              <w:spacing w:before="0" w:after="40" w:line="252" w:lineRule="auto"/>
            </w:pPr>
            <w:r>
              <w:rPr>
                <w:rFonts w:ascii="Noto Sans" w:hAnsi="Noto Sans" w:eastAsia="Noto Sans"/>
                <w:b w:val="0"/>
                <w:i w:val="0"/>
                <w:color w:val="000000"/>
                <w:sz w:val="17"/>
              </w:rPr>
              <w:t>eventuale mediazione agentica.</w:t>
            </w:r>
          </w:p>
        </w:tc>
      </w:tr>
      <w:tr>
        <w:tc>
          <w:tcPr>
            <w:tcW w:type="dxa" w:w="2438"/>
            <w:vAlign w:val="top"/>
          </w:tcPr>
          <w:p>
            <w:pPr>
              <w:spacing w:before="0" w:after="40" w:line="252" w:lineRule="auto"/>
            </w:pPr>
            <w:r>
              <w:rPr>
                <w:rFonts w:ascii="Noto Sans" w:hAnsi="Noto Sans" w:eastAsia="Noto Sans"/>
                <w:b w:val="0"/>
                <w:i w:val="0"/>
                <w:color w:val="000000"/>
                <w:sz w:val="17"/>
              </w:rPr>
              <w:t>externalRoleRefs</w:t>
            </w:r>
          </w:p>
        </w:tc>
        <w:tc>
          <w:tcPr>
            <w:tcW w:type="dxa" w:w="6350"/>
            <w:vAlign w:val="top"/>
          </w:tcPr>
          <w:p>
            <w:pPr>
              <w:spacing w:before="0" w:after="40" w:line="252" w:lineRule="auto"/>
            </w:pPr>
            <w:r>
              <w:rPr>
                <w:rFonts w:ascii="Noto Sans" w:hAnsi="Noto Sans" w:eastAsia="Noto Sans"/>
                <w:b w:val="0"/>
                <w:i w:val="0"/>
                <w:color w:val="000000"/>
                <w:sz w:val="17"/>
              </w:rPr>
              <w:t>ruoli rilevanti alla decisione, normalizzati.</w:t>
            </w:r>
          </w:p>
        </w:tc>
      </w:tr>
      <w:tr>
        <w:tc>
          <w:tcPr>
            <w:tcW w:type="dxa" w:w="2438"/>
            <w:vAlign w:val="top"/>
            <w:shd w:fill="F8FAFC"/>
          </w:tcPr>
          <w:p>
            <w:pPr>
              <w:spacing w:before="0" w:after="40" w:line="252" w:lineRule="auto"/>
            </w:pPr>
            <w:r>
              <w:rPr>
                <w:rFonts w:ascii="Noto Sans" w:hAnsi="Noto Sans" w:eastAsia="Noto Sans"/>
                <w:b w:val="0"/>
                <w:i w:val="0"/>
                <w:color w:val="000000"/>
                <w:sz w:val="17"/>
              </w:rPr>
              <w:t>orgContext</w:t>
            </w:r>
          </w:p>
        </w:tc>
        <w:tc>
          <w:tcPr>
            <w:tcW w:type="dxa" w:w="6350"/>
            <w:vAlign w:val="top"/>
            <w:shd w:fill="F8FAFC"/>
          </w:tcPr>
          <w:p>
            <w:pPr>
              <w:spacing w:before="0" w:after="40" w:line="252" w:lineRule="auto"/>
            </w:pPr>
            <w:r>
              <w:rPr>
                <w:rFonts w:ascii="Noto Sans" w:hAnsi="Noto Sans" w:eastAsia="Noto Sans"/>
                <w:b w:val="0"/>
                <w:i w:val="0"/>
                <w:color w:val="000000"/>
                <w:sz w:val="17"/>
              </w:rPr>
              <w:t>org scope rilevante.</w:t>
            </w:r>
          </w:p>
        </w:tc>
      </w:tr>
      <w:tr>
        <w:tc>
          <w:tcPr>
            <w:tcW w:type="dxa" w:w="2438"/>
            <w:vAlign w:val="top"/>
          </w:tcPr>
          <w:p>
            <w:pPr>
              <w:spacing w:before="0" w:after="40" w:line="252" w:lineRule="auto"/>
            </w:pPr>
            <w:r>
              <w:rPr>
                <w:rFonts w:ascii="Noto Sans" w:hAnsi="Noto Sans" w:eastAsia="Noto Sans"/>
                <w:b w:val="0"/>
                <w:i w:val="0"/>
                <w:color w:val="000000"/>
                <w:sz w:val="17"/>
              </w:rPr>
              <w:t>capabilityId</w:t>
            </w:r>
          </w:p>
        </w:tc>
        <w:tc>
          <w:tcPr>
            <w:tcW w:type="dxa" w:w="6350"/>
            <w:vAlign w:val="top"/>
          </w:tcPr>
          <w:p>
            <w:pPr>
              <w:spacing w:before="0" w:after="40" w:line="252" w:lineRule="auto"/>
            </w:pPr>
            <w:r>
              <w:rPr>
                <w:rFonts w:ascii="Noto Sans" w:hAnsi="Noto Sans" w:eastAsia="Noto Sans"/>
                <w:b w:val="0"/>
                <w:i w:val="0"/>
                <w:color w:val="000000"/>
                <w:sz w:val="17"/>
              </w:rPr>
              <w:t>azione richiesta.</w:t>
            </w:r>
          </w:p>
        </w:tc>
      </w:tr>
      <w:tr>
        <w:tc>
          <w:tcPr>
            <w:tcW w:type="dxa" w:w="2438"/>
            <w:vAlign w:val="top"/>
            <w:shd w:fill="F8FAFC"/>
          </w:tcPr>
          <w:p>
            <w:pPr>
              <w:spacing w:before="0" w:after="40" w:line="252" w:lineRule="auto"/>
            </w:pPr>
            <w:r>
              <w:rPr>
                <w:rFonts w:ascii="Noto Sans" w:hAnsi="Noto Sans" w:eastAsia="Noto Sans"/>
                <w:b w:val="0"/>
                <w:i w:val="0"/>
                <w:color w:val="000000"/>
                <w:sz w:val="17"/>
              </w:rPr>
              <w:t>resourceRef</w:t>
            </w:r>
          </w:p>
        </w:tc>
        <w:tc>
          <w:tcPr>
            <w:tcW w:type="dxa" w:w="6350"/>
            <w:vAlign w:val="top"/>
            <w:shd w:fill="F8FAFC"/>
          </w:tcPr>
          <w:p>
            <w:pPr>
              <w:spacing w:before="0" w:after="40" w:line="252" w:lineRule="auto"/>
            </w:pPr>
            <w:r>
              <w:rPr>
                <w:rFonts w:ascii="Noto Sans" w:hAnsi="Noto Sans" w:eastAsia="Noto Sans"/>
                <w:b w:val="0"/>
                <w:i w:val="0"/>
                <w:color w:val="000000"/>
                <w:sz w:val="17"/>
              </w:rPr>
              <w:t>oggetto/aggregate interessato.</w:t>
            </w:r>
          </w:p>
        </w:tc>
      </w:tr>
      <w:tr>
        <w:tc>
          <w:tcPr>
            <w:tcW w:type="dxa" w:w="2438"/>
            <w:vAlign w:val="top"/>
          </w:tcPr>
          <w:p>
            <w:pPr>
              <w:spacing w:before="0" w:after="40" w:line="252" w:lineRule="auto"/>
            </w:pPr>
            <w:r>
              <w:rPr>
                <w:rFonts w:ascii="Noto Sans" w:hAnsi="Noto Sans" w:eastAsia="Noto Sans"/>
                <w:b w:val="0"/>
                <w:i w:val="0"/>
                <w:color w:val="000000"/>
                <w:sz w:val="17"/>
              </w:rPr>
              <w:t>decision</w:t>
            </w:r>
          </w:p>
        </w:tc>
        <w:tc>
          <w:tcPr>
            <w:tcW w:type="dxa" w:w="6350"/>
            <w:vAlign w:val="top"/>
          </w:tcPr>
          <w:p>
            <w:pPr>
              <w:spacing w:before="0" w:after="40" w:line="252" w:lineRule="auto"/>
            </w:pPr>
            <w:r>
              <w:rPr>
                <w:rFonts w:ascii="Noto Sans" w:hAnsi="Noto Sans" w:eastAsia="Noto Sans"/>
                <w:b w:val="0"/>
                <w:i w:val="0"/>
                <w:color w:val="000000"/>
                <w:sz w:val="17"/>
              </w:rPr>
              <w:t>ALLOW/DENY.</w:t>
            </w:r>
          </w:p>
        </w:tc>
      </w:tr>
      <w:tr>
        <w:tc>
          <w:tcPr>
            <w:tcW w:type="dxa" w:w="2438"/>
            <w:vAlign w:val="top"/>
            <w:shd w:fill="F8FAFC"/>
          </w:tcPr>
          <w:p>
            <w:pPr>
              <w:spacing w:before="0" w:after="40" w:line="252" w:lineRule="auto"/>
            </w:pPr>
            <w:r>
              <w:rPr>
                <w:rFonts w:ascii="Noto Sans" w:hAnsi="Noto Sans" w:eastAsia="Noto Sans"/>
                <w:b w:val="0"/>
                <w:i w:val="0"/>
                <w:color w:val="000000"/>
                <w:sz w:val="17"/>
              </w:rPr>
              <w:t>reasonCode</w:t>
            </w:r>
          </w:p>
        </w:tc>
        <w:tc>
          <w:tcPr>
            <w:tcW w:type="dxa" w:w="6350"/>
            <w:vAlign w:val="top"/>
            <w:shd w:fill="F8FAFC"/>
          </w:tcPr>
          <w:p>
            <w:pPr>
              <w:spacing w:before="0" w:after="40" w:line="252" w:lineRule="auto"/>
            </w:pPr>
            <w:r>
              <w:rPr>
                <w:rFonts w:ascii="Noto Sans" w:hAnsi="Noto Sans" w:eastAsia="Noto Sans"/>
                <w:b w:val="0"/>
                <w:i w:val="0"/>
                <w:color w:val="000000"/>
                <w:sz w:val="17"/>
              </w:rPr>
              <w:t>motivazione deterministica.</w:t>
            </w:r>
          </w:p>
        </w:tc>
      </w:tr>
      <w:tr>
        <w:tc>
          <w:tcPr>
            <w:tcW w:type="dxa" w:w="2438"/>
            <w:vAlign w:val="top"/>
          </w:tcPr>
          <w:p>
            <w:pPr>
              <w:spacing w:before="0" w:after="40" w:line="252" w:lineRule="auto"/>
            </w:pPr>
            <w:r>
              <w:rPr>
                <w:rFonts w:ascii="Noto Sans" w:hAnsi="Noto Sans" w:eastAsia="Noto Sans"/>
                <w:b w:val="0"/>
                <w:i w:val="0"/>
                <w:color w:val="000000"/>
                <w:sz w:val="17"/>
              </w:rPr>
              <w:t>policyPublicationId</w:t>
            </w:r>
          </w:p>
        </w:tc>
        <w:tc>
          <w:tcPr>
            <w:tcW w:type="dxa" w:w="6350"/>
            <w:vAlign w:val="top"/>
          </w:tcPr>
          <w:p>
            <w:pPr>
              <w:spacing w:before="0" w:after="40" w:line="252" w:lineRule="auto"/>
            </w:pPr>
            <w:r>
              <w:rPr>
                <w:rFonts w:ascii="Noto Sans" w:hAnsi="Noto Sans" w:eastAsia="Noto Sans"/>
                <w:b w:val="0"/>
                <w:i w:val="0"/>
                <w:color w:val="000000"/>
                <w:sz w:val="17"/>
              </w:rPr>
              <w:t>bundle/versione applicata.</w:t>
            </w:r>
          </w:p>
        </w:tc>
      </w:tr>
      <w:tr>
        <w:tc>
          <w:tcPr>
            <w:tcW w:type="dxa" w:w="2438"/>
            <w:vAlign w:val="top"/>
            <w:shd w:fill="F8FAFC"/>
          </w:tcPr>
          <w:p>
            <w:pPr>
              <w:spacing w:before="0" w:after="40" w:line="252" w:lineRule="auto"/>
            </w:pPr>
            <w:r>
              <w:rPr>
                <w:rFonts w:ascii="Noto Sans" w:hAnsi="Noto Sans" w:eastAsia="Noto Sans"/>
                <w:b w:val="0"/>
                <w:i w:val="0"/>
                <w:color w:val="000000"/>
                <w:sz w:val="17"/>
              </w:rPr>
              <w:t>correlationId</w:t>
            </w:r>
          </w:p>
        </w:tc>
        <w:tc>
          <w:tcPr>
            <w:tcW w:type="dxa" w:w="6350"/>
            <w:vAlign w:val="top"/>
            <w:shd w:fill="F8FAFC"/>
          </w:tcPr>
          <w:p>
            <w:pPr>
              <w:spacing w:before="0" w:after="40" w:line="252" w:lineRule="auto"/>
            </w:pPr>
            <w:r>
              <w:rPr>
                <w:rFonts w:ascii="Noto Sans" w:hAnsi="Noto Sans" w:eastAsia="Noto Sans"/>
                <w:b w:val="0"/>
                <w:i w:val="0"/>
                <w:color w:val="000000"/>
                <w:sz w:val="17"/>
              </w:rPr>
              <w:t>tracciabilità end-to-end.</w:t>
            </w:r>
          </w:p>
        </w:tc>
      </w:tr>
      <w:tr>
        <w:tc>
          <w:tcPr>
            <w:tcW w:type="dxa" w:w="2438"/>
            <w:vAlign w:val="top"/>
          </w:tcPr>
          <w:p>
            <w:pPr>
              <w:spacing w:before="0" w:after="40" w:line="252" w:lineRule="auto"/>
            </w:pPr>
            <w:r>
              <w:rPr>
                <w:rFonts w:ascii="Noto Sans" w:hAnsi="Noto Sans" w:eastAsia="Noto Sans"/>
                <w:b w:val="0"/>
                <w:i w:val="0"/>
                <w:color w:val="000000"/>
                <w:sz w:val="17"/>
              </w:rPr>
              <w:t>approvalChallengeRef</w:t>
            </w:r>
          </w:p>
        </w:tc>
        <w:tc>
          <w:tcPr>
            <w:tcW w:type="dxa" w:w="6350"/>
            <w:vAlign w:val="top"/>
          </w:tcPr>
          <w:p>
            <w:pPr>
              <w:spacing w:before="0" w:after="40" w:line="252" w:lineRule="auto"/>
            </w:pPr>
            <w:r>
              <w:rPr>
                <w:rFonts w:ascii="Noto Sans" w:hAnsi="Noto Sans" w:eastAsia="Noto Sans"/>
                <w:b w:val="0"/>
                <w:i w:val="0"/>
                <w:color w:val="000000"/>
                <w:sz w:val="17"/>
              </w:rPr>
              <w:t>se applicabile.</w:t>
            </w:r>
          </w:p>
        </w:tc>
      </w:tr>
    </w:tbl>
    <w:p>
      <w:pPr>
        <w:spacing w:after="40"/>
      </w:pPr>
    </w:p>
    <w:p>
      <w:pPr>
        <w:pStyle w:val="Heading2"/>
        <w:keepNext/>
      </w:pPr>
      <w:r>
        <w:rPr>
          <w:rFonts w:ascii="Noto Sans" w:hAnsi="Noto Sans" w:eastAsia="Noto Sans"/>
        </w:rPr>
        <w:t>23.2 Privacy e minimizzazione</w:t>
      </w:r>
    </w:p>
    <w:p>
      <w:pPr>
        <w:spacing w:before="0" w:after="120" w:line="276" w:lineRule="auto"/>
      </w:pPr>
      <w:r>
        <w:rPr>
          <w:rFonts w:ascii="Noto Sans" w:hAnsi="Noto Sans" w:eastAsia="Noto Sans"/>
          <w:b w:val="0"/>
          <w:i w:val="0"/>
          <w:color w:val="000000"/>
          <w:sz w:val="18"/>
        </w:rPr>
        <w:t>L’audit conserva solo gli attributi necessari a provare la decisione. Non replica l’intero profilo utente o l’intero token. Token raw e secret non vengono registrati nei log.</w:t>
      </w:r>
    </w:p>
    <w:p>
      <w:r>
        <w:rPr>
          <w:rFonts w:ascii="Noto Sans" w:hAnsi="Noto Sans" w:eastAsia="Noto Sans"/>
        </w:rPr>
      </w:r>
    </w:p>
    <w:p>
      <w:pPr>
        <w:pStyle w:val="Heading1"/>
        <w:keepNext/>
      </w:pPr>
      <w:r>
        <w:rPr>
          <w:rFonts w:ascii="Noto Sans" w:hAnsi="Noto Sans" w:eastAsia="Noto Sans"/>
        </w:rPr>
        <w:t>24. Security baseline</w:t>
      </w:r>
    </w:p>
    <w:p>
      <w:pPr>
        <w:pStyle w:val="ListBullet"/>
        <w:spacing w:before="0" w:after="60" w:line="264" w:lineRule="auto"/>
      </w:pPr>
      <w:r>
        <w:rPr>
          <w:rFonts w:ascii="Noto Sans" w:hAnsi="Noto Sans" w:eastAsia="Noto Sans"/>
          <w:b w:val="0"/>
          <w:i w:val="0"/>
          <w:color w:val="000000"/>
          <w:sz w:val="18"/>
        </w:rPr>
        <w:t>JWT signature/issuer/audience/exp validati secondo configurazione IAM.</w:t>
      </w:r>
    </w:p>
    <w:p>
      <w:pPr>
        <w:pStyle w:val="ListBullet"/>
        <w:spacing w:before="0" w:after="60" w:line="264" w:lineRule="auto"/>
      </w:pPr>
      <w:r>
        <w:rPr>
          <w:rFonts w:ascii="Noto Sans" w:hAnsi="Noto Sans" w:eastAsia="Noto Sans"/>
          <w:b w:val="0"/>
          <w:i w:val="0"/>
          <w:color w:val="000000"/>
          <w:sz w:val="18"/>
        </w:rPr>
        <w:t>JWKS refresh e key rotation supportati.</w:t>
      </w:r>
    </w:p>
    <w:p>
      <w:pPr>
        <w:pStyle w:val="ListBullet"/>
        <w:spacing w:before="0" w:after="60" w:line="264" w:lineRule="auto"/>
      </w:pPr>
      <w:r>
        <w:rPr>
          <w:rFonts w:ascii="Noto Sans" w:hAnsi="Noto Sans" w:eastAsia="Noto Sans"/>
          <w:b w:val="0"/>
          <w:i w:val="0"/>
          <w:color w:val="000000"/>
          <w:sz w:val="18"/>
        </w:rPr>
        <w:t>No trust su X-User/X-Role header provenienti dall’esterno; eventuali header interni sono riscritti/protetti dal Gateway.</w:t>
      </w:r>
    </w:p>
    <w:p>
      <w:pPr>
        <w:pStyle w:val="ListBullet"/>
        <w:spacing w:before="0" w:after="60" w:line="264" w:lineRule="auto"/>
      </w:pPr>
      <w:r>
        <w:rPr>
          <w:rFonts w:ascii="Noto Sans" w:hAnsi="Noto Sans" w:eastAsia="Noto Sans"/>
          <w:b w:val="0"/>
          <w:i w:val="0"/>
          <w:color w:val="000000"/>
          <w:sz w:val="18"/>
        </w:rPr>
        <w:t>External role references validate against configured namespace/source.</w:t>
      </w:r>
    </w:p>
    <w:p>
      <w:pPr>
        <w:pStyle w:val="ListBullet"/>
        <w:spacing w:before="0" w:after="60" w:line="264" w:lineRule="auto"/>
      </w:pPr>
      <w:r>
        <w:rPr>
          <w:rFonts w:ascii="Noto Sans" w:hAnsi="Noto Sans" w:eastAsia="Noto Sans"/>
          <w:b w:val="0"/>
          <w:i w:val="0"/>
          <w:color w:val="000000"/>
          <w:sz w:val="18"/>
        </w:rPr>
        <w:t>Policy publication richiede content hash e optimistic locking.</w:t>
      </w:r>
    </w:p>
    <w:p>
      <w:pPr>
        <w:pStyle w:val="ListBullet"/>
        <w:spacing w:before="0" w:after="60" w:line="264" w:lineRule="auto"/>
      </w:pPr>
      <w:r>
        <w:rPr>
          <w:rFonts w:ascii="Noto Sans" w:hAnsi="Noto Sans" w:eastAsia="Noto Sans"/>
          <w:b w:val="0"/>
          <w:i w:val="0"/>
          <w:color w:val="000000"/>
          <w:sz w:val="18"/>
        </w:rPr>
        <w:t>Endpoint amministrativi authz non sono MCP tool-eligible.</w:t>
      </w:r>
    </w:p>
    <w:p>
      <w:pPr>
        <w:pStyle w:val="ListBullet"/>
        <w:spacing w:before="0" w:after="60" w:line="264" w:lineRule="auto"/>
      </w:pPr>
      <w:r>
        <w:rPr>
          <w:rFonts w:ascii="Noto Sans" w:hAnsi="Noto Sans" w:eastAsia="Noto Sans"/>
        </w:rPr>
        <w:t>Nessun secret IAM o M2M memorizzato in chiaro nel database o nei bundle Authorization; usare workload identity quando disponibile oppure secretRef verso OpenBao/secret manager condiviso.</w:t>
      </w:r>
    </w:p>
    <w:p>
      <w:pPr>
        <w:pStyle w:val="ListBullet"/>
        <w:spacing w:before="0" w:after="60" w:line="264" w:lineRule="auto"/>
      </w:pPr>
      <w:r>
        <w:rPr>
          <w:rFonts w:ascii="Noto Sans" w:hAnsi="Noto Sans" w:eastAsia="Noto Sans"/>
          <w:b w:val="0"/>
          <w:i w:val="0"/>
          <w:color w:val="000000"/>
          <w:sz w:val="18"/>
        </w:rPr>
        <w:t>Fail closed su bundle assente/scaduto per operazioni write/governance.</w:t>
      </w:r>
    </w:p>
    <w:p>
      <w:pPr>
        <w:pStyle w:val="ListBullet"/>
        <w:spacing w:before="0" w:after="60" w:line="264" w:lineRule="auto"/>
      </w:pPr>
      <w:r>
        <w:rPr>
          <w:rFonts w:ascii="Noto Sans" w:hAnsi="Noto Sans" w:eastAsia="Noto Sans"/>
          <w:b w:val="0"/>
          <w:i w:val="0"/>
          <w:color w:val="000000"/>
          <w:sz w:val="18"/>
        </w:rPr>
        <w:t>Read-only può usare last-known-good bundle entro una finestra controllata definita dal profilo di esercizio.</w:t>
      </w:r>
    </w:p>
    <w:p>
      <w:r>
        <w:rPr>
          <w:rFonts w:ascii="Noto Sans" w:hAnsi="Noto Sans" w:eastAsia="Noto Sans"/>
        </w:rPr>
      </w:r>
    </w:p>
    <w:p>
      <w:pPr>
        <w:pStyle w:val="Heading1"/>
        <w:keepNext/>
      </w:pPr>
      <w:r>
        <w:rPr>
          <w:rFonts w:ascii="Noto Sans" w:hAnsi="Noto Sans" w:eastAsia="Noto Sans"/>
        </w:rPr>
        <w:t>25. Failure mode e resilienza</w:t>
      </w:r>
    </w:p>
    <w:tbl>
      <w:tblPr>
        <w:tblStyle w:val="TableGrid"/>
        <w:tblW w:type="auto" w:w="0"/>
        <w:jc w:val="center"/>
        <w:tblLayout w:type="fixed"/>
        <w:tblLook w:firstColumn="1" w:firstRow="1" w:lastColumn="0" w:lastRow="0" w:noHBand="0" w:noVBand="1" w:val="04A0"/>
      </w:tblPr>
      <w:tblGrid>
        <w:gridCol w:w="2835"/>
        <w:gridCol w:w="5953"/>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Guasto</w:t>
            </w:r>
          </w:p>
        </w:tc>
        <w:tc>
          <w:tcPr>
            <w:tcW w:type="dxa" w:w="4703"/>
            <w:shd w:fill="0B4F6C"/>
            <w:vAlign w:val="center"/>
          </w:tcPr>
          <w:p>
            <w:pPr>
              <w:spacing w:before="0" w:after="40" w:line="240" w:lineRule="auto"/>
              <w:jc w:val="left"/>
            </w:pPr>
            <w:r>
              <w:rPr>
                <w:rFonts w:ascii="Noto Sans" w:hAnsi="Noto Sans" w:eastAsia="Noto Sans"/>
                <w:b/>
                <w:i w:val="0"/>
                <w:color w:val="FFFFFF"/>
                <w:sz w:val="17"/>
              </w:rPr>
              <w:t>Comportamento</w:t>
            </w:r>
          </w:p>
        </w:tc>
      </w:tr>
      <w:tr>
        <w:tc>
          <w:tcPr>
            <w:tcW w:type="dxa" w:w="2835"/>
            <w:vAlign w:val="top"/>
            <w:shd w:fill="F8FAFC"/>
          </w:tcPr>
          <w:p>
            <w:pPr>
              <w:spacing w:before="0" w:after="40" w:line="252" w:lineRule="auto"/>
            </w:pPr>
            <w:r>
              <w:rPr>
                <w:rFonts w:ascii="Noto Sans" w:hAnsi="Noto Sans" w:eastAsia="Noto Sans"/>
                <w:b w:val="0"/>
                <w:i w:val="0"/>
                <w:color w:val="000000"/>
                <w:sz w:val="17"/>
              </w:rPr>
              <w:t>IAM indisponibile durante nuova autenticazione</w:t>
            </w:r>
          </w:p>
        </w:tc>
        <w:tc>
          <w:tcPr>
            <w:tcW w:type="dxa" w:w="5953"/>
            <w:vAlign w:val="top"/>
            <w:shd w:fill="F8FAFC"/>
          </w:tcPr>
          <w:p>
            <w:pPr>
              <w:spacing w:before="0" w:after="40" w:line="252" w:lineRule="auto"/>
            </w:pPr>
            <w:r>
              <w:rPr>
                <w:rFonts w:ascii="Noto Sans" w:hAnsi="Noto Sans" w:eastAsia="Noto Sans"/>
                <w:b w:val="0"/>
                <w:i w:val="0"/>
                <w:color w:val="000000"/>
                <w:sz w:val="17"/>
              </w:rPr>
              <w:t>Nessun nuovo login; sessioni/token già validi continuano finché validi secondo IAM.</w:t>
            </w:r>
          </w:p>
        </w:tc>
      </w:tr>
      <w:tr>
        <w:tc>
          <w:tcPr>
            <w:tcW w:type="dxa" w:w="2835"/>
            <w:vAlign w:val="top"/>
          </w:tcPr>
          <w:p>
            <w:pPr>
              <w:spacing w:before="0" w:after="40" w:line="252" w:lineRule="auto"/>
            </w:pPr>
            <w:r>
              <w:rPr>
                <w:rFonts w:ascii="Noto Sans" w:hAnsi="Noto Sans" w:eastAsia="Noto Sans"/>
                <w:b w:val="0"/>
                <w:i w:val="0"/>
                <w:color w:val="000000"/>
                <w:sz w:val="17"/>
              </w:rPr>
              <w:t>Directory API ruoli indisponibile</w:t>
            </w:r>
          </w:p>
        </w:tc>
        <w:tc>
          <w:tcPr>
            <w:tcW w:type="dxa" w:w="5953"/>
            <w:vAlign w:val="top"/>
          </w:tcPr>
          <w:p>
            <w:pPr>
              <w:spacing w:before="0" w:after="40" w:line="252" w:lineRule="auto"/>
            </w:pPr>
            <w:r>
              <w:rPr>
                <w:rFonts w:ascii="Noto Sans" w:hAnsi="Noto Sans" w:eastAsia="Noto Sans"/>
                <w:b w:val="0"/>
                <w:i w:val="0"/>
                <w:color w:val="000000"/>
                <w:sz w:val="17"/>
              </w:rPr>
              <w:t>Usare claim token o cache non scaduta; se la decisione richiede lookup non disponibile → DENY.</w:t>
            </w:r>
          </w:p>
        </w:tc>
      </w:tr>
      <w:tr>
        <w:tc>
          <w:tcPr>
            <w:tcW w:type="dxa" w:w="2835"/>
            <w:vAlign w:val="top"/>
            <w:shd w:fill="F8FAFC"/>
          </w:tcPr>
          <w:p>
            <w:pPr>
              <w:spacing w:before="0" w:after="40" w:line="252" w:lineRule="auto"/>
            </w:pPr>
            <w:r>
              <w:rPr>
                <w:rFonts w:ascii="Noto Sans" w:hAnsi="Noto Sans" w:eastAsia="Noto Sans"/>
                <w:b w:val="0"/>
                <w:i w:val="0"/>
                <w:color w:val="000000"/>
                <w:sz w:val="17"/>
              </w:rPr>
              <w:t>Authorization Policy Registry down</w:t>
            </w:r>
          </w:p>
        </w:tc>
        <w:tc>
          <w:tcPr>
            <w:tcW w:type="dxa" w:w="5953"/>
            <w:vAlign w:val="top"/>
            <w:shd w:fill="F8FAFC"/>
          </w:tcPr>
          <w:p>
            <w:pPr>
              <w:spacing w:before="0" w:after="40" w:line="252" w:lineRule="auto"/>
            </w:pPr>
            <w:r>
              <w:rPr>
                <w:rFonts w:ascii="Noto Sans" w:hAnsi="Noto Sans" w:eastAsia="Noto Sans"/>
                <w:b w:val="0"/>
                <w:i w:val="0"/>
                <w:color w:val="000000"/>
                <w:sz w:val="17"/>
              </w:rPr>
              <w:t>I servizi usano last-known-good bundle già caricato; gestione policy non disponibile.</w:t>
            </w:r>
          </w:p>
        </w:tc>
      </w:tr>
      <w:tr>
        <w:tc>
          <w:tcPr>
            <w:tcW w:type="dxa" w:w="2835"/>
            <w:vAlign w:val="top"/>
          </w:tcPr>
          <w:p>
            <w:pPr>
              <w:spacing w:before="0" w:after="40" w:line="252" w:lineRule="auto"/>
            </w:pPr>
            <w:r>
              <w:rPr>
                <w:rFonts w:ascii="Noto Sans" w:hAnsi="Noto Sans" w:eastAsia="Noto Sans"/>
                <w:b w:val="0"/>
                <w:i w:val="0"/>
                <w:color w:val="000000"/>
                <w:sz w:val="17"/>
              </w:rPr>
              <w:t>Bundle fetch fallisce</w:t>
            </w:r>
          </w:p>
        </w:tc>
        <w:tc>
          <w:tcPr>
            <w:tcW w:type="dxa" w:w="5953"/>
            <w:vAlign w:val="top"/>
          </w:tcPr>
          <w:p>
            <w:pPr>
              <w:spacing w:before="0" w:after="40" w:line="252" w:lineRule="auto"/>
            </w:pPr>
            <w:r>
              <w:rPr>
                <w:rFonts w:ascii="Noto Sans" w:hAnsi="Noto Sans" w:eastAsia="Noto Sans"/>
                <w:b w:val="0"/>
                <w:i w:val="0"/>
                <w:color w:val="000000"/>
                <w:sz w:val="17"/>
              </w:rPr>
              <w:t>Mantiene bundle ACTIVE precedente; alert; nessun passaggio a policy parziale.</w:t>
            </w:r>
          </w:p>
        </w:tc>
      </w:tr>
      <w:tr>
        <w:tc>
          <w:tcPr>
            <w:tcW w:type="dxa" w:w="2835"/>
            <w:vAlign w:val="top"/>
            <w:shd w:fill="F8FAFC"/>
          </w:tcPr>
          <w:p>
            <w:pPr>
              <w:spacing w:before="0" w:after="40" w:line="252" w:lineRule="auto"/>
            </w:pPr>
            <w:r>
              <w:rPr>
                <w:rFonts w:ascii="Noto Sans" w:hAnsi="Noto Sans" w:eastAsia="Noto Sans"/>
                <w:b w:val="0"/>
                <w:i w:val="0"/>
                <w:color w:val="000000"/>
                <w:sz w:val="17"/>
              </w:rPr>
              <w:t>Policy malformed</w:t>
            </w:r>
          </w:p>
        </w:tc>
        <w:tc>
          <w:tcPr>
            <w:tcW w:type="dxa" w:w="5953"/>
            <w:vAlign w:val="top"/>
            <w:shd w:fill="F8FAFC"/>
          </w:tcPr>
          <w:p>
            <w:pPr>
              <w:spacing w:before="0" w:after="40" w:line="252" w:lineRule="auto"/>
            </w:pPr>
            <w:r>
              <w:rPr>
                <w:rFonts w:ascii="Noto Sans" w:hAnsi="Noto Sans" w:eastAsia="Noto Sans"/>
                <w:b w:val="0"/>
                <w:i w:val="0"/>
                <w:color w:val="000000"/>
                <w:sz w:val="17"/>
              </w:rPr>
              <w:t>Publication gate blocca; active pointer invariato.</w:t>
            </w:r>
          </w:p>
        </w:tc>
      </w:tr>
      <w:tr>
        <w:tc>
          <w:tcPr>
            <w:tcW w:type="dxa" w:w="2835"/>
            <w:vAlign w:val="top"/>
          </w:tcPr>
          <w:p>
            <w:pPr>
              <w:spacing w:before="0" w:after="40" w:line="252" w:lineRule="auto"/>
            </w:pPr>
            <w:r>
              <w:rPr>
                <w:rFonts w:ascii="Noto Sans" w:hAnsi="Noto Sans" w:eastAsia="Noto Sans"/>
                <w:b w:val="0"/>
                <w:i w:val="0"/>
                <w:color w:val="000000"/>
                <w:sz w:val="17"/>
              </w:rPr>
              <w:t>Role removed in IAM</w:t>
            </w:r>
          </w:p>
        </w:tc>
        <w:tc>
          <w:tcPr>
            <w:tcW w:type="dxa" w:w="5953"/>
            <w:vAlign w:val="top"/>
          </w:tcPr>
          <w:p>
            <w:pPr>
              <w:spacing w:before="0" w:after="40" w:line="252" w:lineRule="auto"/>
            </w:pPr>
            <w:r>
              <w:rPr>
                <w:rFonts w:ascii="Noto Sans" w:hAnsi="Noto Sans" w:eastAsia="Noto Sans"/>
                <w:b w:val="0"/>
                <w:i w:val="0"/>
                <w:color w:val="000000"/>
                <w:sz w:val="17"/>
              </w:rPr>
              <w:t>Effetto al rinnovo del token/lookup secondo freshness policy; nessuna modifica manuale OUF necessaria.</w:t>
            </w:r>
          </w:p>
        </w:tc>
      </w:tr>
      <w:tr>
        <w:tc>
          <w:tcPr>
            <w:tcW w:type="dxa" w:w="2835"/>
            <w:vAlign w:val="top"/>
            <w:shd w:fill="F8FAFC"/>
          </w:tcPr>
          <w:p>
            <w:pPr>
              <w:spacing w:before="0" w:after="40" w:line="252" w:lineRule="auto"/>
            </w:pPr>
            <w:r>
              <w:rPr>
                <w:rFonts w:ascii="Noto Sans" w:hAnsi="Noto Sans" w:eastAsia="Noto Sans"/>
                <w:b w:val="0"/>
                <w:i w:val="0"/>
                <w:color w:val="000000"/>
                <w:sz w:val="17"/>
              </w:rPr>
              <w:t>Emergency revoke</w:t>
            </w:r>
          </w:p>
        </w:tc>
        <w:tc>
          <w:tcPr>
            <w:tcW w:type="dxa" w:w="5953"/>
            <w:vAlign w:val="top"/>
            <w:shd w:fill="F8FAFC"/>
          </w:tcPr>
          <w:p>
            <w:pPr>
              <w:spacing w:before="0" w:after="40" w:line="252" w:lineRule="auto"/>
            </w:pPr>
            <w:r>
              <w:rPr>
                <w:rFonts w:ascii="Noto Sans" w:hAnsi="Noto Sans" w:eastAsia="Noto Sans"/>
                <w:b w:val="0"/>
                <w:i w:val="0"/>
                <w:color w:val="000000"/>
                <w:sz w:val="17"/>
              </w:rPr>
              <w:t>Nuova publication/revoke + invalidation/TTL accelerato secondo profilo.</w:t>
            </w:r>
          </w:p>
        </w:tc>
      </w:tr>
    </w:tbl>
    <w:p>
      <w:pPr>
        <w:spacing w:after="40"/>
      </w:pPr>
    </w:p>
    <w:p>
      <w:r>
        <w:rPr>
          <w:rFonts w:ascii="Noto Sans" w:hAnsi="Noto Sans" w:eastAsia="Noto Sans"/>
        </w:rPr>
      </w:r>
    </w:p>
    <w:p>
      <w:pPr>
        <w:pStyle w:val="Heading2"/>
      </w:pPr>
      <w:r>
        <w:rPr>
          <w:rFonts w:ascii="Noto Sans" w:hAnsi="Noto Sans"/>
        </w:rPr>
        <w:t>25.1 IAM Directory Adapter — bounded lookup e FAIL_CLOSED</w:t>
      </w:r>
    </w:p>
    <w:p>
      <w:pPr/>
      <w:r>
        <w:rPr>
          <w:rFonts w:ascii="Noto Sans" w:hAnsi="Noto Sans"/>
        </w:rPr>
        <w:t>Quando una policy ABAC richiede un attributo non già disponibile in token/claim firmato o in cache autoritativa sufficientemente fresca, l'IAM Directory Adapter può eseguire un lookup remoto verso Keycloak/EVO. Tale lookup è security-critical e DEVE avere timeout stretto, bounded e configurabile, significativamente inferiore al timeout complessivo della request. Timeout, 5xx, risposta malformata, identità ambigua o attributo obbligatorio non risolvibile producono FAIL_CLOSED con DENY esplicito.</w:t>
      </w:r>
    </w:p>
    <w:p>
      <w:pPr/>
      <w:r>
        <w:rPr>
          <w:rFonts w:ascii="Noto Sans" w:hAnsi="Noto Sans"/>
        </w:rPr>
        <w:t>IAM-LOOKUP-01 — Il profilo iniziale di collaudo SHOULD utilizzare timeout nell'ordine delle decine di millisecondi in LAN/datacenter (ad es. 50-100 ms), da tarare su p95/p99 reali. Il valore non è hard-coded nel dominio.</w:t>
      </w:r>
    </w:p>
    <w:p>
      <w:pPr/>
      <w:r>
        <w:rPr>
          <w:rFonts w:ascii="Noto Sans" w:hAnsi="Noto Sans"/>
        </w:rPr>
        <w:t>IAM-LOOKUP-02 — Non sono ammessi retry sincroni lunghi o catene di fallback permissive. Un eventuale retry deve restare entro il budget della singola lookup e non può trasformare un errore IAM in ALLOW.</w:t>
      </w:r>
    </w:p>
    <w:p>
      <w:pPr/>
      <w:r>
        <w:rPr>
          <w:rFonts w:ascii="Noto Sans" w:hAnsi="Noto Sans"/>
        </w:rPr>
        <w:t>IAM-LOOKUP-03 — Se l'attributo richiesto è già presente in un claim firmato, trusted e sufficientemente fresco secondo policy, il servizio SHOULD evitarne il lookup remoto per ridurre latenza e dipendenza runtime dall'IAM.</w:t>
      </w:r>
    </w:p>
    <w:p>
      <w:pPr/>
      <w:r>
        <w:rPr>
          <w:rFonts w:ascii="Noto Sans" w:hAnsi="Noto Sans"/>
        </w:rPr>
        <w:t>IAM-LOOKUP-04 — Il lookup remoto usa bulkhead/concurrency limit e client pool dedicato o bounded; il degrado IAM non deve saturare worker thread, connection pool o risorse condivise del servizio.</w:t>
      </w:r>
    </w:p>
    <w:p>
      <w:pPr/>
      <w:r>
        <w:rPr>
          <w:rFonts w:ascii="Noto Sans" w:hAnsi="Noto Sans"/>
        </w:rPr>
        <w:t>IAM-LOOKUP-05 — La decisione FAIL_CLOSED deve esporre un reason code tecnico non ambiguo, ad es. IAM_ATTRIBUTE_LOOKUP_TIMEOUT / IAM_ATTRIBUTE_UNAVAILABLE, senza rivelare dettagli sensibili al client finale.</w:t>
      </w:r>
    </w:p>
    <w:p>
      <w:pPr>
        <w:pStyle w:val="Heading1"/>
        <w:keepNext/>
      </w:pPr>
      <w:r>
        <w:rPr>
          <w:rFonts w:ascii="Noto Sans" w:hAnsi="Noto Sans" w:eastAsia="Noto Sans"/>
        </w:rPr>
        <w:t>26. Deployment e Technology Reuse</w:t>
      </w:r>
    </w:p>
    <w:p>
      <w:pPr>
        <w:pStyle w:val="Heading2"/>
        <w:keepNext/>
      </w:pPr>
      <w:r>
        <w:rPr>
          <w:rFonts w:ascii="Noto Sans" w:hAnsi="Noto Sans" w:eastAsia="Noto Sans"/>
        </w:rPr>
        <w:t>26.1 Baseline fisica</w:t>
      </w:r>
    </w:p>
    <w:tbl>
      <w:tblPr>
        <w:tblStyle w:val="TableGrid"/>
        <w:tblW w:type="auto" w:w="0"/>
        <w:jc w:val="center"/>
        <w:tblLayout w:type="fixed"/>
        <w:tblLook w:firstColumn="1" w:firstRow="1" w:lastColumn="0" w:lastRow="0" w:noHBand="0" w:noVBand="1" w:val="04A0"/>
      </w:tblPr>
      <w:tblGrid>
        <w:gridCol w:w="2551"/>
        <w:gridCol w:w="6236"/>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Elemento</w:t>
            </w:r>
          </w:p>
        </w:tc>
        <w:tc>
          <w:tcPr>
            <w:tcW w:type="dxa" w:w="4703"/>
            <w:shd w:fill="0B4F6C"/>
            <w:vAlign w:val="center"/>
          </w:tcPr>
          <w:p>
            <w:pPr>
              <w:spacing w:before="0" w:after="40" w:line="240" w:lineRule="auto"/>
              <w:jc w:val="left"/>
            </w:pPr>
            <w:r>
              <w:rPr>
                <w:rFonts w:ascii="Noto Sans" w:hAnsi="Noto Sans" w:eastAsia="Noto Sans"/>
                <w:b/>
                <w:i w:val="0"/>
                <w:color w:val="FFFFFF"/>
                <w:sz w:val="17"/>
              </w:rPr>
              <w:t>Baseline</w:t>
            </w:r>
          </w:p>
        </w:tc>
      </w:tr>
      <w:tr>
        <w:tc>
          <w:tcPr>
            <w:tcW w:type="dxa" w:w="2551"/>
            <w:vAlign w:val="top"/>
            <w:shd w:fill="F8FAFC"/>
          </w:tcPr>
          <w:p>
            <w:pPr>
              <w:spacing w:before="0" w:after="40" w:line="252" w:lineRule="auto"/>
            </w:pPr>
            <w:r>
              <w:rPr>
                <w:rFonts w:ascii="Noto Sans" w:hAnsi="Noto Sans" w:eastAsia="Noto Sans"/>
                <w:b w:val="0"/>
                <w:i w:val="0"/>
                <w:color w:val="000000"/>
                <w:sz w:val="17"/>
              </w:rPr>
              <w:t>Deployable</w:t>
            </w:r>
          </w:p>
        </w:tc>
        <w:tc>
          <w:tcPr>
            <w:tcW w:type="dxa" w:w="6236"/>
            <w:vAlign w:val="top"/>
            <w:shd w:fill="F8FAFC"/>
          </w:tcPr>
          <w:p>
            <w:pPr>
              <w:spacing w:before="0" w:after="40" w:line="252" w:lineRule="auto"/>
            </w:pPr>
            <w:r>
              <w:rPr>
                <w:rFonts w:ascii="Noto Sans" w:hAnsi="Noto Sans" w:eastAsia="Noto Sans"/>
                <w:b w:val="0"/>
                <w:i w:val="0"/>
                <w:color w:val="000000"/>
                <w:sz w:val="17"/>
              </w:rPr>
              <w:t>Nessuno nuovo: componente authz nello Source Onboarding &amp; Configuration service.</w:t>
            </w:r>
          </w:p>
        </w:tc>
      </w:tr>
      <w:tr>
        <w:tc>
          <w:tcPr>
            <w:tcW w:type="dxa" w:w="2551"/>
            <w:vAlign w:val="top"/>
          </w:tcPr>
          <w:p>
            <w:pPr>
              <w:spacing w:before="0" w:after="40" w:line="252" w:lineRule="auto"/>
            </w:pPr>
            <w:r>
              <w:rPr>
                <w:rFonts w:ascii="Noto Sans" w:hAnsi="Noto Sans" w:eastAsia="Noto Sans"/>
                <w:b w:val="0"/>
                <w:i w:val="0"/>
                <w:color w:val="000000"/>
                <w:sz w:val="17"/>
              </w:rPr>
              <w:t>Persistence</w:t>
            </w:r>
          </w:p>
        </w:tc>
        <w:tc>
          <w:tcPr>
            <w:tcW w:type="dxa" w:w="6236"/>
            <w:vAlign w:val="top"/>
          </w:tcPr>
          <w:p>
            <w:pPr>
              <w:spacing w:before="0" w:after="40" w:line="252" w:lineRule="auto"/>
            </w:pPr>
            <w:r>
              <w:rPr>
                <w:rFonts w:ascii="Noto Sans" w:hAnsi="Noto Sans" w:eastAsia="Noto Sans"/>
                <w:b w:val="0"/>
                <w:i w:val="0"/>
                <w:color w:val="000000"/>
                <w:sz w:val="17"/>
              </w:rPr>
              <w:t>Schema authz nello stesso PostgreSQL governato del control plane.</w:t>
            </w:r>
          </w:p>
        </w:tc>
      </w:tr>
      <w:tr>
        <w:tc>
          <w:tcPr>
            <w:tcW w:type="dxa" w:w="2551"/>
            <w:vAlign w:val="top"/>
            <w:shd w:fill="F8FAFC"/>
          </w:tcPr>
          <w:p>
            <w:pPr>
              <w:spacing w:before="0" w:after="40" w:line="252" w:lineRule="auto"/>
            </w:pPr>
            <w:r>
              <w:rPr>
                <w:rFonts w:ascii="Noto Sans" w:hAnsi="Noto Sans" w:eastAsia="Noto Sans"/>
                <w:b w:val="0"/>
                <w:i w:val="0"/>
                <w:color w:val="000000"/>
                <w:sz w:val="17"/>
              </w:rPr>
              <w:t>IAM</w:t>
            </w:r>
          </w:p>
        </w:tc>
        <w:tc>
          <w:tcPr>
            <w:tcW w:type="dxa" w:w="6236"/>
            <w:vAlign w:val="top"/>
            <w:shd w:fill="F8FAFC"/>
          </w:tcPr>
          <w:p>
            <w:r>
              <w:rPr>
                <w:rFonts w:ascii="Noto Sans" w:hAnsi="Noto Sans" w:eastAsia="Noto Sans"/>
                <w:sz w:val="17"/>
              </w:rPr>
              <w:t>HUMAN: EVO/Maggioli IAM centrale. M2M: A same IAM; B realm/perimetro tecnico separato sulla stessa infrastruttura; C Technical IAM OUF minimale.</w:t>
            </w:r>
          </w:p>
        </w:tc>
      </w:tr>
      <w:tr>
        <w:tc>
          <w:tcPr>
            <w:tcW w:type="dxa" w:w="2551"/>
            <w:vAlign w:val="top"/>
          </w:tcPr>
          <w:p>
            <w:pPr>
              <w:spacing w:before="0" w:after="40" w:line="252" w:lineRule="auto"/>
            </w:pPr>
            <w:r>
              <w:rPr>
                <w:rFonts w:ascii="Noto Sans" w:hAnsi="Noto Sans" w:eastAsia="Noto Sans"/>
                <w:b w:val="0"/>
                <w:i w:val="0"/>
                <w:color w:val="000000"/>
                <w:sz w:val="17"/>
              </w:rPr>
              <w:t>Gateway</w:t>
            </w:r>
          </w:p>
        </w:tc>
        <w:tc>
          <w:tcPr>
            <w:tcW w:type="dxa" w:w="6236"/>
            <w:vAlign w:val="top"/>
          </w:tcPr>
          <w:p>
            <w:pPr>
              <w:spacing w:before="0" w:after="40" w:line="252" w:lineRule="auto"/>
            </w:pPr>
            <w:r>
              <w:rPr>
                <w:rFonts w:ascii="Noto Sans" w:hAnsi="Noto Sans" w:eastAsia="Noto Sans"/>
                <w:b w:val="0"/>
                <w:i w:val="0"/>
                <w:color w:val="000000"/>
                <w:sz w:val="17"/>
              </w:rPr>
              <w:t>Urban API Gateway/APISIX condiviso.</w:t>
            </w:r>
          </w:p>
        </w:tc>
      </w:tr>
      <w:tr>
        <w:tc>
          <w:tcPr>
            <w:tcW w:type="dxa" w:w="2551"/>
            <w:vAlign w:val="top"/>
            <w:shd w:fill="F8FAFC"/>
          </w:tcPr>
          <w:p>
            <w:pPr>
              <w:spacing w:before="0" w:after="40" w:line="252" w:lineRule="auto"/>
            </w:pPr>
            <w:r>
              <w:rPr>
                <w:rFonts w:ascii="Noto Sans" w:hAnsi="Noto Sans" w:eastAsia="Noto Sans"/>
                <w:b w:val="0"/>
                <w:i w:val="0"/>
                <w:color w:val="000000"/>
                <w:sz w:val="17"/>
              </w:rPr>
              <w:t>Secrets</w:t>
            </w:r>
          </w:p>
        </w:tc>
        <w:tc>
          <w:tcPr>
            <w:tcW w:type="dxa" w:w="6236"/>
            <w:vAlign w:val="top"/>
            <w:shd w:fill="F8FAFC"/>
          </w:tcPr>
          <w:p>
            <w:pPr>
              <w:spacing w:before="0" w:after="40" w:line="252" w:lineRule="auto"/>
            </w:pPr>
            <w:r>
              <w:rPr>
                <w:rFonts w:ascii="Noto Sans" w:hAnsi="Noto Sans" w:eastAsia="Noto Sans"/>
                <w:b w:val="0"/>
                <w:i w:val="0"/>
                <w:color w:val="000000"/>
                <w:sz w:val="17"/>
              </w:rPr>
              <w:t>OpenBao o secret manager di piattaforma.</w:t>
            </w:r>
          </w:p>
        </w:tc>
      </w:tr>
      <w:tr>
        <w:tc>
          <w:tcPr>
            <w:tcW w:type="dxa" w:w="2551"/>
            <w:vAlign w:val="top"/>
          </w:tcPr>
          <w:p>
            <w:pPr>
              <w:spacing w:before="0" w:after="40" w:line="252" w:lineRule="auto"/>
            </w:pPr>
            <w:r>
              <w:rPr>
                <w:rFonts w:ascii="Noto Sans" w:hAnsi="Noto Sans" w:eastAsia="Noto Sans"/>
                <w:b w:val="0"/>
                <w:i w:val="0"/>
                <w:color w:val="000000"/>
                <w:sz w:val="17"/>
              </w:rPr>
              <w:t>Observability</w:t>
            </w:r>
          </w:p>
        </w:tc>
        <w:tc>
          <w:tcPr>
            <w:tcW w:type="dxa" w:w="6236"/>
            <w:vAlign w:val="top"/>
          </w:tcPr>
          <w:p>
            <w:pPr>
              <w:spacing w:before="0" w:after="40" w:line="252" w:lineRule="auto"/>
            </w:pPr>
            <w:r>
              <w:rPr>
                <w:rFonts w:ascii="Noto Sans" w:hAnsi="Noto Sans" w:eastAsia="Noto Sans"/>
                <w:b w:val="0"/>
                <w:i w:val="0"/>
                <w:color w:val="000000"/>
                <w:sz w:val="17"/>
              </w:rPr>
              <w:t>OpenTelemetry + stack condiviso.</w:t>
            </w:r>
          </w:p>
        </w:tc>
      </w:tr>
      <w:tr>
        <w:tc>
          <w:tcPr>
            <w:tcW w:type="dxa" w:w="2551"/>
            <w:vAlign w:val="top"/>
            <w:shd w:fill="F8FAFC"/>
          </w:tcPr>
          <w:p>
            <w:pPr>
              <w:spacing w:before="0" w:after="40" w:line="252" w:lineRule="auto"/>
            </w:pPr>
            <w:r>
              <w:rPr>
                <w:rFonts w:ascii="Noto Sans" w:hAnsi="Noto Sans" w:eastAsia="Noto Sans"/>
                <w:b w:val="0"/>
                <w:i w:val="0"/>
                <w:color w:val="000000"/>
                <w:sz w:val="17"/>
              </w:rPr>
              <w:t>CI/CD</w:t>
            </w:r>
          </w:p>
        </w:tc>
        <w:tc>
          <w:tcPr>
            <w:tcW w:type="dxa" w:w="6236"/>
            <w:vAlign w:val="top"/>
            <w:shd w:fill="F8FAFC"/>
          </w:tcPr>
          <w:p>
            <w:pPr>
              <w:spacing w:before="0" w:after="40" w:line="252" w:lineRule="auto"/>
            </w:pPr>
            <w:r>
              <w:rPr>
                <w:rFonts w:ascii="Noto Sans" w:hAnsi="Noto Sans" w:eastAsia="Noto Sans"/>
                <w:b w:val="0"/>
                <w:i w:val="0"/>
                <w:color w:val="000000"/>
                <w:sz w:val="17"/>
              </w:rPr>
              <w:t>Pipeline e GitOps condivisi OUF.</w:t>
            </w:r>
          </w:p>
        </w:tc>
      </w:tr>
      <w:tr>
        <w:tc>
          <w:tcPr>
            <w:tcW w:type="dxa" w:w="2551"/>
            <w:vAlign w:val="top"/>
          </w:tcPr>
          <w:p>
            <w:pPr>
              <w:spacing w:before="0" w:after="40" w:line="252" w:lineRule="auto"/>
            </w:pPr>
            <w:r>
              <w:rPr>
                <w:rFonts w:ascii="Noto Sans" w:hAnsi="Noto Sans" w:eastAsia="Noto Sans"/>
                <w:b w:val="0"/>
                <w:i w:val="0"/>
                <w:color w:val="000000"/>
                <w:sz w:val="17"/>
              </w:rPr>
              <w:t>Policy engine</w:t>
            </w:r>
          </w:p>
        </w:tc>
        <w:tc>
          <w:tcPr>
            <w:tcW w:type="dxa" w:w="6236"/>
            <w:vAlign w:val="top"/>
          </w:tcPr>
          <w:p>
            <w:pPr>
              <w:spacing w:before="0" w:after="40" w:line="252" w:lineRule="auto"/>
            </w:pPr>
            <w:r>
              <w:rPr>
                <w:rFonts w:ascii="Noto Sans" w:hAnsi="Noto Sans" w:eastAsia="Noto Sans"/>
                <w:b w:val="0"/>
                <w:i w:val="0"/>
                <w:color w:val="000000"/>
                <w:sz w:val="17"/>
              </w:rPr>
              <w:t>Evaluator applicativo minimale; nessun OPA/Cedar obbligatorio nella v1.</w:t>
            </w:r>
          </w:p>
        </w:tc>
      </w:tr>
    </w:tbl>
    <w:p>
      <w:pPr>
        <w:spacing w:after="40"/>
      </w:pPr>
    </w:p>
    <w:p>
      <w:pPr>
        <w:pStyle w:val="Heading2"/>
        <w:keepNext/>
      </w:pPr>
      <w:r>
        <w:rPr>
          <w:rFonts w:ascii="Noto Sans" w:hAnsi="Noto Sans" w:eastAsia="Noto Sans"/>
        </w:rPr>
        <w:t>26.2 Trigger per separazione futura</w:t>
      </w:r>
    </w:p>
    <w:p>
      <w:pPr>
        <w:spacing w:before="0" w:after="120" w:line="276" w:lineRule="auto"/>
      </w:pPr>
      <w:r>
        <w:rPr>
          <w:rFonts w:ascii="Noto Sans" w:hAnsi="Noto Sans" w:eastAsia="Noto Sans"/>
          <w:b w:val="0"/>
          <w:i w:val="0"/>
          <w:color w:val="000000"/>
          <w:sz w:val="18"/>
        </w:rPr>
        <w:t>Un deployable Authorization autonomo o un policy engine dedicato può essere introdotto solo se metriche reali dimostrano almeno uno dei seguenti gap: throughput non sostenibile, necessità di decision point centralizzato multi-piattaforma, policy language non esprimibile dalla baseline, requisiti normativi/segregazione che richiedano prodotto dedicato.</w:t>
      </w:r>
    </w:p>
    <w:p>
      <w:r>
        <w:rPr>
          <w:rFonts w:ascii="Noto Sans" w:hAnsi="Noto Sans" w:eastAsia="Noto Sans"/>
        </w:rPr>
      </w:r>
    </w:p>
    <w:p>
      <w:pPr>
        <w:pStyle w:val="Heading1"/>
        <w:keepNext/>
      </w:pPr>
      <w:r>
        <w:rPr>
          <w:rFonts w:ascii="Noto Sans" w:hAnsi="Noto Sans" w:eastAsia="Noto Sans"/>
        </w:rPr>
        <w:t>27. Observability e metriche</w:t>
      </w:r>
    </w:p>
    <w:p>
      <w:pPr>
        <w:pStyle w:val="ListBullet"/>
        <w:spacing w:before="0" w:after="60" w:line="264" w:lineRule="auto"/>
      </w:pPr>
      <w:r>
        <w:rPr>
          <w:rFonts w:ascii="Noto Sans" w:hAnsi="Noto Sans" w:eastAsia="Noto Sans"/>
          <w:b w:val="0"/>
          <w:i w:val="0"/>
          <w:color w:val="000000"/>
          <w:sz w:val="18"/>
        </w:rPr>
        <w:t>authz_decision_total{decision,capability}</w:t>
      </w:r>
    </w:p>
    <w:p>
      <w:pPr>
        <w:pStyle w:val="ListBullet"/>
        <w:spacing w:before="0" w:after="60" w:line="264" w:lineRule="auto"/>
      </w:pPr>
      <w:r>
        <w:rPr>
          <w:rFonts w:ascii="Noto Sans" w:hAnsi="Noto Sans" w:eastAsia="Noto Sans"/>
          <w:b w:val="0"/>
          <w:i w:val="0"/>
          <w:color w:val="000000"/>
          <w:sz w:val="18"/>
        </w:rPr>
        <w:t>authz_decision_latency_ms</w:t>
      </w:r>
    </w:p>
    <w:p>
      <w:pPr>
        <w:pStyle w:val="ListBullet"/>
        <w:spacing w:before="0" w:after="60" w:line="264" w:lineRule="auto"/>
      </w:pPr>
      <w:r>
        <w:rPr>
          <w:rFonts w:ascii="Noto Sans" w:hAnsi="Noto Sans" w:eastAsia="Noto Sans"/>
          <w:b w:val="0"/>
          <w:i w:val="0"/>
          <w:color w:val="000000"/>
          <w:sz w:val="18"/>
        </w:rPr>
        <w:t>authz_bundle_version_loaded per servizio</w:t>
      </w:r>
    </w:p>
    <w:p>
      <w:pPr>
        <w:pStyle w:val="ListBullet"/>
        <w:spacing w:before="0" w:after="60" w:line="264" w:lineRule="auto"/>
      </w:pPr>
      <w:r>
        <w:rPr>
          <w:rFonts w:ascii="Noto Sans" w:hAnsi="Noto Sans" w:eastAsia="Noto Sans"/>
          <w:b w:val="0"/>
          <w:i w:val="0"/>
          <w:color w:val="000000"/>
          <w:sz w:val="18"/>
        </w:rPr>
        <w:t>authz_bundle_refresh_failure_total</w:t>
      </w:r>
    </w:p>
    <w:p>
      <w:pPr>
        <w:pStyle w:val="ListBullet"/>
        <w:spacing w:before="0" w:after="60" w:line="264" w:lineRule="auto"/>
      </w:pPr>
      <w:r>
        <w:rPr>
          <w:rFonts w:ascii="Noto Sans" w:hAnsi="Noto Sans" w:eastAsia="Noto Sans"/>
          <w:b w:val="0"/>
          <w:i w:val="0"/>
          <w:color w:val="000000"/>
          <w:sz w:val="18"/>
        </w:rPr>
        <w:t>authz_policy_publish_total{result}</w:t>
      </w:r>
    </w:p>
    <w:p>
      <w:pPr>
        <w:pStyle w:val="ListBullet"/>
        <w:spacing w:before="0" w:after="60" w:line="264" w:lineRule="auto"/>
      </w:pPr>
      <w:r>
        <w:rPr>
          <w:rFonts w:ascii="Noto Sans" w:hAnsi="Noto Sans" w:eastAsia="Noto Sans"/>
          <w:b w:val="0"/>
          <w:i w:val="0"/>
          <w:color w:val="000000"/>
          <w:sz w:val="18"/>
        </w:rPr>
        <w:t>authz_directory_lookup_total{result}</w:t>
      </w:r>
    </w:p>
    <w:p>
      <w:pPr>
        <w:pStyle w:val="ListBullet"/>
        <w:spacing w:before="0" w:after="60" w:line="264" w:lineRule="auto"/>
      </w:pPr>
      <w:r>
        <w:rPr>
          <w:rFonts w:ascii="Noto Sans" w:hAnsi="Noto Sans" w:eastAsia="Noto Sans"/>
          <w:b w:val="0"/>
          <w:i w:val="0"/>
          <w:color w:val="000000"/>
          <w:sz w:val="18"/>
        </w:rPr>
        <w:t>authz_denied_high_risk_total</w:t>
      </w:r>
    </w:p>
    <w:p>
      <w:pPr>
        <w:pStyle w:val="ListBullet"/>
        <w:spacing w:before="0" w:after="60" w:line="264" w:lineRule="auto"/>
      </w:pPr>
      <w:r>
        <w:rPr>
          <w:rFonts w:ascii="Noto Sans" w:hAnsi="Noto Sans" w:eastAsia="Noto Sans"/>
          <w:b w:val="0"/>
          <w:i w:val="0"/>
          <w:color w:val="000000"/>
          <w:sz w:val="18"/>
        </w:rPr>
        <w:t>authz_breakglass_event_total</w:t>
      </w:r>
    </w:p>
    <w:p>
      <w:pPr>
        <w:spacing w:before="0" w:after="120" w:line="276" w:lineRule="auto"/>
      </w:pPr>
      <w:r>
        <w:rPr>
          <w:rFonts w:ascii="Noto Sans" w:hAnsi="Noto Sans" w:eastAsia="Noto Sans"/>
          <w:b w:val="0"/>
          <w:i w:val="0"/>
          <w:color w:val="000000"/>
          <w:sz w:val="18"/>
        </w:rPr>
        <w:t>I log applicativi includono correlationId e reasonCode; non includono token raw, secret o dati personali non necessari.</w:t>
      </w:r>
    </w:p>
    <w:p>
      <w:r>
        <w:rPr>
          <w:rFonts w:ascii="Noto Sans" w:hAnsi="Noto Sans" w:eastAsia="Noto Sans"/>
        </w:rPr>
      </w:r>
    </w:p>
    <w:p>
      <w:pPr>
        <w:pStyle w:val="Heading1"/>
        <w:keepNext/>
      </w:pPr>
      <w:r>
        <w:rPr>
          <w:rFonts w:ascii="Noto Sans" w:hAnsi="Noto Sans" w:eastAsia="Noto Sans"/>
        </w:rPr>
        <w:t>28. Conformance e test di accettazione</w:t>
      </w:r>
    </w:p>
    <w:tbl>
      <w:tblPr>
        <w:tblStyle w:val="TableGrid"/>
        <w:tblW w:type="auto" w:w="0"/>
        <w:jc w:val="center"/>
        <w:tblLayout w:type="fixed"/>
        <w:tblLook w:firstColumn="1" w:firstRow="1" w:lastColumn="0" w:lastRow="0" w:noHBand="0" w:noVBand="1" w:val="04A0"/>
      </w:tblPr>
      <w:tblGrid>
        <w:gridCol w:w="1531"/>
        <w:gridCol w:w="2551"/>
        <w:gridCol w:w="4706"/>
      </w:tblGrid>
      <w:tr>
        <w:trPr>
          <w:tblHeader w:val="true"/>
          <w:tblHeader w:val="true"/>
        </w:trPr>
        <w:tc>
          <w:tcPr>
            <w:tcW w:type="dxa" w:w="3135"/>
            <w:shd w:fill="0B4F6C"/>
            <w:vAlign w:val="center"/>
          </w:tcPr>
          <w:p>
            <w:pPr>
              <w:spacing w:before="0" w:after="40" w:line="240" w:lineRule="auto"/>
              <w:jc w:val="left"/>
            </w:pPr>
            <w:r>
              <w:rPr>
                <w:rFonts w:ascii="Noto Sans" w:hAnsi="Noto Sans" w:eastAsia="Noto Sans"/>
                <w:b/>
                <w:i w:val="0"/>
                <w:color w:val="FFFFFF"/>
                <w:sz w:val="17"/>
              </w:rPr>
              <w:t>ID</w:t>
            </w:r>
          </w:p>
        </w:tc>
        <w:tc>
          <w:tcPr>
            <w:tcW w:type="dxa" w:w="3135"/>
            <w:shd w:fill="0B4F6C"/>
            <w:vAlign w:val="center"/>
          </w:tcPr>
          <w:p>
            <w:pPr>
              <w:spacing w:before="0" w:after="40" w:line="240" w:lineRule="auto"/>
              <w:jc w:val="left"/>
            </w:pPr>
            <w:r>
              <w:rPr>
                <w:rFonts w:ascii="Noto Sans" w:hAnsi="Noto Sans" w:eastAsia="Noto Sans"/>
                <w:b/>
                <w:i w:val="0"/>
                <w:color w:val="FFFFFF"/>
                <w:sz w:val="17"/>
              </w:rPr>
              <w:t>Scenario</w:t>
            </w:r>
          </w:p>
        </w:tc>
        <w:tc>
          <w:tcPr>
            <w:tcW w:type="dxa" w:w="3135"/>
            <w:shd w:fill="0B4F6C"/>
            <w:vAlign w:val="center"/>
          </w:tcPr>
          <w:p>
            <w:pPr>
              <w:spacing w:before="0" w:after="40" w:line="240" w:lineRule="auto"/>
              <w:jc w:val="left"/>
            </w:pPr>
            <w:r>
              <w:rPr>
                <w:rFonts w:ascii="Noto Sans" w:hAnsi="Noto Sans" w:eastAsia="Noto Sans"/>
                <w:b/>
                <w:i w:val="0"/>
                <w:color w:val="FFFFFF"/>
                <w:sz w:val="17"/>
              </w:rPr>
              <w:t>Criterio</w:t>
            </w:r>
          </w:p>
        </w:tc>
      </w:tr>
      <w:tr>
        <w:tc>
          <w:tcPr>
            <w:tcW w:type="dxa" w:w="1531"/>
            <w:vAlign w:val="top"/>
            <w:shd w:fill="F8FAFC"/>
          </w:tcPr>
          <w:p>
            <w:pPr>
              <w:spacing w:before="0" w:after="40" w:line="252" w:lineRule="auto"/>
            </w:pPr>
            <w:r>
              <w:rPr>
                <w:rFonts w:ascii="Noto Sans" w:hAnsi="Noto Sans" w:eastAsia="Noto Sans"/>
                <w:b w:val="0"/>
                <w:i w:val="0"/>
                <w:color w:val="000000"/>
                <w:sz w:val="17"/>
              </w:rPr>
              <w:t>AUTH-E2E-01</w:t>
            </w:r>
          </w:p>
        </w:tc>
        <w:tc>
          <w:tcPr>
            <w:tcW w:type="dxa" w:w="2551"/>
            <w:vAlign w:val="top"/>
            <w:shd w:fill="F8FAFC"/>
          </w:tcPr>
          <w:p>
            <w:pPr>
              <w:spacing w:before="0" w:after="40" w:line="252" w:lineRule="auto"/>
            </w:pPr>
            <w:r>
              <w:rPr>
                <w:rFonts w:ascii="Noto Sans" w:hAnsi="Noto Sans" w:eastAsia="Noto Sans"/>
                <w:b w:val="0"/>
                <w:i w:val="0"/>
                <w:color w:val="000000"/>
                <w:sz w:val="17"/>
              </w:rPr>
              <w:t>Federated SSO</w:t>
            </w:r>
          </w:p>
        </w:tc>
        <w:tc>
          <w:tcPr>
            <w:tcW w:type="dxa" w:w="4706"/>
            <w:vAlign w:val="top"/>
            <w:shd w:fill="F8FAFC"/>
          </w:tcPr>
          <w:p>
            <w:pPr>
              <w:spacing w:before="0" w:after="40" w:line="252" w:lineRule="auto"/>
            </w:pPr>
            <w:r>
              <w:rPr>
                <w:rFonts w:ascii="Noto Sans" w:hAnsi="Noto Sans" w:eastAsia="Noto Sans"/>
                <w:b w:val="0"/>
                <w:i w:val="0"/>
                <w:color w:val="000000"/>
                <w:sz w:val="17"/>
              </w:rPr>
              <w:t>Utente EVO/Keycloak accede alle API OUF senza credenziali locali.</w:t>
            </w:r>
          </w:p>
        </w:tc>
      </w:tr>
      <w:tr>
        <w:tc>
          <w:tcPr>
            <w:tcW w:type="dxa" w:w="1531"/>
            <w:vAlign w:val="top"/>
          </w:tcPr>
          <w:p>
            <w:pPr>
              <w:spacing w:before="0" w:after="40" w:line="252" w:lineRule="auto"/>
            </w:pPr>
            <w:r>
              <w:rPr>
                <w:rFonts w:ascii="Noto Sans" w:hAnsi="Noto Sans" w:eastAsia="Noto Sans"/>
                <w:b w:val="0"/>
                <w:i w:val="0"/>
                <w:color w:val="000000"/>
                <w:sz w:val="17"/>
              </w:rPr>
              <w:t>AUTH-E2E-02</w:t>
            </w:r>
          </w:p>
        </w:tc>
        <w:tc>
          <w:tcPr>
            <w:tcW w:type="dxa" w:w="2551"/>
            <w:vAlign w:val="top"/>
          </w:tcPr>
          <w:p>
            <w:pPr>
              <w:spacing w:before="0" w:after="40" w:line="252" w:lineRule="auto"/>
            </w:pPr>
            <w:r>
              <w:rPr>
                <w:rFonts w:ascii="Noto Sans" w:hAnsi="Noto Sans" w:eastAsia="Noto Sans"/>
                <w:b w:val="0"/>
                <w:i w:val="0"/>
                <w:color w:val="000000"/>
                <w:sz w:val="17"/>
              </w:rPr>
              <w:t>Role grant</w:t>
            </w:r>
          </w:p>
        </w:tc>
        <w:tc>
          <w:tcPr>
            <w:tcW w:type="dxa" w:w="4706"/>
            <w:vAlign w:val="top"/>
          </w:tcPr>
          <w:p>
            <w:pPr>
              <w:spacing w:before="0" w:after="40" w:line="252" w:lineRule="auto"/>
            </w:pPr>
            <w:r>
              <w:rPr>
                <w:rFonts w:ascii="Noto Sans" w:hAnsi="Noto Sans" w:eastAsia="Noto Sans"/>
                <w:b w:val="0"/>
                <w:i w:val="0"/>
                <w:color w:val="000000"/>
                <w:sz w:val="17"/>
              </w:rPr>
              <w:t>Ruolo EVO autorizzato invoca capability prevista.</w:t>
            </w:r>
          </w:p>
        </w:tc>
      </w:tr>
      <w:tr>
        <w:tc>
          <w:tcPr>
            <w:tcW w:type="dxa" w:w="1531"/>
            <w:vAlign w:val="top"/>
            <w:shd w:fill="F8FAFC"/>
          </w:tcPr>
          <w:p>
            <w:pPr>
              <w:spacing w:before="0" w:after="40" w:line="252" w:lineRule="auto"/>
            </w:pPr>
            <w:r>
              <w:rPr>
                <w:rFonts w:ascii="Noto Sans" w:hAnsi="Noto Sans" w:eastAsia="Noto Sans"/>
                <w:b w:val="0"/>
                <w:i w:val="0"/>
                <w:color w:val="000000"/>
                <w:sz w:val="17"/>
              </w:rPr>
              <w:t>AUTH-E2E-03</w:t>
            </w:r>
          </w:p>
        </w:tc>
        <w:tc>
          <w:tcPr>
            <w:tcW w:type="dxa" w:w="2551"/>
            <w:vAlign w:val="top"/>
            <w:shd w:fill="F8FAFC"/>
          </w:tcPr>
          <w:p>
            <w:pPr>
              <w:spacing w:before="0" w:after="40" w:line="252" w:lineRule="auto"/>
            </w:pPr>
            <w:r>
              <w:rPr>
                <w:rFonts w:ascii="Noto Sans" w:hAnsi="Noto Sans" w:eastAsia="Noto Sans"/>
                <w:b w:val="0"/>
                <w:i w:val="0"/>
                <w:color w:val="000000"/>
                <w:sz w:val="17"/>
              </w:rPr>
              <w:t>Default deny</w:t>
            </w:r>
          </w:p>
        </w:tc>
        <w:tc>
          <w:tcPr>
            <w:tcW w:type="dxa" w:w="4706"/>
            <w:vAlign w:val="top"/>
            <w:shd w:fill="F8FAFC"/>
          </w:tcPr>
          <w:p>
            <w:pPr>
              <w:spacing w:before="0" w:after="40" w:line="252" w:lineRule="auto"/>
            </w:pPr>
            <w:r>
              <w:rPr>
                <w:rFonts w:ascii="Noto Sans" w:hAnsi="Noto Sans" w:eastAsia="Noto Sans"/>
                <w:b w:val="0"/>
                <w:i w:val="0"/>
                <w:color w:val="000000"/>
                <w:sz w:val="17"/>
              </w:rPr>
              <w:t>Ruolo senza grant riceve 403.</w:t>
            </w:r>
          </w:p>
        </w:tc>
      </w:tr>
      <w:tr>
        <w:tc>
          <w:tcPr>
            <w:tcW w:type="dxa" w:w="1531"/>
            <w:vAlign w:val="top"/>
          </w:tcPr>
          <w:p>
            <w:pPr>
              <w:spacing w:before="0" w:after="40" w:line="252" w:lineRule="auto"/>
            </w:pPr>
            <w:r>
              <w:rPr>
                <w:rFonts w:ascii="Noto Sans" w:hAnsi="Noto Sans" w:eastAsia="Noto Sans"/>
                <w:b w:val="0"/>
                <w:i w:val="0"/>
                <w:color w:val="000000"/>
                <w:sz w:val="17"/>
              </w:rPr>
              <w:t>AUTH-E2E-04</w:t>
            </w:r>
          </w:p>
        </w:tc>
        <w:tc>
          <w:tcPr>
            <w:tcW w:type="dxa" w:w="2551"/>
            <w:vAlign w:val="top"/>
          </w:tcPr>
          <w:p>
            <w:pPr>
              <w:spacing w:before="0" w:after="40" w:line="252" w:lineRule="auto"/>
            </w:pPr>
            <w:r>
              <w:rPr>
                <w:rFonts w:ascii="Noto Sans" w:hAnsi="Noto Sans" w:eastAsia="Noto Sans"/>
                <w:b w:val="0"/>
                <w:i w:val="0"/>
                <w:color w:val="000000"/>
                <w:sz w:val="17"/>
              </w:rPr>
              <w:t>Org scope</w:t>
            </w:r>
          </w:p>
        </w:tc>
        <w:tc>
          <w:tcPr>
            <w:tcW w:type="dxa" w:w="4706"/>
            <w:vAlign w:val="top"/>
          </w:tcPr>
          <w:p>
            <w:pPr>
              <w:spacing w:before="0" w:after="40" w:line="252" w:lineRule="auto"/>
            </w:pPr>
            <w:r>
              <w:rPr>
                <w:rFonts w:ascii="Noto Sans" w:hAnsi="Noto Sans" w:eastAsia="Noto Sans"/>
                <w:b w:val="0"/>
                <w:i w:val="0"/>
                <w:color w:val="000000"/>
                <w:sz w:val="17"/>
              </w:rPr>
              <w:t>Utente autorizzato su org A non opera su risorsa org B.</w:t>
            </w:r>
          </w:p>
        </w:tc>
      </w:tr>
      <w:tr>
        <w:tc>
          <w:tcPr>
            <w:tcW w:type="dxa" w:w="1531"/>
            <w:vAlign w:val="top"/>
            <w:shd w:fill="F8FAFC"/>
          </w:tcPr>
          <w:p>
            <w:pPr>
              <w:spacing w:before="0" w:after="40" w:line="252" w:lineRule="auto"/>
            </w:pPr>
            <w:r>
              <w:rPr>
                <w:rFonts w:ascii="Noto Sans" w:hAnsi="Noto Sans" w:eastAsia="Noto Sans"/>
                <w:b w:val="0"/>
                <w:i w:val="0"/>
                <w:color w:val="000000"/>
                <w:sz w:val="17"/>
              </w:rPr>
              <w:t>AUTH-E2E-05</w:t>
            </w:r>
          </w:p>
        </w:tc>
        <w:tc>
          <w:tcPr>
            <w:tcW w:type="dxa" w:w="2551"/>
            <w:vAlign w:val="top"/>
            <w:shd w:fill="F8FAFC"/>
          </w:tcPr>
          <w:p>
            <w:pPr>
              <w:spacing w:before="0" w:after="40" w:line="252" w:lineRule="auto"/>
            </w:pPr>
            <w:r>
              <w:rPr>
                <w:rFonts w:ascii="Noto Sans" w:hAnsi="Noto Sans" w:eastAsia="Noto Sans"/>
                <w:b w:val="0"/>
                <w:i w:val="0"/>
                <w:color w:val="000000"/>
                <w:sz w:val="17"/>
              </w:rPr>
              <w:t>AI human-only</w:t>
            </w:r>
          </w:p>
        </w:tc>
        <w:tc>
          <w:tcPr>
            <w:tcW w:type="dxa" w:w="4706"/>
            <w:vAlign w:val="top"/>
            <w:shd w:fill="F8FAFC"/>
          </w:tcPr>
          <w:p>
            <w:pPr>
              <w:spacing w:before="0" w:after="40" w:line="252" w:lineRule="auto"/>
            </w:pPr>
            <w:r>
              <w:rPr>
                <w:rFonts w:ascii="Noto Sans" w:hAnsi="Noto Sans" w:eastAsia="Noto Sans"/>
                <w:b w:val="0"/>
                <w:i w:val="0"/>
                <w:color w:val="000000"/>
                <w:sz w:val="17"/>
              </w:rPr>
              <w:t>AI_AGENT su approve/publish riceve HUMAN_ACTOR_REQUIRED/403.</w:t>
            </w:r>
          </w:p>
        </w:tc>
      </w:tr>
      <w:tr>
        <w:tc>
          <w:tcPr>
            <w:tcW w:type="dxa" w:w="1531"/>
            <w:vAlign w:val="top"/>
          </w:tcPr>
          <w:p>
            <w:pPr>
              <w:spacing w:before="0" w:after="40" w:line="252" w:lineRule="auto"/>
            </w:pPr>
            <w:r>
              <w:rPr>
                <w:rFonts w:ascii="Noto Sans" w:hAnsi="Noto Sans" w:eastAsia="Noto Sans"/>
                <w:b w:val="0"/>
                <w:i w:val="0"/>
                <w:color w:val="000000"/>
                <w:sz w:val="17"/>
              </w:rPr>
              <w:t>AUTH-E2E-06</w:t>
            </w:r>
          </w:p>
        </w:tc>
        <w:tc>
          <w:tcPr>
            <w:tcW w:type="dxa" w:w="2551"/>
            <w:vAlign w:val="top"/>
          </w:tcPr>
          <w:p>
            <w:pPr>
              <w:spacing w:before="0" w:after="40" w:line="252" w:lineRule="auto"/>
            </w:pPr>
            <w:r>
              <w:rPr>
                <w:rFonts w:ascii="Noto Sans" w:hAnsi="Noto Sans" w:eastAsia="Noto Sans"/>
                <w:b w:val="0"/>
                <w:i w:val="0"/>
                <w:color w:val="000000"/>
                <w:sz w:val="17"/>
              </w:rPr>
              <w:t>MCP no escalation</w:t>
            </w:r>
          </w:p>
        </w:tc>
        <w:tc>
          <w:tcPr>
            <w:tcW w:type="dxa" w:w="4706"/>
            <w:vAlign w:val="top"/>
          </w:tcPr>
          <w:p>
            <w:pPr>
              <w:spacing w:before="0" w:after="40" w:line="252" w:lineRule="auto"/>
            </w:pPr>
            <w:r>
              <w:rPr>
                <w:rFonts w:ascii="Noto Sans" w:hAnsi="Noto Sans" w:eastAsia="Noto Sans"/>
                <w:b w:val="0"/>
                <w:i w:val="0"/>
                <w:color w:val="000000"/>
                <w:sz w:val="17"/>
              </w:rPr>
              <w:t>MCP non trasforma service token in human authority.</w:t>
            </w:r>
          </w:p>
        </w:tc>
      </w:tr>
      <w:tr>
        <w:tc>
          <w:tcPr>
            <w:tcW w:type="dxa" w:w="1531"/>
            <w:vAlign w:val="top"/>
            <w:shd w:fill="F8FAFC"/>
          </w:tcPr>
          <w:p>
            <w:pPr>
              <w:spacing w:before="0" w:after="40" w:line="252" w:lineRule="auto"/>
            </w:pPr>
            <w:r>
              <w:rPr>
                <w:rFonts w:ascii="Noto Sans" w:hAnsi="Noto Sans" w:eastAsia="Noto Sans"/>
                <w:b w:val="0"/>
                <w:i w:val="0"/>
                <w:color w:val="000000"/>
                <w:sz w:val="17"/>
              </w:rPr>
              <w:t>AUTH-E2E-07</w:t>
            </w:r>
          </w:p>
        </w:tc>
        <w:tc>
          <w:tcPr>
            <w:tcW w:type="dxa" w:w="2551"/>
            <w:vAlign w:val="top"/>
            <w:shd w:fill="F8FAFC"/>
          </w:tcPr>
          <w:p>
            <w:pPr>
              <w:spacing w:before="0" w:after="40" w:line="252" w:lineRule="auto"/>
            </w:pPr>
            <w:r>
              <w:rPr>
                <w:rFonts w:ascii="Noto Sans" w:hAnsi="Noto Sans" w:eastAsia="Noto Sans"/>
                <w:b w:val="0"/>
                <w:i w:val="0"/>
                <w:color w:val="000000"/>
                <w:sz w:val="17"/>
              </w:rPr>
              <w:t>Client asserted role</w:t>
            </w:r>
          </w:p>
        </w:tc>
        <w:tc>
          <w:tcPr>
            <w:tcW w:type="dxa" w:w="4706"/>
            <w:vAlign w:val="top"/>
            <w:shd w:fill="F8FAFC"/>
          </w:tcPr>
          <w:p>
            <w:pPr>
              <w:spacing w:before="0" w:after="40" w:line="252" w:lineRule="auto"/>
            </w:pPr>
            <w:r>
              <w:rPr>
                <w:rFonts w:ascii="Noto Sans" w:hAnsi="Noto Sans" w:eastAsia="Noto Sans"/>
                <w:b w:val="0"/>
                <w:i w:val="0"/>
                <w:color w:val="000000"/>
                <w:sz w:val="17"/>
              </w:rPr>
              <w:t>role/approvedBy nel body non modifica la decisione.</w:t>
            </w:r>
          </w:p>
        </w:tc>
      </w:tr>
      <w:tr>
        <w:tc>
          <w:tcPr>
            <w:tcW w:type="dxa" w:w="1531"/>
            <w:vAlign w:val="top"/>
          </w:tcPr>
          <w:p>
            <w:pPr>
              <w:spacing w:before="0" w:after="40" w:line="252" w:lineRule="auto"/>
            </w:pPr>
            <w:r>
              <w:rPr>
                <w:rFonts w:ascii="Noto Sans" w:hAnsi="Noto Sans" w:eastAsia="Noto Sans"/>
                <w:b w:val="0"/>
                <w:i w:val="0"/>
                <w:color w:val="000000"/>
                <w:sz w:val="17"/>
              </w:rPr>
              <w:t>AUTH-E2E-08</w:t>
            </w:r>
          </w:p>
        </w:tc>
        <w:tc>
          <w:tcPr>
            <w:tcW w:type="dxa" w:w="2551"/>
            <w:vAlign w:val="top"/>
          </w:tcPr>
          <w:p>
            <w:pPr>
              <w:spacing w:before="0" w:after="40" w:line="252" w:lineRule="auto"/>
            </w:pPr>
            <w:r>
              <w:rPr>
                <w:rFonts w:ascii="Noto Sans" w:hAnsi="Noto Sans" w:eastAsia="Noto Sans"/>
                <w:b w:val="0"/>
                <w:i w:val="0"/>
                <w:color w:val="000000"/>
                <w:sz w:val="17"/>
              </w:rPr>
              <w:t>Policy versioning</w:t>
            </w:r>
          </w:p>
        </w:tc>
        <w:tc>
          <w:tcPr>
            <w:tcW w:type="dxa" w:w="4706"/>
            <w:vAlign w:val="top"/>
          </w:tcPr>
          <w:p>
            <w:pPr>
              <w:spacing w:before="0" w:after="40" w:line="252" w:lineRule="auto"/>
            </w:pPr>
            <w:r>
              <w:rPr>
                <w:rFonts w:ascii="Noto Sans" w:hAnsi="Noto Sans" w:eastAsia="Noto Sans"/>
                <w:b w:val="0"/>
                <w:i w:val="0"/>
                <w:color w:val="000000"/>
                <w:sz w:val="17"/>
              </w:rPr>
              <w:t>Modifica ACTIVE crea nuova draft; ACTIVE precedente immutabile.</w:t>
            </w:r>
          </w:p>
        </w:tc>
      </w:tr>
      <w:tr>
        <w:tc>
          <w:tcPr>
            <w:tcW w:type="dxa" w:w="1531"/>
            <w:vAlign w:val="top"/>
            <w:shd w:fill="F8FAFC"/>
          </w:tcPr>
          <w:p>
            <w:pPr>
              <w:spacing w:before="0" w:after="40" w:line="252" w:lineRule="auto"/>
            </w:pPr>
            <w:r>
              <w:rPr>
                <w:rFonts w:ascii="Noto Sans" w:hAnsi="Noto Sans" w:eastAsia="Noto Sans"/>
                <w:b w:val="0"/>
                <w:i w:val="0"/>
                <w:color w:val="000000"/>
                <w:sz w:val="17"/>
              </w:rPr>
              <w:t>AUTH-E2E-09</w:t>
            </w:r>
          </w:p>
        </w:tc>
        <w:tc>
          <w:tcPr>
            <w:tcW w:type="dxa" w:w="2551"/>
            <w:vAlign w:val="top"/>
            <w:shd w:fill="F8FAFC"/>
          </w:tcPr>
          <w:p>
            <w:pPr>
              <w:spacing w:before="0" w:after="40" w:line="252" w:lineRule="auto"/>
            </w:pPr>
            <w:r>
              <w:rPr>
                <w:rFonts w:ascii="Noto Sans" w:hAnsi="Noto Sans" w:eastAsia="Noto Sans"/>
                <w:b w:val="0"/>
                <w:i w:val="0"/>
                <w:color w:val="000000"/>
                <w:sz w:val="17"/>
              </w:rPr>
              <w:t>Atomic publication</w:t>
            </w:r>
          </w:p>
        </w:tc>
        <w:tc>
          <w:tcPr>
            <w:tcW w:type="dxa" w:w="4706"/>
            <w:vAlign w:val="top"/>
            <w:shd w:fill="F8FAFC"/>
          </w:tcPr>
          <w:p>
            <w:pPr>
              <w:spacing w:before="0" w:after="40" w:line="252" w:lineRule="auto"/>
            </w:pPr>
            <w:r>
              <w:rPr>
                <w:rFonts w:ascii="Noto Sans" w:hAnsi="Noto Sans" w:eastAsia="Noto Sans"/>
                <w:b w:val="0"/>
                <w:i w:val="0"/>
                <w:color w:val="000000"/>
                <w:sz w:val="17"/>
              </w:rPr>
              <w:t>Bundle valido diventa ACTIVE atomicamente; failure lascia active pointer precedente.</w:t>
            </w:r>
          </w:p>
        </w:tc>
      </w:tr>
      <w:tr>
        <w:tc>
          <w:tcPr>
            <w:tcW w:type="dxa" w:w="1531"/>
            <w:vAlign w:val="top"/>
          </w:tcPr>
          <w:p>
            <w:pPr>
              <w:spacing w:before="0" w:after="40" w:line="252" w:lineRule="auto"/>
            </w:pPr>
            <w:r>
              <w:rPr>
                <w:rFonts w:ascii="Noto Sans" w:hAnsi="Noto Sans" w:eastAsia="Noto Sans"/>
                <w:b w:val="0"/>
                <w:i w:val="0"/>
                <w:color w:val="000000"/>
                <w:sz w:val="17"/>
              </w:rPr>
              <w:t>AUTH-E2E-10</w:t>
            </w:r>
          </w:p>
        </w:tc>
        <w:tc>
          <w:tcPr>
            <w:tcW w:type="dxa" w:w="2551"/>
            <w:vAlign w:val="top"/>
          </w:tcPr>
          <w:p>
            <w:pPr>
              <w:spacing w:before="0" w:after="40" w:line="252" w:lineRule="auto"/>
            </w:pPr>
            <w:r>
              <w:rPr>
                <w:rFonts w:ascii="Noto Sans" w:hAnsi="Noto Sans" w:eastAsia="Noto Sans"/>
                <w:b w:val="0"/>
                <w:i w:val="0"/>
                <w:color w:val="000000"/>
                <w:sz w:val="17"/>
              </w:rPr>
              <w:t>Bundle local enforcement</w:t>
            </w:r>
          </w:p>
        </w:tc>
        <w:tc>
          <w:tcPr>
            <w:tcW w:type="dxa" w:w="4706"/>
            <w:vAlign w:val="top"/>
          </w:tcPr>
          <w:p>
            <w:pPr>
              <w:spacing w:before="0" w:after="40" w:line="252" w:lineRule="auto"/>
            </w:pPr>
            <w:r>
              <w:rPr>
                <w:rFonts w:ascii="Noto Sans" w:hAnsi="Noto Sans" w:eastAsia="Noto Sans"/>
                <w:b w:val="0"/>
                <w:i w:val="0"/>
                <w:color w:val="000000"/>
                <w:sz w:val="17"/>
              </w:rPr>
              <w:t>Servizio continua a valutare policy con APR temporaneamente down.</w:t>
            </w:r>
          </w:p>
        </w:tc>
      </w:tr>
      <w:tr>
        <w:tc>
          <w:tcPr>
            <w:tcW w:type="dxa" w:w="1531"/>
            <w:vAlign w:val="top"/>
            <w:shd w:fill="F8FAFC"/>
          </w:tcPr>
          <w:p>
            <w:pPr>
              <w:spacing w:before="0" w:after="40" w:line="252" w:lineRule="auto"/>
            </w:pPr>
            <w:r>
              <w:rPr>
                <w:rFonts w:ascii="Noto Sans" w:hAnsi="Noto Sans" w:eastAsia="Noto Sans"/>
                <w:b w:val="0"/>
                <w:i w:val="0"/>
                <w:color w:val="000000"/>
                <w:sz w:val="17"/>
              </w:rPr>
              <w:t>AUTH-E2E-11</w:t>
            </w:r>
          </w:p>
        </w:tc>
        <w:tc>
          <w:tcPr>
            <w:tcW w:type="dxa" w:w="2551"/>
            <w:vAlign w:val="top"/>
            <w:shd w:fill="F8FAFC"/>
          </w:tcPr>
          <w:p>
            <w:pPr>
              <w:spacing w:before="0" w:after="40" w:line="252" w:lineRule="auto"/>
            </w:pPr>
            <w:r>
              <w:rPr>
                <w:rFonts w:ascii="Noto Sans" w:hAnsi="Noto Sans" w:eastAsia="Noto Sans"/>
                <w:b w:val="0"/>
                <w:i w:val="0"/>
                <w:color w:val="000000"/>
                <w:sz w:val="17"/>
              </w:rPr>
              <w:t>Directory outage</w:t>
            </w:r>
          </w:p>
        </w:tc>
        <w:tc>
          <w:tcPr>
            <w:tcW w:type="dxa" w:w="4706"/>
            <w:vAlign w:val="top"/>
            <w:shd w:fill="F8FAFC"/>
          </w:tcPr>
          <w:p>
            <w:pPr>
              <w:spacing w:before="0" w:after="40" w:line="252" w:lineRule="auto"/>
            </w:pPr>
            <w:r>
              <w:rPr>
                <w:rFonts w:ascii="Noto Sans" w:hAnsi="Noto Sans" w:eastAsia="Noto Sans"/>
                <w:b w:val="0"/>
                <w:i w:val="0"/>
                <w:color w:val="000000"/>
                <w:sz w:val="17"/>
              </w:rPr>
              <w:t>Lookup necessario e non disponibile → fail closed.</w:t>
            </w:r>
          </w:p>
        </w:tc>
      </w:tr>
      <w:tr>
        <w:tc>
          <w:tcPr>
            <w:tcW w:type="dxa" w:w="1531"/>
            <w:vAlign w:val="top"/>
          </w:tcPr>
          <w:p>
            <w:pPr>
              <w:spacing w:before="0" w:after="40" w:line="252" w:lineRule="auto"/>
            </w:pPr>
            <w:r>
              <w:rPr>
                <w:rFonts w:ascii="Noto Sans" w:hAnsi="Noto Sans" w:eastAsia="Noto Sans"/>
                <w:b w:val="0"/>
                <w:i w:val="0"/>
                <w:color w:val="000000"/>
                <w:sz w:val="17"/>
              </w:rPr>
              <w:t>AUTH-E2E-12</w:t>
            </w:r>
          </w:p>
        </w:tc>
        <w:tc>
          <w:tcPr>
            <w:tcW w:type="dxa" w:w="2551"/>
            <w:vAlign w:val="top"/>
          </w:tcPr>
          <w:p>
            <w:pPr>
              <w:spacing w:before="0" w:after="40" w:line="252" w:lineRule="auto"/>
            </w:pPr>
            <w:r>
              <w:rPr>
                <w:rFonts w:ascii="Noto Sans" w:hAnsi="Noto Sans" w:eastAsia="Noto Sans"/>
                <w:b w:val="0"/>
                <w:i w:val="0"/>
                <w:color w:val="000000"/>
                <w:sz w:val="17"/>
              </w:rPr>
              <w:t>Role change</w:t>
            </w:r>
          </w:p>
        </w:tc>
        <w:tc>
          <w:tcPr>
            <w:tcW w:type="dxa" w:w="4706"/>
            <w:vAlign w:val="top"/>
          </w:tcPr>
          <w:p>
            <w:pPr>
              <w:spacing w:before="0" w:after="40" w:line="252" w:lineRule="auto"/>
            </w:pPr>
            <w:r>
              <w:rPr>
                <w:rFonts w:ascii="Noto Sans" w:hAnsi="Noto Sans" w:eastAsia="Noto Sans"/>
                <w:b w:val="0"/>
                <w:i w:val="0"/>
                <w:color w:val="000000"/>
                <w:sz w:val="17"/>
              </w:rPr>
              <w:t>Cambio ruolo IAM si riflette al token refresh/lookup senza aggiornare DB OUF.</w:t>
            </w:r>
          </w:p>
        </w:tc>
      </w:tr>
      <w:tr>
        <w:tc>
          <w:tcPr>
            <w:tcW w:type="dxa" w:w="1531"/>
            <w:vAlign w:val="top"/>
            <w:shd w:fill="F8FAFC"/>
          </w:tcPr>
          <w:p>
            <w:pPr>
              <w:spacing w:before="0" w:after="40" w:line="252" w:lineRule="auto"/>
            </w:pPr>
            <w:r>
              <w:rPr>
                <w:rFonts w:ascii="Noto Sans" w:hAnsi="Noto Sans" w:eastAsia="Noto Sans"/>
                <w:b w:val="0"/>
                <w:i w:val="0"/>
                <w:color w:val="000000"/>
                <w:sz w:val="17"/>
              </w:rPr>
              <w:t>AUTH-E2E-13</w:t>
            </w:r>
          </w:p>
        </w:tc>
        <w:tc>
          <w:tcPr>
            <w:tcW w:type="dxa" w:w="2551"/>
            <w:vAlign w:val="top"/>
            <w:shd w:fill="F8FAFC"/>
          </w:tcPr>
          <w:p>
            <w:pPr>
              <w:spacing w:before="0" w:after="40" w:line="252" w:lineRule="auto"/>
            </w:pPr>
            <w:r>
              <w:rPr>
                <w:rFonts w:ascii="Noto Sans" w:hAnsi="Noto Sans" w:eastAsia="Noto Sans"/>
                <w:b w:val="0"/>
                <w:i w:val="0"/>
                <w:color w:val="000000"/>
                <w:sz w:val="17"/>
              </w:rPr>
              <w:t>Step-up</w:t>
            </w:r>
          </w:p>
        </w:tc>
        <w:tc>
          <w:tcPr>
            <w:tcW w:type="dxa" w:w="4706"/>
            <w:vAlign w:val="top"/>
            <w:shd w:fill="F8FAFC"/>
          </w:tcPr>
          <w:p>
            <w:pPr>
              <w:spacing w:before="0" w:after="40" w:line="252" w:lineRule="auto"/>
            </w:pPr>
            <w:r>
              <w:rPr>
                <w:rFonts w:ascii="Noto Sans" w:hAnsi="Noto Sans" w:eastAsia="Noto Sans"/>
                <w:b w:val="0"/>
                <w:i w:val="0"/>
                <w:color w:val="000000"/>
                <w:sz w:val="17"/>
              </w:rPr>
              <w:t>Capability high-risk negata finché assurance claim non soddisfa policy.</w:t>
            </w:r>
          </w:p>
        </w:tc>
      </w:tr>
      <w:tr>
        <w:tc>
          <w:tcPr>
            <w:tcW w:type="dxa" w:w="1531"/>
            <w:vAlign w:val="top"/>
          </w:tcPr>
          <w:p>
            <w:pPr>
              <w:spacing w:before="0" w:after="40" w:line="252" w:lineRule="auto"/>
            </w:pPr>
            <w:r>
              <w:rPr>
                <w:rFonts w:ascii="Noto Sans" w:hAnsi="Noto Sans" w:eastAsia="Noto Sans"/>
                <w:b w:val="0"/>
                <w:i w:val="0"/>
                <w:color w:val="000000"/>
                <w:sz w:val="17"/>
              </w:rPr>
              <w:t>AUTH-E2E-14</w:t>
            </w:r>
          </w:p>
        </w:tc>
        <w:tc>
          <w:tcPr>
            <w:tcW w:type="dxa" w:w="2551"/>
            <w:vAlign w:val="top"/>
          </w:tcPr>
          <w:p>
            <w:pPr>
              <w:spacing w:before="0" w:after="40" w:line="252" w:lineRule="auto"/>
            </w:pPr>
            <w:r>
              <w:rPr>
                <w:rFonts w:ascii="Noto Sans" w:hAnsi="Noto Sans" w:eastAsia="Noto Sans"/>
                <w:b w:val="0"/>
                <w:i w:val="0"/>
                <w:color w:val="000000"/>
                <w:sz w:val="17"/>
              </w:rPr>
              <w:t>SoD</w:t>
            </w:r>
          </w:p>
        </w:tc>
        <w:tc>
          <w:tcPr>
            <w:tcW w:type="dxa" w:w="4706"/>
            <w:vAlign w:val="top"/>
          </w:tcPr>
          <w:p>
            <w:pPr>
              <w:spacing w:before="0" w:after="40" w:line="252" w:lineRule="auto"/>
            </w:pPr>
            <w:r>
              <w:rPr>
                <w:rFonts w:ascii="Noto Sans" w:hAnsi="Noto Sans" w:eastAsia="Noto Sans"/>
                <w:b w:val="0"/>
                <w:i w:val="0"/>
                <w:color w:val="000000"/>
                <w:sz w:val="17"/>
              </w:rPr>
              <w:t>Proposer non può auto-approvare quando regola SoD è attiva.</w:t>
            </w:r>
          </w:p>
        </w:tc>
      </w:tr>
      <w:tr>
        <w:tc>
          <w:tcPr>
            <w:tcW w:type="dxa" w:w="1531"/>
            <w:vAlign w:val="top"/>
            <w:shd w:fill="F8FAFC"/>
          </w:tcPr>
          <w:p>
            <w:pPr>
              <w:spacing w:before="0" w:after="40" w:line="252" w:lineRule="auto"/>
            </w:pPr>
            <w:r>
              <w:rPr>
                <w:rFonts w:ascii="Noto Sans" w:hAnsi="Noto Sans" w:eastAsia="Noto Sans"/>
                <w:b w:val="0"/>
                <w:i w:val="0"/>
                <w:color w:val="000000"/>
                <w:sz w:val="17"/>
              </w:rPr>
              <w:t>AUTH-E2E-15</w:t>
            </w:r>
          </w:p>
        </w:tc>
        <w:tc>
          <w:tcPr>
            <w:tcW w:type="dxa" w:w="2551"/>
            <w:vAlign w:val="top"/>
            <w:shd w:fill="F8FAFC"/>
          </w:tcPr>
          <w:p>
            <w:pPr>
              <w:spacing w:before="0" w:after="40" w:line="252" w:lineRule="auto"/>
            </w:pPr>
            <w:r>
              <w:rPr>
                <w:rFonts w:ascii="Noto Sans" w:hAnsi="Noto Sans" w:eastAsia="Noto Sans"/>
                <w:b w:val="0"/>
                <w:i w:val="0"/>
                <w:color w:val="000000"/>
                <w:sz w:val="17"/>
              </w:rPr>
              <w:t>Audit evidence</w:t>
            </w:r>
          </w:p>
        </w:tc>
        <w:tc>
          <w:tcPr>
            <w:tcW w:type="dxa" w:w="4706"/>
            <w:vAlign w:val="top"/>
            <w:shd w:fill="F8FAFC"/>
          </w:tcPr>
          <w:p>
            <w:pPr>
              <w:spacing w:before="0" w:after="40" w:line="252" w:lineRule="auto"/>
            </w:pPr>
            <w:r>
              <w:rPr>
                <w:rFonts w:ascii="Noto Sans" w:hAnsi="Noto Sans" w:eastAsia="Noto Sans"/>
                <w:b w:val="0"/>
                <w:i w:val="0"/>
                <w:color w:val="000000"/>
                <w:sz w:val="17"/>
              </w:rPr>
              <w:t>Decisione critica registra subject, capability, policyVersion, reason e correlationId.</w:t>
            </w:r>
          </w:p>
        </w:tc>
      </w:tr>
      <w:tr>
        <w:tc>
          <w:tcPr>
            <w:tcW w:type="dxa" w:w="1531"/>
            <w:vAlign w:val="top"/>
          </w:tcPr>
          <w:p>
            <w:pPr>
              <w:spacing w:before="0" w:after="40" w:line="252" w:lineRule="auto"/>
            </w:pPr>
            <w:r>
              <w:rPr>
                <w:rFonts w:ascii="Noto Sans" w:hAnsi="Noto Sans" w:eastAsia="Noto Sans"/>
                <w:b w:val="0"/>
                <w:i w:val="0"/>
                <w:color w:val="000000"/>
                <w:sz w:val="17"/>
              </w:rPr>
              <w:t>AUTH-E2E-16</w:t>
            </w:r>
          </w:p>
        </w:tc>
        <w:tc>
          <w:tcPr>
            <w:tcW w:type="dxa" w:w="2551"/>
            <w:vAlign w:val="top"/>
          </w:tcPr>
          <w:p>
            <w:pPr>
              <w:spacing w:before="0" w:after="40" w:line="252" w:lineRule="auto"/>
            </w:pPr>
            <w:r>
              <w:rPr>
                <w:rFonts w:ascii="Noto Sans" w:hAnsi="Noto Sans" w:eastAsia="Noto Sans"/>
                <w:b w:val="0"/>
                <w:i w:val="0"/>
                <w:color w:val="000000"/>
                <w:sz w:val="17"/>
              </w:rPr>
              <w:t>Policy rollback</w:t>
            </w:r>
          </w:p>
        </w:tc>
        <w:tc>
          <w:tcPr>
            <w:tcW w:type="dxa" w:w="4706"/>
            <w:vAlign w:val="top"/>
          </w:tcPr>
          <w:p>
            <w:pPr>
              <w:spacing w:before="0" w:after="40" w:line="252" w:lineRule="auto"/>
            </w:pPr>
            <w:r>
              <w:rPr>
                <w:rFonts w:ascii="Noto Sans" w:hAnsi="Noto Sans" w:eastAsia="Noto Sans"/>
                <w:b w:val="0"/>
                <w:i w:val="0"/>
                <w:color w:val="000000"/>
                <w:sz w:val="17"/>
              </w:rPr>
              <w:t>Rollback a publication precedente ripristina comportamento previsto.</w:t>
            </w:r>
          </w:p>
        </w:tc>
      </w:tr>
      <w:tr>
        <w:tc>
          <w:tcPr>
            <w:tcW w:type="dxa" w:w="1531"/>
          </w:tcPr>
          <w:p>
            <w:r>
              <w:rPr>
                <w:rFonts w:ascii="Noto Sans" w:hAnsi="Noto Sans" w:eastAsia="Noto Sans"/>
                <w:sz w:val="17"/>
              </w:rPr>
              <w:t>AUTH-E2E-17</w:t>
            </w:r>
          </w:p>
        </w:tc>
        <w:tc>
          <w:tcPr>
            <w:tcW w:type="dxa" w:w="2551"/>
          </w:tcPr>
          <w:p>
            <w:r>
              <w:rPr>
                <w:rFonts w:ascii="Noto Sans" w:hAnsi="Noto Sans" w:eastAsia="Noto Sans"/>
                <w:sz w:val="17"/>
              </w:rPr>
              <w:t>M2M authenticated service call</w:t>
            </w:r>
          </w:p>
        </w:tc>
        <w:tc>
          <w:tcPr>
            <w:tcW w:type="dxa" w:w="4706"/>
          </w:tcPr>
          <w:p>
            <w:r>
              <w:rPr>
                <w:rFonts w:ascii="Noto Sans" w:hAnsi="Noto Sans" w:eastAsia="Noto Sans"/>
                <w:sz w:val="17"/>
              </w:rPr>
              <w:t>Ingestion Runtime chiama un modulo con service token valido; principal e capability sono auditabili.</w:t>
            </w:r>
          </w:p>
        </w:tc>
      </w:tr>
      <w:tr>
        <w:tc>
          <w:tcPr>
            <w:tcW w:type="dxa" w:w="1531"/>
          </w:tcPr>
          <w:p>
            <w:r>
              <w:rPr>
                <w:rFonts w:ascii="Noto Sans" w:hAnsi="Noto Sans" w:eastAsia="Noto Sans"/>
                <w:sz w:val="17"/>
              </w:rPr>
              <w:t>AUTH-E2E-18</w:t>
            </w:r>
          </w:p>
        </w:tc>
        <w:tc>
          <w:tcPr>
            <w:tcW w:type="dxa" w:w="2551"/>
          </w:tcPr>
          <w:p>
            <w:r>
              <w:rPr>
                <w:rFonts w:ascii="Noto Sans" w:hAnsi="Noto Sans" w:eastAsia="Noto Sans"/>
                <w:sz w:val="17"/>
              </w:rPr>
              <w:t>No network-only trust</w:t>
            </w:r>
          </w:p>
        </w:tc>
        <w:tc>
          <w:tcPr>
            <w:tcW w:type="dxa" w:w="4706"/>
          </w:tcPr>
          <w:p>
            <w:r>
              <w:rPr>
                <w:rFonts w:ascii="Noto Sans" w:hAnsi="Noto Sans" w:eastAsia="Noto Sans"/>
                <w:sz w:val="17"/>
              </w:rPr>
              <w:t>Chiamata interna senza token/identity tecnica viene rifiutata anche se proviene dal namespace OUF.</w:t>
            </w:r>
          </w:p>
        </w:tc>
      </w:tr>
      <w:tr>
        <w:tc>
          <w:tcPr>
            <w:tcW w:type="dxa" w:w="1531"/>
          </w:tcPr>
          <w:p>
            <w:r>
              <w:rPr>
                <w:rFonts w:ascii="Noto Sans" w:hAnsi="Noto Sans" w:eastAsia="Noto Sans"/>
                <w:sz w:val="17"/>
              </w:rPr>
              <w:t>AUTH-E2E-19</w:t>
            </w:r>
          </w:p>
        </w:tc>
        <w:tc>
          <w:tcPr>
            <w:tcW w:type="dxa" w:w="2551"/>
          </w:tcPr>
          <w:p>
            <w:r>
              <w:rPr>
                <w:rFonts w:ascii="Noto Sans" w:hAnsi="Noto Sans" w:eastAsia="Noto Sans"/>
                <w:sz w:val="17"/>
              </w:rPr>
              <w:t>M2M authority scenario portability</w:t>
            </w:r>
          </w:p>
        </w:tc>
        <w:tc>
          <w:tcPr>
            <w:tcW w:type="dxa" w:w="4706"/>
          </w:tcPr>
          <w:p>
            <w:r>
              <w:rPr>
                <w:rFonts w:ascii="Noto Sans" w:hAnsi="Noto Sans" w:eastAsia="Noto Sans"/>
                <w:sz w:val="17"/>
              </w:rPr>
              <w:t>Stesso principal logico e stesse policy OUF funzionano passando tra scenario A/B/C senza cambiare il dominio applicativo.</w:t>
            </w:r>
          </w:p>
        </w:tc>
      </w:tr>
    </w:tbl>
    <w:p>
      <w:pPr>
        <w:spacing w:after="40"/>
      </w:pPr>
    </w:p>
    <w:p>
      <w:r>
        <w:rPr>
          <w:rFonts w:ascii="Noto Sans" w:hAnsi="Noto Sans" w:eastAsia="Noto Sans"/>
        </w:rPr>
      </w:r>
    </w:p>
    <w:p>
      <w:pPr>
        <w:pStyle w:val="Heading1"/>
        <w:keepNext/>
      </w:pPr>
      <w:r>
        <w:rPr>
          <w:rFonts w:ascii="Noto Sans" w:hAnsi="Noto Sans" w:eastAsia="Noto Sans"/>
        </w:rPr>
        <w:t>29. Sizing e performance iniziale</w:t>
      </w:r>
    </w:p>
    <w:p>
      <w:pPr>
        <w:spacing w:before="0" w:after="120" w:line="276" w:lineRule="auto"/>
      </w:pPr>
      <w:r>
        <w:rPr>
          <w:rFonts w:ascii="Noto Sans" w:hAnsi="Noto Sans" w:eastAsia="Noto Sans"/>
          <w:b w:val="0"/>
          <w:i w:val="0"/>
          <w:color w:val="000000"/>
          <w:sz w:val="18"/>
        </w:rPr>
        <w:t>L’Authorization è un control-plane con enforcement locale. La baseline non richiede un cluster dedicato né performance da hyperscale.</w:t>
      </w:r>
    </w:p>
    <w:tbl>
      <w:tblPr>
        <w:tblStyle w:val="TableGrid"/>
        <w:tblW w:type="auto" w:w="0"/>
        <w:jc w:val="center"/>
        <w:tblLayout w:type="fixed"/>
        <w:tblLook w:firstColumn="1" w:firstRow="1" w:lastColumn="0" w:lastRow="0" w:noHBand="0" w:noVBand="1" w:val="04A0"/>
      </w:tblPr>
      <w:tblGrid>
        <w:gridCol w:w="2268"/>
        <w:gridCol w:w="2835"/>
        <w:gridCol w:w="3685"/>
      </w:tblGrid>
      <w:tr>
        <w:trPr>
          <w:tblHeader w:val="true"/>
          <w:tblHeader w:val="true"/>
        </w:trPr>
        <w:tc>
          <w:tcPr>
            <w:tcW w:type="dxa" w:w="3135"/>
            <w:shd w:fill="0B4F6C"/>
            <w:vAlign w:val="center"/>
          </w:tcPr>
          <w:p>
            <w:pPr>
              <w:spacing w:before="0" w:after="40" w:line="240" w:lineRule="auto"/>
              <w:jc w:val="left"/>
            </w:pPr>
            <w:r>
              <w:rPr>
                <w:rFonts w:ascii="Noto Sans" w:hAnsi="Noto Sans" w:eastAsia="Noto Sans"/>
                <w:b/>
                <w:i w:val="0"/>
                <w:color w:val="FFFFFF"/>
                <w:sz w:val="17"/>
              </w:rPr>
              <w:t>Profilo</w:t>
            </w:r>
          </w:p>
        </w:tc>
        <w:tc>
          <w:tcPr>
            <w:tcW w:type="dxa" w:w="3135"/>
            <w:shd w:fill="0B4F6C"/>
            <w:vAlign w:val="center"/>
          </w:tcPr>
          <w:p>
            <w:pPr>
              <w:spacing w:before="0" w:after="40" w:line="240" w:lineRule="auto"/>
              <w:jc w:val="left"/>
            </w:pPr>
            <w:r>
              <w:rPr>
                <w:rFonts w:ascii="Noto Sans" w:hAnsi="Noto Sans" w:eastAsia="Noto Sans"/>
                <w:b/>
                <w:i w:val="0"/>
                <w:color w:val="FFFFFF"/>
                <w:sz w:val="17"/>
              </w:rPr>
              <w:t>Carico iniziale</w:t>
            </w:r>
          </w:p>
        </w:tc>
        <w:tc>
          <w:tcPr>
            <w:tcW w:type="dxa" w:w="3135"/>
            <w:shd w:fill="0B4F6C"/>
            <w:vAlign w:val="center"/>
          </w:tcPr>
          <w:p>
            <w:pPr>
              <w:spacing w:before="0" w:after="40" w:line="240" w:lineRule="auto"/>
              <w:jc w:val="left"/>
            </w:pPr>
            <w:r>
              <w:rPr>
                <w:rFonts w:ascii="Noto Sans" w:hAnsi="Noto Sans" w:eastAsia="Noto Sans"/>
                <w:b/>
                <w:i w:val="0"/>
                <w:color w:val="FFFFFF"/>
                <w:sz w:val="17"/>
              </w:rPr>
              <w:t>Criterio</w:t>
            </w:r>
          </w:p>
        </w:tc>
      </w:tr>
      <w:tr>
        <w:tc>
          <w:tcPr>
            <w:tcW w:type="dxa" w:w="2268"/>
            <w:vAlign w:val="top"/>
            <w:shd w:fill="F8FAFC"/>
          </w:tcPr>
          <w:p>
            <w:pPr>
              <w:spacing w:before="0" w:after="40" w:line="252" w:lineRule="auto"/>
            </w:pPr>
            <w:r>
              <w:rPr>
                <w:rFonts w:ascii="Noto Sans" w:hAnsi="Noto Sans" w:eastAsia="Noto Sans"/>
                <w:b w:val="0"/>
                <w:i w:val="0"/>
                <w:color w:val="000000"/>
                <w:sz w:val="17"/>
              </w:rPr>
              <w:t>Policy evaluation locale</w:t>
            </w:r>
          </w:p>
        </w:tc>
        <w:tc>
          <w:tcPr>
            <w:tcW w:type="dxa" w:w="2835"/>
            <w:vAlign w:val="top"/>
            <w:shd w:fill="F8FAFC"/>
          </w:tcPr>
          <w:p>
            <w:pPr>
              <w:spacing w:before="0" w:after="40" w:line="252" w:lineRule="auto"/>
            </w:pPr>
            <w:r>
              <w:rPr>
                <w:rFonts w:ascii="Noto Sans" w:hAnsi="Noto Sans" w:eastAsia="Noto Sans"/>
                <w:b w:val="0"/>
                <w:i w:val="0"/>
                <w:color w:val="000000"/>
                <w:sz w:val="17"/>
              </w:rPr>
              <w:t>1.000 req/s per istanza come test sintetico indicativo</w:t>
            </w:r>
          </w:p>
        </w:tc>
        <w:tc>
          <w:tcPr>
            <w:tcW w:type="dxa" w:w="3685"/>
            <w:vAlign w:val="top"/>
            <w:shd w:fill="F8FAFC"/>
          </w:tcPr>
          <w:p>
            <w:pPr>
              <w:spacing w:before="0" w:after="40" w:line="252" w:lineRule="auto"/>
            </w:pPr>
            <w:r>
              <w:rPr>
                <w:rFonts w:ascii="Noto Sans" w:hAnsi="Noto Sans" w:eastAsia="Noto Sans"/>
                <w:b w:val="0"/>
                <w:i w:val="0"/>
                <w:color w:val="000000"/>
                <w:sz w:val="17"/>
              </w:rPr>
              <w:t>p95 evaluator puro &lt; 5 ms sul bundle in memoria.</w:t>
            </w:r>
          </w:p>
        </w:tc>
      </w:tr>
      <w:tr>
        <w:tc>
          <w:tcPr>
            <w:tcW w:type="dxa" w:w="2268"/>
            <w:vAlign w:val="top"/>
          </w:tcPr>
          <w:p>
            <w:pPr>
              <w:spacing w:before="0" w:after="40" w:line="252" w:lineRule="auto"/>
            </w:pPr>
            <w:r>
              <w:rPr>
                <w:rFonts w:ascii="Noto Sans" w:hAnsi="Noto Sans" w:eastAsia="Noto Sans"/>
                <w:b w:val="0"/>
                <w:i w:val="0"/>
                <w:color w:val="000000"/>
                <w:sz w:val="17"/>
              </w:rPr>
              <w:t>Policy administration</w:t>
            </w:r>
          </w:p>
        </w:tc>
        <w:tc>
          <w:tcPr>
            <w:tcW w:type="dxa" w:w="2835"/>
            <w:vAlign w:val="top"/>
          </w:tcPr>
          <w:p>
            <w:pPr>
              <w:spacing w:before="0" w:after="40" w:line="252" w:lineRule="auto"/>
            </w:pPr>
            <w:r>
              <w:rPr>
                <w:rFonts w:ascii="Noto Sans" w:hAnsi="Noto Sans" w:eastAsia="Noto Sans"/>
                <w:b w:val="0"/>
                <w:i w:val="0"/>
                <w:color w:val="000000"/>
                <w:sz w:val="17"/>
              </w:rPr>
              <w:t>20 utenti concorrenti</w:t>
            </w:r>
          </w:p>
        </w:tc>
        <w:tc>
          <w:tcPr>
            <w:tcW w:type="dxa" w:w="3685"/>
            <w:vAlign w:val="top"/>
          </w:tcPr>
          <w:p>
            <w:pPr>
              <w:spacing w:before="0" w:after="40" w:line="252" w:lineRule="auto"/>
            </w:pPr>
            <w:r>
              <w:rPr>
                <w:rFonts w:ascii="Noto Sans" w:hAnsi="Noto Sans" w:eastAsia="Noto Sans"/>
                <w:b w:val="0"/>
                <w:i w:val="0"/>
                <w:color w:val="000000"/>
                <w:sz w:val="17"/>
              </w:rPr>
              <w:t>p95 &lt; 500 ms escluso IAM remoto.</w:t>
            </w:r>
          </w:p>
        </w:tc>
      </w:tr>
      <w:tr>
        <w:tc>
          <w:tcPr>
            <w:tcW w:type="dxa" w:w="2268"/>
            <w:vAlign w:val="top"/>
            <w:shd w:fill="F8FAFC"/>
          </w:tcPr>
          <w:p>
            <w:pPr>
              <w:spacing w:before="0" w:after="40" w:line="252" w:lineRule="auto"/>
            </w:pPr>
            <w:r>
              <w:rPr>
                <w:rFonts w:ascii="Noto Sans" w:hAnsi="Noto Sans" w:eastAsia="Noto Sans"/>
                <w:b w:val="0"/>
                <w:i w:val="0"/>
                <w:color w:val="000000"/>
                <w:sz w:val="17"/>
              </w:rPr>
              <w:t>Policy bundle</w:t>
            </w:r>
          </w:p>
        </w:tc>
        <w:tc>
          <w:tcPr>
            <w:tcW w:type="dxa" w:w="2835"/>
            <w:vAlign w:val="top"/>
            <w:shd w:fill="F8FAFC"/>
          </w:tcPr>
          <w:p>
            <w:pPr>
              <w:spacing w:before="0" w:after="40" w:line="252" w:lineRule="auto"/>
            </w:pPr>
            <w:r>
              <w:rPr>
                <w:rFonts w:ascii="Noto Sans" w:hAnsi="Noto Sans" w:eastAsia="Noto Sans"/>
                <w:b w:val="0"/>
                <w:i w:val="0"/>
                <w:color w:val="000000"/>
                <w:sz w:val="17"/>
              </w:rPr>
              <w:t>fino a 10.000 grant iniziali</w:t>
            </w:r>
          </w:p>
        </w:tc>
        <w:tc>
          <w:tcPr>
            <w:tcW w:type="dxa" w:w="3685"/>
            <w:vAlign w:val="top"/>
            <w:shd w:fill="F8FAFC"/>
          </w:tcPr>
          <w:p>
            <w:pPr>
              <w:spacing w:before="0" w:after="40" w:line="252" w:lineRule="auto"/>
            </w:pPr>
            <w:r>
              <w:rPr>
                <w:rFonts w:ascii="Noto Sans" w:hAnsi="Noto Sans" w:eastAsia="Noto Sans"/>
                <w:b w:val="0"/>
                <w:i w:val="0"/>
                <w:color w:val="000000"/>
                <w:sz w:val="17"/>
              </w:rPr>
              <w:t>Load/validate entro pochi secondi; memoria prevedibile.</w:t>
            </w:r>
          </w:p>
        </w:tc>
      </w:tr>
      <w:tr>
        <w:tc>
          <w:tcPr>
            <w:tcW w:type="dxa" w:w="2268"/>
            <w:vAlign w:val="top"/>
          </w:tcPr>
          <w:p>
            <w:pPr>
              <w:spacing w:before="0" w:after="40" w:line="252" w:lineRule="auto"/>
            </w:pPr>
            <w:r>
              <w:rPr>
                <w:rFonts w:ascii="Noto Sans" w:hAnsi="Noto Sans" w:eastAsia="Noto Sans"/>
                <w:b w:val="0"/>
                <w:i w:val="0"/>
                <w:color w:val="000000"/>
                <w:sz w:val="17"/>
              </w:rPr>
              <w:t>Directory lookup</w:t>
            </w:r>
          </w:p>
        </w:tc>
        <w:tc>
          <w:tcPr>
            <w:tcW w:type="dxa" w:w="2835"/>
            <w:vAlign w:val="top"/>
          </w:tcPr>
          <w:p>
            <w:pPr>
              <w:spacing w:before="0" w:after="40" w:line="252" w:lineRule="auto"/>
            </w:pPr>
            <w:r>
              <w:rPr>
                <w:rFonts w:ascii="Noto Sans" w:hAnsi="Noto Sans" w:eastAsia="Noto Sans"/>
                <w:b w:val="0"/>
                <w:i w:val="0"/>
                <w:color w:val="000000"/>
                <w:sz w:val="17"/>
              </w:rPr>
              <w:t>dipende da IAM</w:t>
            </w:r>
          </w:p>
        </w:tc>
        <w:tc>
          <w:tcPr>
            <w:tcW w:type="dxa" w:w="3685"/>
            <w:vAlign w:val="top"/>
          </w:tcPr>
          <w:p>
            <w:pPr>
              <w:spacing w:before="0" w:after="40" w:line="252" w:lineRule="auto"/>
            </w:pPr>
            <w:r>
              <w:rPr>
                <w:rFonts w:ascii="Noto Sans" w:hAnsi="Noto Sans" w:eastAsia="Noto Sans"/>
                <w:b w:val="0"/>
                <w:i w:val="0"/>
                <w:color w:val="000000"/>
                <w:sz w:val="17"/>
              </w:rPr>
              <w:t>Cache/timeout; non nel path se claim sufficienti.</w:t>
            </w:r>
          </w:p>
        </w:tc>
      </w:tr>
      <w:tr>
        <w:tc>
          <w:tcPr>
            <w:tcW w:type="dxa" w:w="2268"/>
            <w:vAlign w:val="top"/>
            <w:shd w:fill="F8FAFC"/>
          </w:tcPr>
          <w:p>
            <w:pPr>
              <w:spacing w:before="0" w:after="40" w:line="252" w:lineRule="auto"/>
            </w:pPr>
            <w:r>
              <w:rPr>
                <w:rFonts w:ascii="Noto Sans" w:hAnsi="Noto Sans" w:eastAsia="Noto Sans"/>
                <w:b w:val="0"/>
                <w:i w:val="0"/>
                <w:color w:val="000000"/>
                <w:sz w:val="17"/>
              </w:rPr>
              <w:t>Publication</w:t>
            </w:r>
          </w:p>
        </w:tc>
        <w:tc>
          <w:tcPr>
            <w:tcW w:type="dxa" w:w="2835"/>
            <w:vAlign w:val="top"/>
            <w:shd w:fill="F8FAFC"/>
          </w:tcPr>
          <w:p>
            <w:pPr>
              <w:spacing w:before="0" w:after="40" w:line="252" w:lineRule="auto"/>
            </w:pPr>
            <w:r>
              <w:rPr>
                <w:rFonts w:ascii="Noto Sans" w:hAnsi="Noto Sans" w:eastAsia="Noto Sans"/>
                <w:b w:val="0"/>
                <w:i w:val="0"/>
                <w:color w:val="000000"/>
                <w:sz w:val="17"/>
              </w:rPr>
              <w:t>&lt;= 5 MB baseline</w:t>
            </w:r>
          </w:p>
        </w:tc>
        <w:tc>
          <w:tcPr>
            <w:tcW w:type="dxa" w:w="3685"/>
            <w:vAlign w:val="top"/>
            <w:shd w:fill="F8FAFC"/>
          </w:tcPr>
          <w:p>
            <w:pPr>
              <w:spacing w:before="0" w:after="40" w:line="252" w:lineRule="auto"/>
            </w:pPr>
            <w:r>
              <w:rPr>
                <w:rFonts w:ascii="Noto Sans" w:hAnsi="Noto Sans" w:eastAsia="Noto Sans"/>
                <w:b w:val="0"/>
                <w:i w:val="0"/>
                <w:color w:val="000000"/>
                <w:sz w:val="17"/>
              </w:rPr>
              <w:t>Hash/build/download ripetibile.</w:t>
            </w:r>
          </w:p>
        </w:tc>
      </w:tr>
    </w:tbl>
    <w:p>
      <w:pPr>
        <w:spacing w:after="40"/>
      </w:pPr>
    </w:p>
    <w:tbl>
      <w:tblPr>
        <w:tblW w:type="auto" w:w="0"/>
        <w:jc w:val="center"/>
        <w:tblLayout w:type="fixed"/>
        <w:tblLook w:firstColumn="1" w:firstRow="1" w:lastColumn="0" w:lastRow="0" w:noHBand="0" w:noVBand="1" w:val="04A0"/>
      </w:tblPr>
      <w:tblGrid>
        <w:gridCol w:w="8787"/>
      </w:tblGrid>
      <w:tr>
        <w:trPr>
          <w:tblHeader w:val="true"/>
        </w:trPr>
        <w:tc>
          <w:tcPr>
            <w:tcW w:type="dxa" w:w="9406"/>
            <w:shd w:fill="0B4F6C"/>
            <w:tcBorders>
              <w:top w:val="single" w:sz="10" w:color="0B4F6C"/>
              <w:left w:val="single" w:sz="10" w:color="0B4F6C"/>
              <w:bottom w:val="single" w:sz="10" w:color="0B4F6C"/>
              <w:right w:val="single" w:sz="10" w:color="0B4F6C"/>
            </w:tcBorders>
          </w:tcPr>
          <w:p>
            <w:pPr>
              <w:spacing w:before="40" w:after="80" w:line="264" w:lineRule="auto"/>
            </w:pPr>
            <w:r>
              <w:rPr>
                <w:rFonts w:ascii="Noto Sans" w:hAnsi="Noto Sans" w:eastAsia="Noto Sans"/>
                <w:b/>
                <w:i w:val="0"/>
                <w:color w:val="FFFFFF"/>
                <w:sz w:val="17"/>
              </w:rPr>
              <w:t>Sizing non contrattuale esterno</w:t>
            </w:r>
          </w:p>
          <w:p>
            <w:pPr>
              <w:spacing w:before="0" w:after="40" w:line="264" w:lineRule="auto"/>
            </w:pPr>
            <w:r>
              <w:rPr>
                <w:rFonts w:ascii="Noto Sans" w:hAnsi="Noto Sans" w:eastAsia="Noto Sans"/>
                <w:b/>
                <w:i w:val="0"/>
                <w:color w:val="FFFFFF"/>
                <w:sz w:val="17"/>
              </w:rPr>
              <w:t>I numeri sono criteri iniziali di collaudo del componente OUF e vanno confermati con dati reali su numero di ruoli, grant e capability.</w:t>
            </w:r>
          </w:p>
        </w:tc>
      </w:tr>
    </w:tbl>
    <w:p>
      <w:pPr>
        <w:spacing w:after="20"/>
      </w:pPr>
    </w:p>
    <w:p>
      <w:r>
        <w:rPr>
          <w:rFonts w:ascii="Noto Sans" w:hAnsi="Noto Sans" w:eastAsia="Noto Sans"/>
        </w:rPr>
      </w:r>
    </w:p>
    <w:p>
      <w:pPr>
        <w:pStyle w:val="Heading1"/>
        <w:keepNext/>
      </w:pPr>
      <w:r>
        <w:rPr>
          <w:rFonts w:ascii="Noto Sans" w:hAnsi="Noto Sans" w:eastAsia="Noto Sans"/>
        </w:rPr>
        <w:t>30. Design constraint economico e anti-scope-creep</w:t>
      </w:r>
    </w:p>
    <w:p>
      <w:pPr>
        <w:spacing w:before="0" w:after="120" w:line="276" w:lineRule="auto"/>
      </w:pPr>
      <w:r>
        <w:rPr>
          <w:rFonts w:ascii="Noto Sans" w:hAnsi="Noto Sans" w:eastAsia="Noto Sans"/>
        </w:rPr>
        <w:t>Il core OUF complessivo deve restare implementabile entro il design constraint di €150.000. Authorization riusa obbligatoriamente EVO/IAM per HUMAN_USER, struttura organizzativa e ruoli. Per M2M privilegia il riuso dello stesso IAM o della stessa infrastruttura Keycloak; un Technical IAM OUF separato è ammesso solo nello scenario C, minimale e limitato alle identità macchina.</w:t>
      </w:r>
    </w:p>
    <w:tbl>
      <w:tblPr>
        <w:tblStyle w:val="TableGrid"/>
        <w:tblW w:type="auto" w:w="0"/>
        <w:jc w:val="center"/>
        <w:tblLayout w:type="fixed"/>
        <w:tblLook w:firstColumn="1" w:firstRow="1" w:lastColumn="0" w:lastRow="0" w:noHBand="0" w:noVBand="1" w:val="04A0"/>
      </w:tblPr>
      <w:tblGrid>
        <w:gridCol w:w="3402"/>
        <w:gridCol w:w="5386"/>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Scelta</w:t>
            </w:r>
          </w:p>
        </w:tc>
        <w:tc>
          <w:tcPr>
            <w:tcW w:type="dxa" w:w="4703"/>
            <w:shd w:fill="0B4F6C"/>
            <w:vAlign w:val="center"/>
          </w:tcPr>
          <w:p>
            <w:pPr>
              <w:spacing w:before="0" w:after="40" w:line="240" w:lineRule="auto"/>
              <w:jc w:val="left"/>
            </w:pPr>
            <w:r>
              <w:rPr>
                <w:rFonts w:ascii="Noto Sans" w:hAnsi="Noto Sans" w:eastAsia="Noto Sans"/>
                <w:b/>
                <w:i w:val="0"/>
                <w:color w:val="FFFFFF"/>
                <w:sz w:val="17"/>
              </w:rPr>
              <w:t>Impatto costo</w:t>
            </w:r>
          </w:p>
        </w:tc>
      </w:tr>
      <w:tr>
        <w:tc>
          <w:tcPr>
            <w:tcW w:type="dxa" w:w="3402"/>
            <w:vAlign w:val="top"/>
            <w:shd w:fill="F8FAFC"/>
          </w:tcPr>
          <w:p>
            <w:r>
              <w:rPr>
                <w:rFonts w:ascii="Noto Sans" w:hAnsi="Noto Sans" w:eastAsia="Noto Sans"/>
                <w:sz w:val="17"/>
              </w:rPr>
              <w:t>Riuso EVO/Keycloak per HUMAN + preferenza M2M A/B</w:t>
            </w:r>
          </w:p>
        </w:tc>
        <w:tc>
          <w:tcPr>
            <w:tcW w:type="dxa" w:w="5386"/>
            <w:vAlign w:val="top"/>
            <w:shd w:fill="F8FAFC"/>
          </w:tcPr>
          <w:p>
            <w:r>
              <w:rPr>
                <w:rFonts w:ascii="Noto Sans" w:hAnsi="Noto Sans" w:eastAsia="Noto Sans"/>
                <w:sz w:val="17"/>
              </w:rPr>
              <w:t>Evita un secondo IAM quando EVO o la stessa infrastruttura possono governare le identità tecniche.</w:t>
            </w:r>
          </w:p>
        </w:tc>
      </w:tr>
      <w:tr>
        <w:tc>
          <w:tcPr>
            <w:tcW w:type="dxa" w:w="3402"/>
            <w:vAlign w:val="top"/>
          </w:tcPr>
          <w:p>
            <w:pPr>
              <w:spacing w:before="0" w:after="40" w:line="252" w:lineRule="auto"/>
            </w:pPr>
            <w:r>
              <w:rPr>
                <w:rFonts w:ascii="Noto Sans" w:hAnsi="Noto Sans" w:eastAsia="Noto Sans"/>
                <w:b w:val="0"/>
                <w:i w:val="0"/>
                <w:color w:val="000000"/>
                <w:sz w:val="17"/>
              </w:rPr>
              <w:t>No replica DB ruoli</w:t>
            </w:r>
          </w:p>
        </w:tc>
        <w:tc>
          <w:tcPr>
            <w:tcW w:type="dxa" w:w="5386"/>
            <w:vAlign w:val="top"/>
          </w:tcPr>
          <w:p>
            <w:pPr>
              <w:spacing w:before="0" w:after="40" w:line="252" w:lineRule="auto"/>
            </w:pPr>
            <w:r>
              <w:rPr>
                <w:rFonts w:ascii="Noto Sans" w:hAnsi="Noto Sans" w:eastAsia="Noto Sans"/>
                <w:b w:val="0"/>
                <w:i w:val="0"/>
                <w:color w:val="000000"/>
                <w:sz w:val="17"/>
              </w:rPr>
              <w:t>Evita sync engine, data ownership e problemi di coerenza.</w:t>
            </w:r>
          </w:p>
        </w:tc>
      </w:tr>
      <w:tr>
        <w:tc>
          <w:tcPr>
            <w:tcW w:type="dxa" w:w="3402"/>
            <w:vAlign w:val="top"/>
            <w:shd w:fill="F8FAFC"/>
          </w:tcPr>
          <w:p>
            <w:pPr>
              <w:spacing w:before="0" w:after="40" w:line="252" w:lineRule="auto"/>
            </w:pPr>
            <w:r>
              <w:rPr>
                <w:rFonts w:ascii="Noto Sans" w:hAnsi="Noto Sans" w:eastAsia="Noto Sans"/>
                <w:b w:val="0"/>
                <w:i w:val="0"/>
                <w:color w:val="000000"/>
                <w:sz w:val="17"/>
              </w:rPr>
              <w:t>Authz co-locato Onboarding</w:t>
            </w:r>
          </w:p>
        </w:tc>
        <w:tc>
          <w:tcPr>
            <w:tcW w:type="dxa" w:w="5386"/>
            <w:vAlign w:val="top"/>
            <w:shd w:fill="F8FAFC"/>
          </w:tcPr>
          <w:p>
            <w:pPr>
              <w:spacing w:before="0" w:after="40" w:line="252" w:lineRule="auto"/>
            </w:pPr>
            <w:r>
              <w:rPr>
                <w:rFonts w:ascii="Noto Sans" w:hAnsi="Noto Sans" w:eastAsia="Noto Sans"/>
                <w:b w:val="0"/>
                <w:i w:val="0"/>
                <w:color w:val="000000"/>
                <w:sz w:val="17"/>
              </w:rPr>
              <w:t>Riusa runtime, PostgreSQL, worker, CI/CD e observability.</w:t>
            </w:r>
          </w:p>
        </w:tc>
      </w:tr>
      <w:tr>
        <w:tc>
          <w:tcPr>
            <w:tcW w:type="dxa" w:w="3402"/>
            <w:vAlign w:val="top"/>
          </w:tcPr>
          <w:p>
            <w:pPr>
              <w:spacing w:before="0" w:after="40" w:line="252" w:lineRule="auto"/>
            </w:pPr>
            <w:r>
              <w:rPr>
                <w:rFonts w:ascii="Noto Sans" w:hAnsi="Noto Sans" w:eastAsia="Noto Sans"/>
                <w:b w:val="0"/>
                <w:i w:val="0"/>
                <w:color w:val="000000"/>
                <w:sz w:val="17"/>
              </w:rPr>
              <w:t>Enforcement locale</w:t>
            </w:r>
          </w:p>
        </w:tc>
        <w:tc>
          <w:tcPr>
            <w:tcW w:type="dxa" w:w="5386"/>
            <w:vAlign w:val="top"/>
          </w:tcPr>
          <w:p>
            <w:pPr>
              <w:spacing w:before="0" w:after="40" w:line="252" w:lineRule="auto"/>
            </w:pPr>
            <w:r>
              <w:rPr>
                <w:rFonts w:ascii="Noto Sans" w:hAnsi="Noto Sans" w:eastAsia="Noto Sans"/>
                <w:b w:val="0"/>
                <w:i w:val="0"/>
                <w:color w:val="000000"/>
                <w:sz w:val="17"/>
              </w:rPr>
              <w:t>Evita decision service sincrono ad alta disponibilità.</w:t>
            </w:r>
          </w:p>
        </w:tc>
      </w:tr>
      <w:tr>
        <w:tc>
          <w:tcPr>
            <w:tcW w:type="dxa" w:w="3402"/>
            <w:vAlign w:val="top"/>
            <w:shd w:fill="F8FAFC"/>
          </w:tcPr>
          <w:p>
            <w:pPr>
              <w:spacing w:before="0" w:after="40" w:line="252" w:lineRule="auto"/>
            </w:pPr>
            <w:r>
              <w:rPr>
                <w:rFonts w:ascii="Noto Sans" w:hAnsi="Noto Sans" w:eastAsia="Noto Sans"/>
                <w:b w:val="0"/>
                <w:i w:val="0"/>
                <w:color w:val="000000"/>
                <w:sz w:val="17"/>
              </w:rPr>
              <w:t>No policy engine esterno obbligatorio</w:t>
            </w:r>
          </w:p>
        </w:tc>
        <w:tc>
          <w:tcPr>
            <w:tcW w:type="dxa" w:w="5386"/>
            <w:vAlign w:val="top"/>
            <w:shd w:fill="F8FAFC"/>
          </w:tcPr>
          <w:p>
            <w:pPr>
              <w:spacing w:before="0" w:after="40" w:line="252" w:lineRule="auto"/>
            </w:pPr>
            <w:r>
              <w:rPr>
                <w:rFonts w:ascii="Noto Sans" w:hAnsi="Noto Sans" w:eastAsia="Noto Sans"/>
                <w:b w:val="0"/>
                <w:i w:val="0"/>
                <w:color w:val="000000"/>
                <w:sz w:val="17"/>
              </w:rPr>
              <w:t>Riduce stack, competenze, deployment e licenze/operations.</w:t>
            </w:r>
          </w:p>
        </w:tc>
      </w:tr>
      <w:tr>
        <w:tc>
          <w:tcPr>
            <w:tcW w:type="dxa" w:w="3402"/>
            <w:vAlign w:val="top"/>
          </w:tcPr>
          <w:p>
            <w:pPr>
              <w:spacing w:before="0" w:after="40" w:line="252" w:lineRule="auto"/>
            </w:pPr>
            <w:r>
              <w:rPr>
                <w:rFonts w:ascii="Noto Sans" w:hAnsi="Noto Sans" w:eastAsia="Noto Sans"/>
                <w:b w:val="0"/>
                <w:i w:val="0"/>
                <w:color w:val="000000"/>
                <w:sz w:val="17"/>
              </w:rPr>
              <w:t>Bundle immutabile</w:t>
            </w:r>
          </w:p>
        </w:tc>
        <w:tc>
          <w:tcPr>
            <w:tcW w:type="dxa" w:w="5386"/>
            <w:vAlign w:val="top"/>
          </w:tcPr>
          <w:p>
            <w:pPr>
              <w:spacing w:before="0" w:after="40" w:line="252" w:lineRule="auto"/>
            </w:pPr>
            <w:r>
              <w:rPr>
                <w:rFonts w:ascii="Noto Sans" w:hAnsi="Noto Sans" w:eastAsia="Noto Sans"/>
                <w:b w:val="0"/>
                <w:i w:val="0"/>
                <w:color w:val="000000"/>
                <w:sz w:val="17"/>
              </w:rPr>
              <w:t>Semplifica resilienza e testabilità.</w:t>
            </w:r>
          </w:p>
        </w:tc>
      </w:tr>
      <w:tr>
        <w:tc>
          <w:tcPr>
            <w:tcW w:type="dxa" w:w="3402"/>
          </w:tcPr>
          <w:p>
            <w:r>
              <w:rPr>
                <w:rFonts w:ascii="Noto Sans" w:hAnsi="Noto Sans" w:eastAsia="Noto Sans"/>
                <w:sz w:val="17"/>
              </w:rPr>
              <w:t>Scenario C minimale</w:t>
            </w:r>
          </w:p>
        </w:tc>
        <w:tc>
          <w:tcPr>
            <w:tcW w:type="dxa" w:w="5386"/>
          </w:tcPr>
          <w:p>
            <w:r>
              <w:rPr>
                <w:rFonts w:ascii="Noto Sans" w:hAnsi="Noto Sans" w:eastAsia="Noto Sans"/>
                <w:sz w:val="17"/>
              </w:rPr>
              <w:t>Se necessario introduce solo l’authority tecnica per pochi workload OUF, senza utenti umani, organigramma o policy applicative duplicate.</w:t>
            </w:r>
          </w:p>
        </w:tc>
      </w:tr>
    </w:tbl>
    <w:p>
      <w:pPr>
        <w:spacing w:after="40"/>
      </w:pPr>
    </w:p>
    <w:tbl>
      <w:tblPr>
        <w:tblW w:type="auto" w:w="0"/>
        <w:jc w:val="center"/>
        <w:tblLayout w:type="fixed"/>
        <w:tblLook w:firstColumn="1" w:firstRow="1" w:lastColumn="0" w:lastRow="0" w:noHBand="0" w:noVBand="1" w:val="04A0"/>
      </w:tblPr>
      <w:tblGrid>
        <w:gridCol w:w="8787"/>
      </w:tblGrid>
      <w:tr>
        <w:trPr>
          <w:tblHeader w:val="true"/>
        </w:trPr>
        <w:tc>
          <w:tcPr>
            <w:tcW w:type="dxa" w:w="9406"/>
            <w:shd w:fill="0B4F6C"/>
            <w:tcBorders>
              <w:top w:val="single" w:sz="10" w:color="F39C12"/>
              <w:left w:val="single" w:sz="10" w:color="F39C12"/>
              <w:bottom w:val="single" w:sz="10" w:color="F39C12"/>
              <w:right w:val="single" w:sz="10" w:color="F39C12"/>
            </w:tcBorders>
          </w:tcPr>
          <w:p>
            <w:pPr>
              <w:spacing w:before="40" w:after="80" w:line="264" w:lineRule="auto"/>
            </w:pPr>
            <w:r>
              <w:rPr>
                <w:rFonts w:ascii="Noto Sans" w:hAnsi="Noto Sans" w:eastAsia="Noto Sans"/>
                <w:b/>
                <w:i w:val="0"/>
                <w:color w:val="FFFFFF"/>
                <w:sz w:val="17"/>
              </w:rPr>
              <w:t>OUF-COST-AUTH-01</w:t>
            </w:r>
          </w:p>
          <w:p>
            <w:pPr>
              <w:spacing w:before="0" w:after="40" w:line="264" w:lineRule="auto"/>
            </w:pPr>
            <w:r>
              <w:rPr>
                <w:rFonts w:ascii="Noto Sans" w:hAnsi="Noto Sans" w:eastAsia="Noto Sans"/>
                <w:b/>
                <w:i w:val="0"/>
                <w:color w:val="FFFFFF"/>
                <w:sz w:val="17"/>
              </w:rPr>
              <w:t>Qualunque proposta che introduca un IAM OUF separato, un database ruoli autoritativo locale, un nuovo microservizio Authorization o un policy engine dedicato richiede una gap analysis con requisito misurabile e impatto sul budget complessivo.</w:t>
            </w:r>
          </w:p>
        </w:tc>
      </w:tr>
    </w:tbl>
    <w:p>
      <w:pPr>
        <w:spacing w:after="20"/>
      </w:pPr>
    </w:p>
    <w:p>
      <w:r>
        <w:rPr>
          <w:rFonts w:ascii="Noto Sans" w:hAnsi="Noto Sans" w:eastAsia="Noto Sans"/>
        </w:rPr>
      </w:r>
    </w:p>
    <w:p>
      <w:pPr>
        <w:pStyle w:val="Heading1"/>
        <w:keepNext/>
      </w:pPr>
      <w:r>
        <w:rPr>
          <w:rFonts w:ascii="Noto Sans" w:hAnsi="Noto Sans" w:eastAsia="Noto Sans"/>
        </w:rPr>
        <w:t>31. Impatto sul Source Onboarding &amp; Configuration</w:t>
      </w:r>
    </w:p>
    <w:p>
      <w:pPr>
        <w:spacing w:before="0" w:after="120" w:line="276" w:lineRule="auto"/>
      </w:pPr>
      <w:r>
        <w:rPr>
          <w:rFonts w:ascii="Noto Sans" w:hAnsi="Noto Sans" w:eastAsia="Noto Sans"/>
          <w:b w:val="0"/>
          <w:i w:val="0"/>
          <w:color w:val="000000"/>
          <w:sz w:val="18"/>
        </w:rPr>
        <w:t>La v1.0 attuale del Source Onboarding contiene già SSO, actor separation, trusted approval surface e autorizzazione applicativa. La presente specifica rende tali elementi parte di un modello trasversale e richiede una revisione del progetto esecutivo Onboarding.</w:t>
      </w:r>
    </w:p>
    <w:p>
      <w:pPr>
        <w:pStyle w:val="Heading2"/>
        <w:keepNext/>
      </w:pPr>
      <w:r>
        <w:rPr>
          <w:rFonts w:ascii="Noto Sans" w:hAnsi="Noto Sans" w:eastAsia="Noto Sans"/>
        </w:rPr>
        <w:t>31.1 Modifiche richieste nella futura revisione Onboarding</w:t>
      </w:r>
    </w:p>
    <w:p>
      <w:pPr>
        <w:pStyle w:val="ListBullet"/>
        <w:spacing w:before="0" w:after="60" w:line="264" w:lineRule="auto"/>
      </w:pPr>
      <w:r>
        <w:rPr>
          <w:rFonts w:ascii="Noto Sans" w:hAnsi="Noto Sans" w:eastAsia="Noto Sans"/>
          <w:b w:val="0"/>
          <w:i w:val="0"/>
          <w:color w:val="000000"/>
          <w:sz w:val="18"/>
        </w:rPr>
        <w:t>Rinominare il deployable fisico, se utile, in Source Onboarding, Configuration &amp; Authorization senza cambiare il nome logico delle API onboarding.</w:t>
      </w:r>
    </w:p>
    <w:p>
      <w:pPr>
        <w:pStyle w:val="ListBullet"/>
        <w:spacing w:before="0" w:after="60" w:line="264" w:lineRule="auto"/>
      </w:pPr>
      <w:r>
        <w:rPr>
          <w:rFonts w:ascii="Noto Sans" w:hAnsi="Noto Sans" w:eastAsia="Noto Sans"/>
          <w:b w:val="0"/>
          <w:i w:val="0"/>
          <w:color w:val="000000"/>
          <w:sz w:val="18"/>
        </w:rPr>
        <w:t>Aggiungere Authorization Policy Registry ai componenti interni.</w:t>
      </w:r>
    </w:p>
    <w:p>
      <w:pPr>
        <w:pStyle w:val="ListBullet"/>
        <w:spacing w:before="0" w:after="60" w:line="264" w:lineRule="auto"/>
      </w:pPr>
      <w:r>
        <w:rPr>
          <w:rFonts w:ascii="Noto Sans" w:hAnsi="Noto Sans" w:eastAsia="Noto Sans"/>
          <w:b w:val="0"/>
          <w:i w:val="0"/>
          <w:color w:val="000000"/>
          <w:sz w:val="18"/>
        </w:rPr>
        <w:t>Aggiungere schema PostgreSQL authz e relative migration.</w:t>
      </w:r>
    </w:p>
    <w:p>
      <w:pPr>
        <w:pStyle w:val="ListBullet"/>
        <w:spacing w:before="0" w:after="60" w:line="264" w:lineRule="auto"/>
      </w:pPr>
      <w:r>
        <w:rPr>
          <w:rFonts w:ascii="Noto Sans" w:hAnsi="Noto Sans" w:eastAsia="Noto Sans"/>
          <w:b w:val="0"/>
          <w:i w:val="0"/>
          <w:color w:val="000000"/>
          <w:sz w:val="18"/>
        </w:rPr>
        <w:t>Aggiungere /api/authz/v1 come API separata nello stesso servizio.</w:t>
      </w:r>
    </w:p>
    <w:p>
      <w:pPr>
        <w:pStyle w:val="ListBullet"/>
        <w:spacing w:before="0" w:after="60" w:line="264" w:lineRule="auto"/>
      </w:pPr>
      <w:r>
        <w:rPr>
          <w:rFonts w:ascii="Noto Sans" w:hAnsi="Noto Sans" w:eastAsia="Noto Sans"/>
          <w:b w:val="0"/>
          <w:i w:val="0"/>
          <w:color w:val="000000"/>
          <w:sz w:val="18"/>
        </w:rPr>
        <w:t>Spostare dal capitolo IAM dell’Onboarding le regole trasversali qui congelate, mantenendo solo integrazione e use case specifici.</w:t>
      </w:r>
    </w:p>
    <w:p>
      <w:pPr>
        <w:pStyle w:val="ListBullet"/>
        <w:spacing w:before="0" w:after="60" w:line="264" w:lineRule="auto"/>
      </w:pPr>
      <w:r>
        <w:rPr>
          <w:rFonts w:ascii="Noto Sans" w:hAnsi="Noto Sans" w:eastAsia="Noto Sans"/>
          <w:b w:val="0"/>
          <w:i w:val="0"/>
          <w:color w:val="000000"/>
          <w:sz w:val="18"/>
        </w:rPr>
        <w:t>Riferire ApprovalChallenge e workflow alle capability/guards definite da Authorization.</w:t>
      </w:r>
    </w:p>
    <w:p>
      <w:pPr>
        <w:pStyle w:val="ListBullet"/>
        <w:spacing w:before="0" w:after="60" w:line="264" w:lineRule="auto"/>
      </w:pPr>
      <w:r>
        <w:rPr>
          <w:rFonts w:ascii="Noto Sans" w:hAnsi="Noto Sans" w:eastAsia="Noto Sans"/>
          <w:b w:val="0"/>
          <w:i w:val="0"/>
          <w:color w:val="000000"/>
          <w:sz w:val="18"/>
        </w:rPr>
        <w:t>Aggiornare conformance per usare ruoli/claim EVO e policy bundle.</w:t>
      </w:r>
    </w:p>
    <w:p>
      <w:r>
        <w:rPr>
          <w:rFonts w:ascii="Noto Sans" w:hAnsi="Noto Sans" w:eastAsia="Noto Sans"/>
        </w:rPr>
      </w:r>
    </w:p>
    <w:p>
      <w:pPr>
        <w:pStyle w:val="Heading1"/>
        <w:keepNext/>
      </w:pPr>
      <w:r>
        <w:rPr>
          <w:rFonts w:ascii="Noto Sans" w:hAnsi="Noto Sans" w:eastAsia="Noto Sans"/>
        </w:rPr>
        <w:t>32. Sequenza di implementazione</w:t>
      </w:r>
    </w:p>
    <w:p>
      <w:pPr>
        <w:pStyle w:val="ListNumber"/>
        <w:spacing w:before="0" w:after="60" w:line="264" w:lineRule="auto"/>
      </w:pPr>
      <w:r>
        <w:rPr>
          <w:rFonts w:ascii="Noto Sans" w:hAnsi="Noto Sans" w:eastAsia="Noto Sans"/>
        </w:rPr>
        <w:t>Confermare con il progetto EVO/Maggioli claim contract, role identifiers, org identifiers e supporto o meno a OAuth2 Client Credentials, service account e workload identity per client OUF.</w:t>
      </w:r>
    </w:p>
    <w:p>
      <w:pPr>
        <w:pStyle w:val="ListNumber"/>
        <w:spacing w:before="0" w:after="60" w:line="264" w:lineRule="auto"/>
      </w:pPr>
      <w:r>
        <w:rPr>
          <w:rFonts w:ascii="Noto Sans" w:hAnsi="Noto Sans" w:eastAsia="Noto Sans"/>
          <w:b w:val="0"/>
          <w:i w:val="0"/>
          <w:color w:val="000000"/>
          <w:sz w:val="18"/>
        </w:rPr>
        <w:t>Implementare Identity Context Adapter e shared Authorization SDK.</w:t>
      </w:r>
    </w:p>
    <w:p>
      <w:pPr>
        <w:pStyle w:val="ListNumber"/>
        <w:spacing w:before="0" w:after="60" w:line="264" w:lineRule="auto"/>
      </w:pPr>
      <w:r>
        <w:rPr>
          <w:rFonts w:ascii="Noto Sans" w:hAnsi="Noto Sans" w:eastAsia="Noto Sans"/>
          <w:b w:val="0"/>
          <w:i w:val="0"/>
          <w:color w:val="000000"/>
          <w:sz w:val="18"/>
        </w:rPr>
        <w:t>Implementare schema authz e API Policy Registry nel deployable Onboarding.</w:t>
      </w:r>
    </w:p>
    <w:p>
      <w:pPr>
        <w:pStyle w:val="ListNumber"/>
        <w:spacing w:before="0" w:after="60" w:line="264" w:lineRule="auto"/>
      </w:pPr>
      <w:r>
        <w:rPr>
          <w:rFonts w:ascii="Noto Sans" w:hAnsi="Noto Sans" w:eastAsia="Noto Sans"/>
        </w:rPr>
        <w:t>Definire bootstrap policy con i primi ruoli EVO e i principal M2M iniziali, indipendentemente dall’authority tecnica scelta.</w:t>
      </w:r>
    </w:p>
    <w:p>
      <w:pPr>
        <w:pStyle w:val="ListNumber"/>
        <w:spacing w:before="0" w:after="60" w:line="264" w:lineRule="auto"/>
      </w:pPr>
      <w:r>
        <w:rPr>
          <w:rFonts w:ascii="Noto Sans" w:hAnsi="Noto Sans" w:eastAsia="Noto Sans"/>
          <w:b w:val="0"/>
          <w:i w:val="0"/>
          <w:color w:val="000000"/>
          <w:sz w:val="18"/>
        </w:rPr>
        <w:t>Integrare Onboarding come primo Policy Enforcement Point reale.</w:t>
      </w:r>
    </w:p>
    <w:p>
      <w:pPr>
        <w:pStyle w:val="ListNumber"/>
        <w:spacing w:before="0" w:after="60" w:line="264" w:lineRule="auto"/>
      </w:pPr>
      <w:r>
        <w:rPr>
          <w:rFonts w:ascii="Noto Sans" w:hAnsi="Noto Sans" w:eastAsia="Noto Sans"/>
          <w:b w:val="0"/>
          <w:i w:val="0"/>
          <w:color w:val="000000"/>
          <w:sz w:val="18"/>
        </w:rPr>
        <w:t>Integrare Semantic Registry e verificare human-only publish/adopt.</w:t>
      </w:r>
    </w:p>
    <w:p>
      <w:pPr>
        <w:pStyle w:val="ListNumber"/>
        <w:spacing w:before="0" w:after="60" w:line="264" w:lineRule="auto"/>
      </w:pPr>
      <w:r>
        <w:rPr>
          <w:rFonts w:ascii="Noto Sans" w:hAnsi="Noto Sans" w:eastAsia="Noto Sans"/>
          <w:b w:val="0"/>
          <w:i w:val="0"/>
          <w:color w:val="000000"/>
          <w:sz w:val="18"/>
        </w:rPr>
        <w:t>Integrare Gateway coarse scopes mantenendo la logica fine fuori da APISIX.</w:t>
      </w:r>
    </w:p>
    <w:p>
      <w:pPr>
        <w:pStyle w:val="ListNumber"/>
        <w:spacing w:before="0" w:after="60" w:line="264" w:lineRule="auto"/>
      </w:pPr>
      <w:r>
        <w:rPr>
          <w:rFonts w:ascii="Noto Sans" w:hAnsi="Noto Sans" w:eastAsia="Noto Sans"/>
          <w:b w:val="0"/>
          <w:i w:val="0"/>
          <w:color w:val="000000"/>
          <w:sz w:val="18"/>
        </w:rPr>
        <w:t>Produrre AuthorizationPolicyBundle ACTIVE e testare refresh/rollback.</w:t>
      </w:r>
    </w:p>
    <w:p>
      <w:pPr>
        <w:pStyle w:val="ListNumber"/>
        <w:spacing w:before="0" w:after="60" w:line="264" w:lineRule="auto"/>
      </w:pPr>
      <w:r>
        <w:rPr>
          <w:rFonts w:ascii="Noto Sans" w:hAnsi="Noto Sans" w:eastAsia="Noto Sans"/>
          <w:b w:val="0"/>
          <w:i w:val="0"/>
          <w:color w:val="000000"/>
          <w:sz w:val="18"/>
        </w:rPr>
        <w:t>Estendere il catalogo capability ai moduli futuri man mano che vengono progettati.</w:t>
      </w:r>
    </w:p>
    <w:p>
      <w:pPr>
        <w:pStyle w:val="ListNumber"/>
        <w:spacing w:before="0" w:after="60" w:line="264" w:lineRule="auto"/>
      </w:pPr>
      <w:r>
        <w:rPr>
          <w:rFonts w:ascii="Noto Sans" w:hAnsi="Noto Sans" w:eastAsia="Noto Sans"/>
        </w:rPr>
        <w:t>Eseguire suite AUTH-E2E e security con staging EVO per HUMAN_USER e con l’authority/realm M2M corrispondente allo scenario A, B o C.</w:t>
      </w:r>
    </w:p>
    <w:p>
      <w:r>
        <w:rPr>
          <w:rFonts w:ascii="Noto Sans" w:hAnsi="Noto Sans" w:eastAsia="Noto Sans"/>
        </w:rPr>
      </w:r>
    </w:p>
    <w:p>
      <w:pPr>
        <w:pStyle w:val="Heading1"/>
        <w:keepNext/>
      </w:pPr>
      <w:r>
        <w:rPr>
          <w:rFonts w:ascii="Noto Sans" w:hAnsi="Noto Sans" w:eastAsia="Noto Sans"/>
        </w:rPr>
        <w:t>33. Parametri di integrazione non bloccanti</w:t>
      </w:r>
    </w:p>
    <w:p>
      <w:pPr>
        <w:spacing w:before="0" w:after="120" w:line="276" w:lineRule="auto"/>
      </w:pPr>
      <w:r>
        <w:rPr>
          <w:rFonts w:ascii="Noto Sans" w:hAnsi="Noto Sans" w:eastAsia="Noto Sans"/>
          <w:b w:val="0"/>
          <w:i w:val="0"/>
          <w:color w:val="000000"/>
          <w:sz w:val="18"/>
        </w:rPr>
        <w:t>Le seguenti variabili devono essere valorizzate nel progetto di integrazione ma non riaprono l’architettura della specifica.</w:t>
      </w:r>
    </w:p>
    <w:tbl>
      <w:tblPr>
        <w:tblStyle w:val="TableGrid"/>
        <w:tblW w:type="auto" w:w="0"/>
        <w:jc w:val="center"/>
        <w:tblLayout w:type="fixed"/>
        <w:tblLook w:firstColumn="1" w:firstRow="1" w:lastColumn="0" w:lastRow="0" w:noHBand="0" w:noVBand="1" w:val="04A0"/>
      </w:tblPr>
      <w:tblGrid>
        <w:gridCol w:w="2948"/>
        <w:gridCol w:w="5839"/>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Parametro</w:t>
            </w:r>
          </w:p>
        </w:tc>
        <w:tc>
          <w:tcPr>
            <w:tcW w:type="dxa" w:w="4703"/>
            <w:shd w:fill="0B4F6C"/>
            <w:vAlign w:val="center"/>
          </w:tcPr>
          <w:p>
            <w:pPr>
              <w:spacing w:before="0" w:after="40" w:line="240" w:lineRule="auto"/>
              <w:jc w:val="left"/>
            </w:pPr>
            <w:r>
              <w:rPr>
                <w:rFonts w:ascii="Noto Sans" w:hAnsi="Noto Sans" w:eastAsia="Noto Sans"/>
                <w:b/>
                <w:i w:val="0"/>
                <w:color w:val="FFFFFF"/>
                <w:sz w:val="17"/>
              </w:rPr>
              <w:t>Decisione architetturale già congelata</w:t>
            </w:r>
          </w:p>
        </w:tc>
      </w:tr>
      <w:tr>
        <w:tc>
          <w:tcPr>
            <w:tcW w:type="dxa" w:w="2948"/>
            <w:vAlign w:val="top"/>
            <w:shd w:fill="F8FAFC"/>
          </w:tcPr>
          <w:p>
            <w:r>
              <w:rPr>
                <w:rFonts w:ascii="Noto Sans" w:hAnsi="Noto Sans" w:eastAsia="Noto Sans"/>
                <w:sz w:val="17"/>
              </w:rPr>
              <w:t>Issuer/realm HUMAN EVO</w:t>
            </w:r>
          </w:p>
        </w:tc>
        <w:tc>
          <w:tcPr>
            <w:tcW w:type="dxa" w:w="5839"/>
            <w:vAlign w:val="top"/>
            <w:shd w:fill="F8FAFC"/>
          </w:tcPr>
          <w:p>
            <w:r>
              <w:rPr>
                <w:rFonts w:ascii="Noto Sans" w:hAnsi="Noto Sans" w:eastAsia="Noto Sans"/>
                <w:sz w:val="17"/>
              </w:rPr>
              <w:t>Configurazione esterna; OUF usa OIDC standard per utenti umani.</w:t>
            </w:r>
          </w:p>
        </w:tc>
      </w:tr>
      <w:tr>
        <w:tc>
          <w:tcPr>
            <w:tcW w:type="dxa" w:w="2948"/>
            <w:vAlign w:val="top"/>
          </w:tcPr>
          <w:p>
            <w:pPr>
              <w:spacing w:before="0" w:after="40" w:line="252" w:lineRule="auto"/>
            </w:pPr>
            <w:r>
              <w:rPr>
                <w:rFonts w:ascii="Noto Sans" w:hAnsi="Noto Sans" w:eastAsia="Noto Sans"/>
                <w:b w:val="0"/>
                <w:i w:val="0"/>
                <w:color w:val="000000"/>
                <w:sz w:val="17"/>
              </w:rPr>
              <w:t>Nome claim ruoli</w:t>
            </w:r>
          </w:p>
        </w:tc>
        <w:tc>
          <w:tcPr>
            <w:tcW w:type="dxa" w:w="5839"/>
            <w:vAlign w:val="top"/>
          </w:tcPr>
          <w:p>
            <w:pPr>
              <w:spacing w:before="0" w:after="40" w:line="252" w:lineRule="auto"/>
            </w:pPr>
            <w:r>
              <w:rPr>
                <w:rFonts w:ascii="Noto Sans" w:hAnsi="Noto Sans" w:eastAsia="Noto Sans"/>
                <w:b w:val="0"/>
                <w:i w:val="0"/>
                <w:color w:val="000000"/>
                <w:sz w:val="17"/>
              </w:rPr>
              <w:t>Mappato da Identity Context Adapter.</w:t>
            </w:r>
          </w:p>
        </w:tc>
      </w:tr>
      <w:tr>
        <w:tc>
          <w:tcPr>
            <w:tcW w:type="dxa" w:w="2948"/>
            <w:vAlign w:val="top"/>
            <w:shd w:fill="F8FAFC"/>
          </w:tcPr>
          <w:p>
            <w:pPr>
              <w:spacing w:before="0" w:after="40" w:line="252" w:lineRule="auto"/>
            </w:pPr>
            <w:r>
              <w:rPr>
                <w:rFonts w:ascii="Noto Sans" w:hAnsi="Noto Sans" w:eastAsia="Noto Sans"/>
                <w:b w:val="0"/>
                <w:i w:val="0"/>
                <w:color w:val="000000"/>
                <w:sz w:val="17"/>
              </w:rPr>
              <w:t>Nome claim orgUnit</w:t>
            </w:r>
          </w:p>
        </w:tc>
        <w:tc>
          <w:tcPr>
            <w:tcW w:type="dxa" w:w="5839"/>
            <w:vAlign w:val="top"/>
            <w:shd w:fill="F8FAFC"/>
          </w:tcPr>
          <w:p>
            <w:pPr>
              <w:spacing w:before="0" w:after="40" w:line="252" w:lineRule="auto"/>
            </w:pPr>
            <w:r>
              <w:rPr>
                <w:rFonts w:ascii="Noto Sans" w:hAnsi="Noto Sans" w:eastAsia="Noto Sans"/>
                <w:b w:val="0"/>
                <w:i w:val="0"/>
                <w:color w:val="000000"/>
                <w:sz w:val="17"/>
              </w:rPr>
              <w:t>Mappato da adapter o lookup.</w:t>
            </w:r>
          </w:p>
        </w:tc>
      </w:tr>
      <w:tr>
        <w:tc>
          <w:tcPr>
            <w:tcW w:type="dxa" w:w="2948"/>
            <w:vAlign w:val="top"/>
          </w:tcPr>
          <w:p>
            <w:pPr>
              <w:spacing w:before="0" w:after="40" w:line="252" w:lineRule="auto"/>
            </w:pPr>
            <w:r>
              <w:rPr>
                <w:rFonts w:ascii="Noto Sans" w:hAnsi="Noto Sans" w:eastAsia="Noto Sans"/>
                <w:b w:val="0"/>
                <w:i w:val="0"/>
                <w:color w:val="000000"/>
                <w:sz w:val="17"/>
              </w:rPr>
              <w:t>Role ID format</w:t>
            </w:r>
          </w:p>
        </w:tc>
        <w:tc>
          <w:tcPr>
            <w:tcW w:type="dxa" w:w="5839"/>
            <w:vAlign w:val="top"/>
          </w:tcPr>
          <w:p>
            <w:pPr>
              <w:spacing w:before="0" w:after="40" w:line="252" w:lineRule="auto"/>
            </w:pPr>
            <w:r>
              <w:rPr>
                <w:rFonts w:ascii="Noto Sans" w:hAnsi="Noto Sans" w:eastAsia="Noto Sans"/>
                <w:b w:val="0"/>
                <w:i w:val="0"/>
                <w:color w:val="000000"/>
                <w:sz w:val="17"/>
              </w:rPr>
              <w:t>Deve essere stabile; label non autoritativa.</w:t>
            </w:r>
          </w:p>
        </w:tc>
      </w:tr>
      <w:tr>
        <w:tc>
          <w:tcPr>
            <w:tcW w:type="dxa" w:w="2948"/>
            <w:vAlign w:val="top"/>
            <w:shd w:fill="F8FAFC"/>
          </w:tcPr>
          <w:p>
            <w:pPr>
              <w:spacing w:before="0" w:after="40" w:line="252" w:lineRule="auto"/>
            </w:pPr>
            <w:r>
              <w:rPr>
                <w:rFonts w:ascii="Noto Sans" w:hAnsi="Noto Sans" w:eastAsia="Noto Sans"/>
                <w:b w:val="0"/>
                <w:i w:val="0"/>
                <w:color w:val="000000"/>
                <w:sz w:val="17"/>
              </w:rPr>
              <w:t>Token TTL</w:t>
            </w:r>
          </w:p>
        </w:tc>
        <w:tc>
          <w:tcPr>
            <w:tcW w:type="dxa" w:w="5839"/>
            <w:vAlign w:val="top"/>
            <w:shd w:fill="F8FAFC"/>
          </w:tcPr>
          <w:p>
            <w:pPr>
              <w:spacing w:before="0" w:after="40" w:line="252" w:lineRule="auto"/>
            </w:pPr>
            <w:r>
              <w:rPr>
                <w:rFonts w:ascii="Noto Sans" w:hAnsi="Noto Sans" w:eastAsia="Noto Sans"/>
                <w:b w:val="0"/>
                <w:i w:val="0"/>
                <w:color w:val="000000"/>
                <w:sz w:val="17"/>
              </w:rPr>
              <w:t>Policy IAM; OUF usa freshness prevista.</w:t>
            </w:r>
          </w:p>
        </w:tc>
      </w:tr>
      <w:tr>
        <w:tc>
          <w:tcPr>
            <w:tcW w:type="dxa" w:w="2948"/>
            <w:vAlign w:val="top"/>
          </w:tcPr>
          <w:p>
            <w:pPr>
              <w:spacing w:before="0" w:after="40" w:line="252" w:lineRule="auto"/>
            </w:pPr>
            <w:r>
              <w:rPr>
                <w:rFonts w:ascii="Noto Sans" w:hAnsi="Noto Sans" w:eastAsia="Noto Sans"/>
                <w:b w:val="0"/>
                <w:i w:val="0"/>
                <w:color w:val="000000"/>
                <w:sz w:val="17"/>
              </w:rPr>
              <w:t>Step-up mechanism</w:t>
            </w:r>
          </w:p>
        </w:tc>
        <w:tc>
          <w:tcPr>
            <w:tcW w:type="dxa" w:w="5839"/>
            <w:vAlign w:val="top"/>
          </w:tcPr>
          <w:p>
            <w:pPr>
              <w:spacing w:before="0" w:after="40" w:line="252" w:lineRule="auto"/>
            </w:pPr>
            <w:r>
              <w:rPr>
                <w:rFonts w:ascii="Noto Sans" w:hAnsi="Noto Sans" w:eastAsia="Noto Sans"/>
                <w:b w:val="0"/>
                <w:i w:val="0"/>
                <w:color w:val="000000"/>
                <w:sz w:val="17"/>
              </w:rPr>
              <w:t>IAM centrale; OUF verifica assurance result.</w:t>
            </w:r>
          </w:p>
        </w:tc>
      </w:tr>
      <w:tr>
        <w:tc>
          <w:tcPr>
            <w:tcW w:type="dxa" w:w="2948"/>
            <w:vAlign w:val="top"/>
            <w:shd w:fill="F8FAFC"/>
          </w:tcPr>
          <w:p>
            <w:pPr>
              <w:spacing w:before="0" w:after="40" w:line="252" w:lineRule="auto"/>
            </w:pPr>
            <w:r>
              <w:rPr>
                <w:rFonts w:ascii="Noto Sans" w:hAnsi="Noto Sans" w:eastAsia="Noto Sans"/>
                <w:b w:val="0"/>
                <w:i w:val="0"/>
                <w:color w:val="000000"/>
                <w:sz w:val="17"/>
              </w:rPr>
              <w:t>Directory API</w:t>
            </w:r>
          </w:p>
        </w:tc>
        <w:tc>
          <w:tcPr>
            <w:tcW w:type="dxa" w:w="5839"/>
            <w:vAlign w:val="top"/>
            <w:shd w:fill="F8FAFC"/>
          </w:tcPr>
          <w:p>
            <w:pPr>
              <w:spacing w:before="0" w:after="40" w:line="252" w:lineRule="auto"/>
            </w:pPr>
            <w:r>
              <w:rPr>
                <w:rFonts w:ascii="Noto Sans" w:hAnsi="Noto Sans" w:eastAsia="Noto Sans"/>
                <w:b w:val="0"/>
                <w:i w:val="0"/>
                <w:color w:val="000000"/>
                <w:sz w:val="17"/>
              </w:rPr>
              <w:t>Opzionale; claim-first.</w:t>
            </w:r>
          </w:p>
        </w:tc>
      </w:tr>
      <w:tr>
        <w:tc>
          <w:tcPr>
            <w:tcW w:type="dxa" w:w="2948"/>
            <w:vAlign w:val="top"/>
          </w:tcPr>
          <w:p>
            <w:pPr>
              <w:spacing w:before="0" w:after="40" w:line="252" w:lineRule="auto"/>
            </w:pPr>
            <w:r>
              <w:rPr>
                <w:rFonts w:ascii="Noto Sans" w:hAnsi="Noto Sans" w:eastAsia="Noto Sans"/>
                <w:b w:val="0"/>
                <w:i w:val="0"/>
                <w:color w:val="000000"/>
                <w:sz w:val="17"/>
              </w:rPr>
              <w:t>Break-glass role</w:t>
            </w:r>
          </w:p>
        </w:tc>
        <w:tc>
          <w:tcPr>
            <w:tcW w:type="dxa" w:w="5839"/>
            <w:vAlign w:val="top"/>
          </w:tcPr>
          <w:p>
            <w:pPr>
              <w:spacing w:before="0" w:after="40" w:line="252" w:lineRule="auto"/>
            </w:pPr>
            <w:r>
              <w:rPr>
                <w:rFonts w:ascii="Noto Sans" w:hAnsi="Noto Sans" w:eastAsia="Noto Sans"/>
                <w:b w:val="0"/>
                <w:i w:val="0"/>
                <w:color w:val="000000"/>
                <w:sz w:val="17"/>
              </w:rPr>
              <w:t>Governato IAM; OUF assegna capability limitate.</w:t>
            </w:r>
          </w:p>
        </w:tc>
      </w:tr>
      <w:tr>
        <w:tc>
          <w:tcPr>
            <w:tcW w:type="dxa" w:w="2948"/>
            <w:vAlign w:val="top"/>
            <w:shd w:fill="F8FAFC"/>
          </w:tcPr>
          <w:p>
            <w:pPr>
              <w:spacing w:before="0" w:after="40" w:line="252" w:lineRule="auto"/>
            </w:pPr>
            <w:r>
              <w:rPr>
                <w:rFonts w:ascii="Noto Sans" w:hAnsi="Noto Sans" w:eastAsia="Noto Sans"/>
                <w:b w:val="0"/>
                <w:i w:val="0"/>
                <w:color w:val="000000"/>
                <w:sz w:val="17"/>
              </w:rPr>
              <w:t>Ruoli comunali iniziali</w:t>
            </w:r>
          </w:p>
        </w:tc>
        <w:tc>
          <w:tcPr>
            <w:tcW w:type="dxa" w:w="5839"/>
            <w:vAlign w:val="top"/>
            <w:shd w:fill="F8FAFC"/>
          </w:tcPr>
          <w:p>
            <w:pPr>
              <w:spacing w:before="0" w:after="40" w:line="252" w:lineRule="auto"/>
            </w:pPr>
            <w:r>
              <w:rPr>
                <w:rFonts w:ascii="Noto Sans" w:hAnsi="Noto Sans" w:eastAsia="Noto Sans"/>
                <w:b w:val="0"/>
                <w:i w:val="0"/>
                <w:color w:val="000000"/>
                <w:sz w:val="17"/>
              </w:rPr>
              <w:t>Da mappare nel bootstrap policy senza hardcoding applicativo.</w:t>
            </w:r>
          </w:p>
        </w:tc>
      </w:tr>
      <w:tr>
        <w:tc>
          <w:tcPr>
            <w:tcW w:type="dxa" w:w="2948"/>
          </w:tcPr>
          <w:p>
            <w:r>
              <w:rPr>
                <w:rFonts w:ascii="Noto Sans" w:hAnsi="Noto Sans" w:eastAsia="Noto Sans"/>
                <w:sz w:val="17"/>
              </w:rPr>
              <w:t>M2M authority scenario</w:t>
            </w:r>
          </w:p>
        </w:tc>
        <w:tc>
          <w:tcPr>
            <w:tcW w:type="dxa" w:w="5839"/>
          </w:tcPr>
          <w:p>
            <w:r>
              <w:rPr>
                <w:rFonts w:ascii="Noto Sans" w:hAnsi="Noto Sans" w:eastAsia="Noto Sans"/>
                <w:sz w:val="17"/>
              </w:rPr>
              <w:t>A/B/C da scegliere dopo verifica EVO; issuer/realm tecnico configurabile senza cambiare policy model.</w:t>
            </w:r>
          </w:p>
        </w:tc>
      </w:tr>
      <w:tr>
        <w:tc>
          <w:tcPr>
            <w:tcW w:type="dxa" w:w="2948"/>
          </w:tcPr>
          <w:p>
            <w:r>
              <w:rPr>
                <w:rFonts w:ascii="Noto Sans" w:hAnsi="Noto Sans" w:eastAsia="Noto Sans"/>
                <w:sz w:val="17"/>
              </w:rPr>
              <w:t>M2M credential mode</w:t>
            </w:r>
          </w:p>
        </w:tc>
        <w:tc>
          <w:tcPr>
            <w:tcW w:type="dxa" w:w="5839"/>
          </w:tcPr>
          <w:p>
            <w:r>
              <w:rPr>
                <w:rFonts w:ascii="Noto Sans" w:hAnsi="Noto Sans" w:eastAsia="Noto Sans"/>
                <w:sz w:val="17"/>
              </w:rPr>
              <w:t>Client Credentials, workload identity e/o mTLS; secret mai nel DB OUF, solo secretRef quando necessario.</w:t>
            </w:r>
          </w:p>
        </w:tc>
      </w:tr>
    </w:tbl>
    <w:p>
      <w:pPr>
        <w:spacing w:after="40"/>
      </w:pPr>
    </w:p>
    <w:p>
      <w:r>
        <w:rPr>
          <w:rFonts w:ascii="Noto Sans" w:hAnsi="Noto Sans" w:eastAsia="Noto Sans"/>
        </w:rPr>
      </w:r>
    </w:p>
    <w:p>
      <w:pPr>
        <w:pStyle w:val="Heading1"/>
        <w:keepNext/>
      </w:pPr>
      <w:r>
        <w:rPr>
          <w:rFonts w:ascii="Noto Sans" w:hAnsi="Noto Sans" w:eastAsia="Noto Sans"/>
        </w:rPr>
        <w:t>34. Security conformance matrix</w:t>
      </w:r>
    </w:p>
    <w:tbl>
      <w:tblPr>
        <w:tblStyle w:val="TableGrid"/>
        <w:tblW w:type="auto" w:w="0"/>
        <w:jc w:val="center"/>
        <w:tblLayout w:type="fixed"/>
        <w:tblLook w:firstColumn="1" w:firstRow="1" w:lastColumn="0" w:lastRow="0" w:noHBand="0" w:noVBand="1" w:val="04A0"/>
      </w:tblPr>
      <w:tblGrid>
        <w:gridCol w:w="1587"/>
        <w:gridCol w:w="3402"/>
        <w:gridCol w:w="4082"/>
      </w:tblGrid>
      <w:tr>
        <w:trPr>
          <w:tblHeader w:val="true"/>
          <w:tblHeader w:val="true"/>
        </w:trPr>
        <w:tc>
          <w:tcPr>
            <w:tcW w:type="dxa" w:w="3135"/>
            <w:shd w:fill="0B4F6C"/>
            <w:vAlign w:val="center"/>
          </w:tcPr>
          <w:p>
            <w:pPr>
              <w:spacing w:before="0" w:after="40" w:line="240" w:lineRule="auto"/>
              <w:jc w:val="left"/>
            </w:pPr>
            <w:r>
              <w:rPr>
                <w:rFonts w:ascii="Noto Sans" w:hAnsi="Noto Sans" w:eastAsia="Noto Sans"/>
                <w:b/>
                <w:i w:val="0"/>
                <w:color w:val="FFFFFF"/>
                <w:sz w:val="17"/>
              </w:rPr>
              <w:t>ID</w:t>
            </w:r>
          </w:p>
        </w:tc>
        <w:tc>
          <w:tcPr>
            <w:tcW w:type="dxa" w:w="3135"/>
            <w:shd w:fill="0B4F6C"/>
            <w:vAlign w:val="center"/>
          </w:tcPr>
          <w:p>
            <w:pPr>
              <w:spacing w:before="0" w:after="40" w:line="240" w:lineRule="auto"/>
              <w:jc w:val="left"/>
            </w:pPr>
            <w:r>
              <w:rPr>
                <w:rFonts w:ascii="Noto Sans" w:hAnsi="Noto Sans" w:eastAsia="Noto Sans"/>
                <w:b/>
                <w:i w:val="0"/>
                <w:color w:val="FFFFFF"/>
                <w:sz w:val="17"/>
              </w:rPr>
              <w:t>Controllo</w:t>
            </w:r>
          </w:p>
        </w:tc>
        <w:tc>
          <w:tcPr>
            <w:tcW w:type="dxa" w:w="3135"/>
            <w:shd w:fill="0B4F6C"/>
            <w:vAlign w:val="center"/>
          </w:tcPr>
          <w:p>
            <w:pPr>
              <w:spacing w:before="0" w:after="40" w:line="240" w:lineRule="auto"/>
              <w:jc w:val="left"/>
            </w:pPr>
            <w:r>
              <w:rPr>
                <w:rFonts w:ascii="Noto Sans" w:hAnsi="Noto Sans" w:eastAsia="Noto Sans"/>
                <w:b/>
                <w:i w:val="0"/>
                <w:color w:val="FFFFFF"/>
                <w:sz w:val="17"/>
              </w:rPr>
              <w:t>Esito</w:t>
            </w:r>
          </w:p>
        </w:tc>
      </w:tr>
      <w:tr>
        <w:tc>
          <w:tcPr>
            <w:tcW w:type="dxa" w:w="1587"/>
            <w:vAlign w:val="top"/>
            <w:shd w:fill="F8FAFC"/>
          </w:tcPr>
          <w:p>
            <w:pPr>
              <w:spacing w:before="0" w:after="40" w:line="252" w:lineRule="auto"/>
            </w:pPr>
            <w:r>
              <w:rPr>
                <w:rFonts w:ascii="Noto Sans" w:hAnsi="Noto Sans" w:eastAsia="Noto Sans"/>
                <w:b w:val="0"/>
                <w:i w:val="0"/>
                <w:color w:val="000000"/>
                <w:sz w:val="17"/>
              </w:rPr>
              <w:t>SEC-AUTH-01</w:t>
            </w:r>
          </w:p>
        </w:tc>
        <w:tc>
          <w:tcPr>
            <w:tcW w:type="dxa" w:w="3402"/>
            <w:vAlign w:val="top"/>
            <w:shd w:fill="F8FAFC"/>
          </w:tcPr>
          <w:p>
            <w:pPr>
              <w:spacing w:before="0" w:after="40" w:line="252" w:lineRule="auto"/>
            </w:pPr>
            <w:r>
              <w:rPr>
                <w:rFonts w:ascii="Noto Sans" w:hAnsi="Noto Sans" w:eastAsia="Noto Sans"/>
                <w:b w:val="0"/>
                <w:i w:val="0"/>
                <w:color w:val="000000"/>
                <w:sz w:val="17"/>
              </w:rPr>
              <w:t>JWT con firma invalida</w:t>
            </w:r>
          </w:p>
        </w:tc>
        <w:tc>
          <w:tcPr>
            <w:tcW w:type="dxa" w:w="4082"/>
            <w:vAlign w:val="top"/>
            <w:shd w:fill="F8FAFC"/>
          </w:tcPr>
          <w:p>
            <w:pPr>
              <w:spacing w:before="0" w:after="40" w:line="252" w:lineRule="auto"/>
            </w:pPr>
            <w:r>
              <w:rPr>
                <w:rFonts w:ascii="Noto Sans" w:hAnsi="Noto Sans" w:eastAsia="Noto Sans"/>
                <w:b w:val="0"/>
                <w:i w:val="0"/>
                <w:color w:val="000000"/>
                <w:sz w:val="17"/>
              </w:rPr>
              <w:t>401; nessuna evaluation.</w:t>
            </w:r>
          </w:p>
        </w:tc>
      </w:tr>
      <w:tr>
        <w:tc>
          <w:tcPr>
            <w:tcW w:type="dxa" w:w="1587"/>
            <w:vAlign w:val="top"/>
          </w:tcPr>
          <w:p>
            <w:pPr>
              <w:spacing w:before="0" w:after="40" w:line="252" w:lineRule="auto"/>
            </w:pPr>
            <w:r>
              <w:rPr>
                <w:rFonts w:ascii="Noto Sans" w:hAnsi="Noto Sans" w:eastAsia="Noto Sans"/>
                <w:b w:val="0"/>
                <w:i w:val="0"/>
                <w:color w:val="000000"/>
                <w:sz w:val="17"/>
              </w:rPr>
              <w:t>SEC-AUTH-02</w:t>
            </w:r>
          </w:p>
        </w:tc>
        <w:tc>
          <w:tcPr>
            <w:tcW w:type="dxa" w:w="3402"/>
            <w:vAlign w:val="top"/>
          </w:tcPr>
          <w:p>
            <w:pPr>
              <w:spacing w:before="0" w:after="40" w:line="252" w:lineRule="auto"/>
            </w:pPr>
            <w:r>
              <w:rPr>
                <w:rFonts w:ascii="Noto Sans" w:hAnsi="Noto Sans" w:eastAsia="Noto Sans"/>
                <w:b w:val="0"/>
                <w:i w:val="0"/>
                <w:color w:val="000000"/>
                <w:sz w:val="17"/>
              </w:rPr>
              <w:t>Audience errata</w:t>
            </w:r>
          </w:p>
        </w:tc>
        <w:tc>
          <w:tcPr>
            <w:tcW w:type="dxa" w:w="4082"/>
            <w:vAlign w:val="top"/>
          </w:tcPr>
          <w:p>
            <w:pPr>
              <w:spacing w:before="0" w:after="40" w:line="252" w:lineRule="auto"/>
            </w:pPr>
            <w:r>
              <w:rPr>
                <w:rFonts w:ascii="Noto Sans" w:hAnsi="Noto Sans" w:eastAsia="Noto Sans"/>
                <w:b w:val="0"/>
                <w:i w:val="0"/>
                <w:color w:val="000000"/>
                <w:sz w:val="17"/>
              </w:rPr>
              <w:t>401.</w:t>
            </w:r>
          </w:p>
        </w:tc>
      </w:tr>
      <w:tr>
        <w:tc>
          <w:tcPr>
            <w:tcW w:type="dxa" w:w="1587"/>
            <w:vAlign w:val="top"/>
            <w:shd w:fill="F8FAFC"/>
          </w:tcPr>
          <w:p>
            <w:pPr>
              <w:spacing w:before="0" w:after="40" w:line="252" w:lineRule="auto"/>
            </w:pPr>
            <w:r>
              <w:rPr>
                <w:rFonts w:ascii="Noto Sans" w:hAnsi="Noto Sans" w:eastAsia="Noto Sans"/>
                <w:b w:val="0"/>
                <w:i w:val="0"/>
                <w:color w:val="000000"/>
                <w:sz w:val="17"/>
              </w:rPr>
              <w:t>SEC-AUTH-03</w:t>
            </w:r>
          </w:p>
        </w:tc>
        <w:tc>
          <w:tcPr>
            <w:tcW w:type="dxa" w:w="3402"/>
            <w:vAlign w:val="top"/>
            <w:shd w:fill="F8FAFC"/>
          </w:tcPr>
          <w:p>
            <w:pPr>
              <w:spacing w:before="0" w:after="40" w:line="252" w:lineRule="auto"/>
            </w:pPr>
            <w:r>
              <w:rPr>
                <w:rFonts w:ascii="Noto Sans" w:hAnsi="Noto Sans" w:eastAsia="Noto Sans"/>
                <w:b w:val="0"/>
                <w:i w:val="0"/>
                <w:color w:val="000000"/>
                <w:sz w:val="17"/>
              </w:rPr>
              <w:t>Token scaduto</w:t>
            </w:r>
          </w:p>
        </w:tc>
        <w:tc>
          <w:tcPr>
            <w:tcW w:type="dxa" w:w="4082"/>
            <w:vAlign w:val="top"/>
            <w:shd w:fill="F8FAFC"/>
          </w:tcPr>
          <w:p>
            <w:pPr>
              <w:spacing w:before="0" w:after="40" w:line="252" w:lineRule="auto"/>
            </w:pPr>
            <w:r>
              <w:rPr>
                <w:rFonts w:ascii="Noto Sans" w:hAnsi="Noto Sans" w:eastAsia="Noto Sans"/>
                <w:b w:val="0"/>
                <w:i w:val="0"/>
                <w:color w:val="000000"/>
                <w:sz w:val="17"/>
              </w:rPr>
              <w:t>401.</w:t>
            </w:r>
          </w:p>
        </w:tc>
      </w:tr>
      <w:tr>
        <w:tc>
          <w:tcPr>
            <w:tcW w:type="dxa" w:w="1587"/>
            <w:vAlign w:val="top"/>
          </w:tcPr>
          <w:p>
            <w:pPr>
              <w:spacing w:before="0" w:after="40" w:line="252" w:lineRule="auto"/>
            </w:pPr>
            <w:r>
              <w:rPr>
                <w:rFonts w:ascii="Noto Sans" w:hAnsi="Noto Sans" w:eastAsia="Noto Sans"/>
                <w:b w:val="0"/>
                <w:i w:val="0"/>
                <w:color w:val="000000"/>
                <w:sz w:val="17"/>
              </w:rPr>
              <w:t>SEC-AUTH-04</w:t>
            </w:r>
          </w:p>
        </w:tc>
        <w:tc>
          <w:tcPr>
            <w:tcW w:type="dxa" w:w="3402"/>
            <w:vAlign w:val="top"/>
          </w:tcPr>
          <w:p>
            <w:pPr>
              <w:spacing w:before="0" w:after="40" w:line="252" w:lineRule="auto"/>
            </w:pPr>
            <w:r>
              <w:rPr>
                <w:rFonts w:ascii="Noto Sans" w:hAnsi="Noto Sans" w:eastAsia="Noto Sans"/>
                <w:b w:val="0"/>
                <w:i w:val="0"/>
                <w:color w:val="000000"/>
                <w:sz w:val="17"/>
              </w:rPr>
              <w:t>Role claim forged nel body</w:t>
            </w:r>
          </w:p>
        </w:tc>
        <w:tc>
          <w:tcPr>
            <w:tcW w:type="dxa" w:w="4082"/>
            <w:vAlign w:val="top"/>
          </w:tcPr>
          <w:p>
            <w:pPr>
              <w:spacing w:before="0" w:after="40" w:line="252" w:lineRule="auto"/>
            </w:pPr>
            <w:r>
              <w:rPr>
                <w:rFonts w:ascii="Noto Sans" w:hAnsi="Noto Sans" w:eastAsia="Noto Sans"/>
                <w:b w:val="0"/>
                <w:i w:val="0"/>
                <w:color w:val="000000"/>
                <w:sz w:val="17"/>
              </w:rPr>
              <w:t>Ignorato; decisione invariata.</w:t>
            </w:r>
          </w:p>
        </w:tc>
      </w:tr>
      <w:tr>
        <w:tc>
          <w:tcPr>
            <w:tcW w:type="dxa" w:w="1587"/>
            <w:vAlign w:val="top"/>
            <w:shd w:fill="F8FAFC"/>
          </w:tcPr>
          <w:p>
            <w:pPr>
              <w:spacing w:before="0" w:after="40" w:line="252" w:lineRule="auto"/>
            </w:pPr>
            <w:r>
              <w:rPr>
                <w:rFonts w:ascii="Noto Sans" w:hAnsi="Noto Sans" w:eastAsia="Noto Sans"/>
                <w:b w:val="0"/>
                <w:i w:val="0"/>
                <w:color w:val="000000"/>
                <w:sz w:val="17"/>
              </w:rPr>
              <w:t>SEC-AUTH-05</w:t>
            </w:r>
          </w:p>
        </w:tc>
        <w:tc>
          <w:tcPr>
            <w:tcW w:type="dxa" w:w="3402"/>
            <w:vAlign w:val="top"/>
            <w:shd w:fill="F8FAFC"/>
          </w:tcPr>
          <w:p>
            <w:pPr>
              <w:spacing w:before="0" w:after="40" w:line="252" w:lineRule="auto"/>
            </w:pPr>
            <w:r>
              <w:rPr>
                <w:rFonts w:ascii="Noto Sans" w:hAnsi="Noto Sans" w:eastAsia="Noto Sans"/>
                <w:b w:val="0"/>
                <w:i w:val="0"/>
                <w:color w:val="000000"/>
                <w:sz w:val="17"/>
              </w:rPr>
              <w:t>AI_AGENT con ruolo umano nel payload</w:t>
            </w:r>
          </w:p>
        </w:tc>
        <w:tc>
          <w:tcPr>
            <w:tcW w:type="dxa" w:w="4082"/>
            <w:vAlign w:val="top"/>
            <w:shd w:fill="F8FAFC"/>
          </w:tcPr>
          <w:p>
            <w:pPr>
              <w:spacing w:before="0" w:after="40" w:line="252" w:lineRule="auto"/>
            </w:pPr>
            <w:r>
              <w:rPr>
                <w:rFonts w:ascii="Noto Sans" w:hAnsi="Noto Sans" w:eastAsia="Noto Sans"/>
                <w:b w:val="0"/>
                <w:i w:val="0"/>
                <w:color w:val="000000"/>
                <w:sz w:val="17"/>
              </w:rPr>
              <w:t>403 human required.</w:t>
            </w:r>
          </w:p>
        </w:tc>
      </w:tr>
      <w:tr>
        <w:tc>
          <w:tcPr>
            <w:tcW w:type="dxa" w:w="1587"/>
            <w:vAlign w:val="top"/>
          </w:tcPr>
          <w:p>
            <w:pPr>
              <w:spacing w:before="0" w:after="40" w:line="252" w:lineRule="auto"/>
            </w:pPr>
            <w:r>
              <w:rPr>
                <w:rFonts w:ascii="Noto Sans" w:hAnsi="Noto Sans" w:eastAsia="Noto Sans"/>
                <w:b w:val="0"/>
                <w:i w:val="0"/>
                <w:color w:val="000000"/>
                <w:sz w:val="17"/>
              </w:rPr>
              <w:t>SEC-AUTH-06</w:t>
            </w:r>
          </w:p>
        </w:tc>
        <w:tc>
          <w:tcPr>
            <w:tcW w:type="dxa" w:w="3402"/>
            <w:vAlign w:val="top"/>
          </w:tcPr>
          <w:p>
            <w:pPr>
              <w:spacing w:before="0" w:after="40" w:line="252" w:lineRule="auto"/>
            </w:pPr>
            <w:r>
              <w:rPr>
                <w:rFonts w:ascii="Noto Sans" w:hAnsi="Noto Sans" w:eastAsia="Noto Sans"/>
                <w:b w:val="0"/>
                <w:i w:val="0"/>
                <w:color w:val="000000"/>
                <w:sz w:val="17"/>
              </w:rPr>
              <w:t>Service token su publish</w:t>
            </w:r>
          </w:p>
        </w:tc>
        <w:tc>
          <w:tcPr>
            <w:tcW w:type="dxa" w:w="4082"/>
            <w:vAlign w:val="top"/>
          </w:tcPr>
          <w:p>
            <w:pPr>
              <w:spacing w:before="0" w:after="40" w:line="252" w:lineRule="auto"/>
            </w:pPr>
            <w:r>
              <w:rPr>
                <w:rFonts w:ascii="Noto Sans" w:hAnsi="Noto Sans" w:eastAsia="Noto Sans"/>
                <w:b w:val="0"/>
                <w:i w:val="0"/>
                <w:color w:val="000000"/>
                <w:sz w:val="17"/>
              </w:rPr>
              <w:t>403.</w:t>
            </w:r>
          </w:p>
        </w:tc>
      </w:tr>
      <w:tr>
        <w:tc>
          <w:tcPr>
            <w:tcW w:type="dxa" w:w="1587"/>
            <w:vAlign w:val="top"/>
            <w:shd w:fill="F8FAFC"/>
          </w:tcPr>
          <w:p>
            <w:pPr>
              <w:spacing w:before="0" w:after="40" w:line="252" w:lineRule="auto"/>
            </w:pPr>
            <w:r>
              <w:rPr>
                <w:rFonts w:ascii="Noto Sans" w:hAnsi="Noto Sans" w:eastAsia="Noto Sans"/>
                <w:b w:val="0"/>
                <w:i w:val="0"/>
                <w:color w:val="000000"/>
                <w:sz w:val="17"/>
              </w:rPr>
              <w:t>SEC-AUTH-07</w:t>
            </w:r>
          </w:p>
        </w:tc>
        <w:tc>
          <w:tcPr>
            <w:tcW w:type="dxa" w:w="3402"/>
            <w:vAlign w:val="top"/>
            <w:shd w:fill="F8FAFC"/>
          </w:tcPr>
          <w:p>
            <w:pPr>
              <w:spacing w:before="0" w:after="40" w:line="252" w:lineRule="auto"/>
            </w:pPr>
            <w:r>
              <w:rPr>
                <w:rFonts w:ascii="Noto Sans" w:hAnsi="Noto Sans" w:eastAsia="Noto Sans"/>
                <w:b w:val="0"/>
                <w:i w:val="0"/>
                <w:color w:val="000000"/>
                <w:sz w:val="17"/>
              </w:rPr>
              <w:t>Bundle alterato/hash mismatch</w:t>
            </w:r>
          </w:p>
        </w:tc>
        <w:tc>
          <w:tcPr>
            <w:tcW w:type="dxa" w:w="4082"/>
            <w:vAlign w:val="top"/>
            <w:shd w:fill="F8FAFC"/>
          </w:tcPr>
          <w:p>
            <w:pPr>
              <w:spacing w:before="0" w:after="40" w:line="252" w:lineRule="auto"/>
            </w:pPr>
            <w:r>
              <w:rPr>
                <w:rFonts w:ascii="Noto Sans" w:hAnsi="Noto Sans" w:eastAsia="Noto Sans"/>
                <w:b w:val="0"/>
                <w:i w:val="0"/>
                <w:color w:val="000000"/>
                <w:sz w:val="17"/>
              </w:rPr>
              <w:t>Rifiutato; last-known-good mantenuto.</w:t>
            </w:r>
          </w:p>
        </w:tc>
      </w:tr>
      <w:tr>
        <w:tc>
          <w:tcPr>
            <w:tcW w:type="dxa" w:w="1587"/>
            <w:vAlign w:val="top"/>
          </w:tcPr>
          <w:p>
            <w:pPr>
              <w:spacing w:before="0" w:after="40" w:line="252" w:lineRule="auto"/>
            </w:pPr>
            <w:r>
              <w:rPr>
                <w:rFonts w:ascii="Noto Sans" w:hAnsi="Noto Sans" w:eastAsia="Noto Sans"/>
                <w:b w:val="0"/>
                <w:i w:val="0"/>
                <w:color w:val="000000"/>
                <w:sz w:val="17"/>
              </w:rPr>
              <w:t>SEC-AUTH-08</w:t>
            </w:r>
          </w:p>
        </w:tc>
        <w:tc>
          <w:tcPr>
            <w:tcW w:type="dxa" w:w="3402"/>
            <w:vAlign w:val="top"/>
          </w:tcPr>
          <w:p>
            <w:pPr>
              <w:spacing w:before="0" w:after="40" w:line="252" w:lineRule="auto"/>
            </w:pPr>
            <w:r>
              <w:rPr>
                <w:rFonts w:ascii="Noto Sans" w:hAnsi="Noto Sans" w:eastAsia="Noto Sans"/>
                <w:b w:val="0"/>
                <w:i w:val="0"/>
                <w:color w:val="000000"/>
                <w:sz w:val="17"/>
              </w:rPr>
              <w:t>Policy self-escalation con SoD</w:t>
            </w:r>
          </w:p>
        </w:tc>
        <w:tc>
          <w:tcPr>
            <w:tcW w:type="dxa" w:w="4082"/>
            <w:vAlign w:val="top"/>
          </w:tcPr>
          <w:p>
            <w:pPr>
              <w:spacing w:before="0" w:after="40" w:line="252" w:lineRule="auto"/>
            </w:pPr>
            <w:r>
              <w:rPr>
                <w:rFonts w:ascii="Noto Sans" w:hAnsi="Noto Sans" w:eastAsia="Noto Sans"/>
                <w:b w:val="0"/>
                <w:i w:val="0"/>
                <w:color w:val="000000"/>
                <w:sz w:val="17"/>
              </w:rPr>
              <w:t>Bloccata o richiede approvatore distinto.</w:t>
            </w:r>
          </w:p>
        </w:tc>
      </w:tr>
      <w:tr>
        <w:tc>
          <w:tcPr>
            <w:tcW w:type="dxa" w:w="1587"/>
            <w:vAlign w:val="top"/>
            <w:shd w:fill="F8FAFC"/>
          </w:tcPr>
          <w:p>
            <w:pPr>
              <w:spacing w:before="0" w:after="40" w:line="252" w:lineRule="auto"/>
            </w:pPr>
            <w:r>
              <w:rPr>
                <w:rFonts w:ascii="Noto Sans" w:hAnsi="Noto Sans" w:eastAsia="Noto Sans"/>
                <w:b w:val="0"/>
                <w:i w:val="0"/>
                <w:color w:val="000000"/>
                <w:sz w:val="17"/>
              </w:rPr>
              <w:t>SEC-AUTH-09</w:t>
            </w:r>
          </w:p>
        </w:tc>
        <w:tc>
          <w:tcPr>
            <w:tcW w:type="dxa" w:w="3402"/>
            <w:vAlign w:val="top"/>
            <w:shd w:fill="F8FAFC"/>
          </w:tcPr>
          <w:p>
            <w:pPr>
              <w:spacing w:before="0" w:after="40" w:line="252" w:lineRule="auto"/>
            </w:pPr>
            <w:r>
              <w:rPr>
                <w:rFonts w:ascii="Noto Sans" w:hAnsi="Noto Sans" w:eastAsia="Noto Sans"/>
                <w:b w:val="0"/>
                <w:i w:val="0"/>
                <w:color w:val="000000"/>
                <w:sz w:val="17"/>
              </w:rPr>
              <w:t>Raw token nei log</w:t>
            </w:r>
          </w:p>
        </w:tc>
        <w:tc>
          <w:tcPr>
            <w:tcW w:type="dxa" w:w="4082"/>
            <w:vAlign w:val="top"/>
            <w:shd w:fill="F8FAFC"/>
          </w:tcPr>
          <w:p>
            <w:pPr>
              <w:spacing w:before="0" w:after="40" w:line="252" w:lineRule="auto"/>
            </w:pPr>
            <w:r>
              <w:rPr>
                <w:rFonts w:ascii="Noto Sans" w:hAnsi="Noto Sans" w:eastAsia="Noto Sans"/>
                <w:b w:val="0"/>
                <w:i w:val="0"/>
                <w:color w:val="000000"/>
                <w:sz w:val="17"/>
              </w:rPr>
              <w:t>Assente.</w:t>
            </w:r>
          </w:p>
        </w:tc>
      </w:tr>
      <w:tr>
        <w:tc>
          <w:tcPr>
            <w:tcW w:type="dxa" w:w="1587"/>
            <w:vAlign w:val="top"/>
          </w:tcPr>
          <w:p>
            <w:pPr>
              <w:spacing w:before="0" w:after="40" w:line="252" w:lineRule="auto"/>
            </w:pPr>
            <w:r>
              <w:rPr>
                <w:rFonts w:ascii="Noto Sans" w:hAnsi="Noto Sans" w:eastAsia="Noto Sans"/>
                <w:b w:val="0"/>
                <w:i w:val="0"/>
                <w:color w:val="000000"/>
                <w:sz w:val="17"/>
              </w:rPr>
              <w:t>SEC-AUTH-10</w:t>
            </w:r>
          </w:p>
        </w:tc>
        <w:tc>
          <w:tcPr>
            <w:tcW w:type="dxa" w:w="3402"/>
            <w:vAlign w:val="top"/>
          </w:tcPr>
          <w:p>
            <w:pPr>
              <w:spacing w:before="0" w:after="40" w:line="252" w:lineRule="auto"/>
            </w:pPr>
            <w:r>
              <w:rPr>
                <w:rFonts w:ascii="Noto Sans" w:hAnsi="Noto Sans" w:eastAsia="Noto Sans"/>
                <w:b w:val="0"/>
                <w:i w:val="0"/>
                <w:color w:val="000000"/>
                <w:sz w:val="17"/>
              </w:rPr>
              <w:t>IAM directory response stale oltre TTL</w:t>
            </w:r>
          </w:p>
        </w:tc>
        <w:tc>
          <w:tcPr>
            <w:tcW w:type="dxa" w:w="4082"/>
            <w:vAlign w:val="top"/>
          </w:tcPr>
          <w:p>
            <w:pPr>
              <w:spacing w:before="0" w:after="40" w:line="252" w:lineRule="auto"/>
            </w:pPr>
            <w:r>
              <w:rPr>
                <w:rFonts w:ascii="Noto Sans" w:hAnsi="Noto Sans" w:eastAsia="Noto Sans"/>
                <w:b w:val="0"/>
                <w:i w:val="0"/>
                <w:color w:val="000000"/>
                <w:sz w:val="17"/>
              </w:rPr>
              <w:t>Non usata; lookup/deny.</w:t>
            </w:r>
          </w:p>
        </w:tc>
      </w:tr>
      <w:tr>
        <w:tc>
          <w:tcPr>
            <w:tcW w:type="dxa" w:w="1587"/>
            <w:vAlign w:val="top"/>
            <w:shd w:fill="F8FAFC"/>
          </w:tcPr>
          <w:p>
            <w:pPr>
              <w:spacing w:before="0" w:after="40" w:line="252" w:lineRule="auto"/>
            </w:pPr>
            <w:r>
              <w:rPr>
                <w:rFonts w:ascii="Noto Sans" w:hAnsi="Noto Sans" w:eastAsia="Noto Sans"/>
                <w:b w:val="0"/>
                <w:i w:val="0"/>
                <w:color w:val="000000"/>
                <w:sz w:val="17"/>
              </w:rPr>
              <w:t>SEC-AUTH-11</w:t>
            </w:r>
          </w:p>
        </w:tc>
        <w:tc>
          <w:tcPr>
            <w:tcW w:type="dxa" w:w="3402"/>
            <w:vAlign w:val="top"/>
            <w:shd w:fill="F8FAFC"/>
          </w:tcPr>
          <w:p>
            <w:pPr>
              <w:spacing w:before="0" w:after="40" w:line="252" w:lineRule="auto"/>
            </w:pPr>
            <w:r>
              <w:rPr>
                <w:rFonts w:ascii="Noto Sans" w:hAnsi="Noto Sans" w:eastAsia="Noto Sans"/>
                <w:b w:val="0"/>
                <w:i w:val="0"/>
                <w:color w:val="000000"/>
                <w:sz w:val="17"/>
              </w:rPr>
              <w:t>Gateway bypass tentato</w:t>
            </w:r>
          </w:p>
        </w:tc>
        <w:tc>
          <w:tcPr>
            <w:tcW w:type="dxa" w:w="4082"/>
            <w:vAlign w:val="top"/>
            <w:shd w:fill="F8FAFC"/>
          </w:tcPr>
          <w:p>
            <w:pPr>
              <w:spacing w:before="0" w:after="40" w:line="252" w:lineRule="auto"/>
            </w:pPr>
            <w:r>
              <w:rPr>
                <w:rFonts w:ascii="Noto Sans" w:hAnsi="Noto Sans" w:eastAsia="Noto Sans"/>
                <w:b w:val="0"/>
                <w:i w:val="0"/>
                <w:color w:val="000000"/>
                <w:sz w:val="17"/>
              </w:rPr>
              <w:t>Network/Gateway policy impedisce path esterno.</w:t>
            </w:r>
          </w:p>
        </w:tc>
      </w:tr>
      <w:tr>
        <w:tc>
          <w:tcPr>
            <w:tcW w:type="dxa" w:w="1587"/>
            <w:vAlign w:val="top"/>
          </w:tcPr>
          <w:p>
            <w:pPr>
              <w:spacing w:before="0" w:after="40" w:line="252" w:lineRule="auto"/>
            </w:pPr>
            <w:r>
              <w:rPr>
                <w:rFonts w:ascii="Noto Sans" w:hAnsi="Noto Sans" w:eastAsia="Noto Sans"/>
                <w:b w:val="0"/>
                <w:i w:val="0"/>
                <w:color w:val="000000"/>
                <w:sz w:val="17"/>
              </w:rPr>
              <w:t>SEC-AUTH-12</w:t>
            </w:r>
          </w:p>
        </w:tc>
        <w:tc>
          <w:tcPr>
            <w:tcW w:type="dxa" w:w="3402"/>
            <w:vAlign w:val="top"/>
          </w:tcPr>
          <w:p>
            <w:pPr>
              <w:spacing w:before="0" w:after="40" w:line="252" w:lineRule="auto"/>
            </w:pPr>
            <w:r>
              <w:rPr>
                <w:rFonts w:ascii="Noto Sans" w:hAnsi="Noto Sans" w:eastAsia="Noto Sans"/>
                <w:b w:val="0"/>
                <w:i w:val="0"/>
                <w:color w:val="000000"/>
                <w:sz w:val="17"/>
              </w:rPr>
              <w:t>Break-glass use</w:t>
            </w:r>
          </w:p>
        </w:tc>
        <w:tc>
          <w:tcPr>
            <w:tcW w:type="dxa" w:w="4082"/>
            <w:vAlign w:val="top"/>
          </w:tcPr>
          <w:p>
            <w:pPr>
              <w:spacing w:before="0" w:after="40" w:line="252" w:lineRule="auto"/>
            </w:pPr>
            <w:r>
              <w:rPr>
                <w:rFonts w:ascii="Noto Sans" w:hAnsi="Noto Sans" w:eastAsia="Noto Sans"/>
                <w:b w:val="0"/>
                <w:i w:val="0"/>
                <w:color w:val="000000"/>
                <w:sz w:val="17"/>
              </w:rPr>
              <w:t>Audit high severity + reason obbligatorio.</w:t>
            </w:r>
          </w:p>
        </w:tc>
      </w:tr>
      <w:tr>
        <w:tc>
          <w:tcPr>
            <w:tcW w:type="dxa" w:w="1587"/>
          </w:tcPr>
          <w:p>
            <w:r>
              <w:rPr>
                <w:rFonts w:ascii="Noto Sans" w:hAnsi="Noto Sans" w:eastAsia="Noto Sans"/>
                <w:sz w:val="17"/>
              </w:rPr>
              <w:t>SEC-AUTH-13</w:t>
            </w:r>
          </w:p>
        </w:tc>
        <w:tc>
          <w:tcPr>
            <w:tcW w:type="dxa" w:w="3402"/>
          </w:tcPr>
          <w:p>
            <w:r>
              <w:rPr>
                <w:rFonts w:ascii="Noto Sans" w:hAnsi="Noto Sans" w:eastAsia="Noto Sans"/>
                <w:sz w:val="17"/>
              </w:rPr>
              <w:t>Internal call without service identity</w:t>
            </w:r>
          </w:p>
        </w:tc>
        <w:tc>
          <w:tcPr>
            <w:tcW w:type="dxa" w:w="4082"/>
          </w:tcPr>
          <w:p>
            <w:r>
              <w:rPr>
                <w:rFonts w:ascii="Noto Sans" w:hAnsi="Noto Sans" w:eastAsia="Noto Sans"/>
                <w:sz w:val="17"/>
              </w:rPr>
              <w:t>401/403; la provenienza dalla trusted network non attribuisce authority.</w:t>
            </w:r>
          </w:p>
        </w:tc>
      </w:tr>
      <w:tr>
        <w:tc>
          <w:tcPr>
            <w:tcW w:type="dxa" w:w="1587"/>
          </w:tcPr>
          <w:p>
            <w:r>
              <w:rPr>
                <w:rFonts w:ascii="Noto Sans" w:hAnsi="Noto Sans" w:eastAsia="Noto Sans"/>
                <w:sz w:val="17"/>
              </w:rPr>
              <w:t>SEC-AUTH-14</w:t>
            </w:r>
          </w:p>
        </w:tc>
        <w:tc>
          <w:tcPr>
            <w:tcW w:type="dxa" w:w="3402"/>
          </w:tcPr>
          <w:p>
            <w:r>
              <w:rPr>
                <w:rFonts w:ascii="Noto Sans" w:hAnsi="Noto Sans" w:eastAsia="Noto Sans"/>
                <w:sz w:val="17"/>
              </w:rPr>
              <w:t>Service credential in DB/config response</w:t>
            </w:r>
          </w:p>
        </w:tc>
        <w:tc>
          <w:tcPr>
            <w:tcW w:type="dxa" w:w="4082"/>
          </w:tcPr>
          <w:p>
            <w:r>
              <w:rPr>
                <w:rFonts w:ascii="Noto Sans" w:hAnsi="Noto Sans" w:eastAsia="Noto Sans"/>
                <w:sz w:val="17"/>
              </w:rPr>
              <w:t>Assente; solo secretRef o workload identity.</w:t>
            </w:r>
          </w:p>
        </w:tc>
      </w:tr>
    </w:tbl>
    <w:p>
      <w:pPr>
        <w:spacing w:after="40"/>
      </w:pPr>
    </w:p>
    <w:p>
      <w:r>
        <w:rPr>
          <w:rFonts w:ascii="Noto Sans" w:hAnsi="Noto Sans" w:eastAsia="Noto Sans"/>
        </w:rPr>
      </w:r>
    </w:p>
    <w:p>
      <w:pPr>
        <w:pStyle w:val="Heading1"/>
        <w:keepNext/>
      </w:pPr>
      <w:r>
        <w:rPr>
          <w:rFonts w:ascii="Noto Sans" w:hAnsi="Noto Sans" w:eastAsia="Noto Sans"/>
        </w:rPr>
        <w:t>35. Deliverable implementativi</w:t>
      </w:r>
    </w:p>
    <w:p>
      <w:pPr>
        <w:pStyle w:val="ListBullet"/>
        <w:spacing w:before="0" w:after="60" w:line="264" w:lineRule="auto"/>
      </w:pPr>
      <w:r>
        <w:rPr>
          <w:rFonts w:ascii="Noto Sans" w:hAnsi="Noto Sans" w:eastAsia="Noto Sans"/>
          <w:b w:val="0"/>
          <w:i w:val="0"/>
          <w:color w:val="000000"/>
          <w:sz w:val="18"/>
        </w:rPr>
        <w:t>OpenAPI 3.1 /api/authz/v1.</w:t>
      </w:r>
    </w:p>
    <w:p>
      <w:pPr>
        <w:pStyle w:val="ListBullet"/>
        <w:spacing w:before="0" w:after="60" w:line="264" w:lineRule="auto"/>
      </w:pPr>
      <w:r>
        <w:rPr>
          <w:rFonts w:ascii="Noto Sans" w:hAnsi="Noto Sans" w:eastAsia="Noto Sans"/>
          <w:b w:val="0"/>
          <w:i w:val="0"/>
          <w:color w:val="000000"/>
          <w:sz w:val="18"/>
        </w:rPr>
        <w:t>JSON Schema AuthorizationPolicy e AuthorizationPolicyBundle.</w:t>
      </w:r>
    </w:p>
    <w:p>
      <w:pPr>
        <w:pStyle w:val="ListBullet"/>
        <w:spacing w:before="0" w:after="60" w:line="264" w:lineRule="auto"/>
      </w:pPr>
      <w:r>
        <w:rPr>
          <w:rFonts w:ascii="Noto Sans" w:hAnsi="Noto Sans" w:eastAsia="Noto Sans"/>
          <w:b w:val="0"/>
          <w:i w:val="0"/>
          <w:color w:val="000000"/>
          <w:sz w:val="18"/>
        </w:rPr>
        <w:t>Flyway migration schema authz.</w:t>
      </w:r>
    </w:p>
    <w:p>
      <w:pPr>
        <w:pStyle w:val="ListBullet"/>
        <w:spacing w:before="0" w:after="60" w:line="264" w:lineRule="auto"/>
      </w:pPr>
      <w:r>
        <w:rPr>
          <w:rFonts w:ascii="Noto Sans" w:hAnsi="Noto Sans" w:eastAsia="Noto Sans"/>
          <w:b w:val="0"/>
          <w:i w:val="0"/>
          <w:color w:val="000000"/>
          <w:sz w:val="18"/>
        </w:rPr>
        <w:t>Authorization SDK/shared library con test.</w:t>
      </w:r>
    </w:p>
    <w:p>
      <w:pPr>
        <w:pStyle w:val="ListBullet"/>
        <w:spacing w:before="0" w:after="60" w:line="264" w:lineRule="auto"/>
      </w:pPr>
      <w:r>
        <w:rPr>
          <w:rFonts w:ascii="Noto Sans" w:hAnsi="Noto Sans" w:eastAsia="Noto Sans"/>
        </w:rPr>
        <w:t>Identity Context Adapter configurabile per claim EVO e per issuer/claim tecnici M2M.</w:t>
      </w:r>
    </w:p>
    <w:p>
      <w:pPr>
        <w:pStyle w:val="ListBullet"/>
        <w:spacing w:before="0" w:after="60" w:line="264" w:lineRule="auto"/>
      </w:pPr>
      <w:r>
        <w:rPr>
          <w:rFonts w:ascii="Noto Sans" w:hAnsi="Noto Sans" w:eastAsia="Noto Sans"/>
          <w:b w:val="0"/>
          <w:i w:val="0"/>
          <w:color w:val="000000"/>
          <w:sz w:val="18"/>
        </w:rPr>
        <w:t>Policy evaluator e reason codes.</w:t>
      </w:r>
    </w:p>
    <w:p>
      <w:pPr>
        <w:pStyle w:val="ListBullet"/>
        <w:spacing w:before="0" w:after="60" w:line="264" w:lineRule="auto"/>
      </w:pPr>
      <w:r>
        <w:rPr>
          <w:rFonts w:ascii="Noto Sans" w:hAnsi="Noto Sans" w:eastAsia="Noto Sans"/>
          <w:b w:val="0"/>
          <w:i w:val="0"/>
          <w:color w:val="000000"/>
          <w:sz w:val="18"/>
        </w:rPr>
        <w:t>Bootstrap policy template.</w:t>
      </w:r>
    </w:p>
    <w:p>
      <w:pPr>
        <w:pStyle w:val="ListBullet"/>
        <w:spacing w:before="0" w:after="60" w:line="264" w:lineRule="auto"/>
      </w:pPr>
      <w:r>
        <w:rPr>
          <w:rFonts w:ascii="Noto Sans" w:hAnsi="Noto Sans" w:eastAsia="Noto Sans"/>
          <w:b w:val="0"/>
          <w:i w:val="0"/>
          <w:color w:val="000000"/>
          <w:sz w:val="18"/>
        </w:rPr>
        <w:t>Bundle publication/active pointer/rollback.</w:t>
      </w:r>
    </w:p>
    <w:p>
      <w:pPr>
        <w:pStyle w:val="ListBullet"/>
        <w:spacing w:before="0" w:after="60" w:line="264" w:lineRule="auto"/>
      </w:pPr>
      <w:r>
        <w:rPr>
          <w:rFonts w:ascii="Noto Sans" w:hAnsi="Noto Sans" w:eastAsia="Noto Sans"/>
          <w:b w:val="0"/>
          <w:i w:val="0"/>
          <w:color w:val="000000"/>
          <w:sz w:val="18"/>
        </w:rPr>
        <w:t>Integration test con Gateway e realm/tenant IAM staging.</w:t>
      </w:r>
    </w:p>
    <w:p>
      <w:pPr>
        <w:pStyle w:val="ListBullet"/>
        <w:spacing w:before="0" w:after="60" w:line="264" w:lineRule="auto"/>
      </w:pPr>
      <w:r>
        <w:rPr>
          <w:rFonts w:ascii="Noto Sans" w:hAnsi="Noto Sans" w:eastAsia="Noto Sans"/>
          <w:b w:val="0"/>
          <w:i w:val="0"/>
          <w:color w:val="000000"/>
          <w:sz w:val="18"/>
        </w:rPr>
        <w:t>Runbook: policy rollback, IAM outage, bundle refresh, break-glass.</w:t>
      </w:r>
    </w:p>
    <w:p>
      <w:pPr>
        <w:pStyle w:val="ListBullet"/>
        <w:spacing w:before="0" w:after="60" w:line="264" w:lineRule="auto"/>
      </w:pPr>
      <w:r>
        <w:rPr>
          <w:rFonts w:ascii="Noto Sans" w:hAnsi="Noto Sans" w:eastAsia="Noto Sans"/>
          <w:b w:val="0"/>
          <w:i w:val="0"/>
          <w:color w:val="000000"/>
          <w:sz w:val="18"/>
        </w:rPr>
        <w:t>SBOM e dependency list.</w:t>
      </w:r>
    </w:p>
    <w:p>
      <w:pPr>
        <w:pStyle w:val="ListBullet"/>
        <w:spacing w:before="0" w:after="60" w:line="264" w:lineRule="auto"/>
      </w:pPr>
      <w:r>
        <w:rPr>
          <w:rFonts w:ascii="Noto Sans" w:hAnsi="Noto Sans" w:eastAsia="Noto Sans"/>
          <w:b w:val="0"/>
          <w:i w:val="0"/>
          <w:color w:val="000000"/>
          <w:sz w:val="18"/>
        </w:rPr>
        <w:t>Evidence package AUTH-E2E/SEC-AUTH.</w:t>
      </w:r>
    </w:p>
    <w:p>
      <w:r>
        <w:rPr>
          <w:rFonts w:ascii="Noto Sans" w:hAnsi="Noto Sans" w:eastAsia="Noto Sans"/>
        </w:rPr>
      </w:r>
    </w:p>
    <w:p>
      <w:pPr>
        <w:pStyle w:val="Heading1"/>
      </w:pPr>
      <w:r>
        <w:rPr>
          <w:rFonts w:ascii="Noto Sans" w:hAnsi="Noto Sans" w:eastAsia="Noto Sans"/>
        </w:rPr>
        <w:t>36. Allineamento operativo con Ingestion Runtime v1.1 e Onboarding v1.2</w:t>
      </w:r>
    </w:p>
    <w:p>
      <w:r>
        <w:rPr>
          <w:rFonts w:ascii="Noto Sans" w:hAnsi="Noto Sans" w:eastAsia="Noto Sans"/>
        </w:rPr>
        <w:t>La v1.2 estende il catalogo delle capability OUF e le relative guard per coprire quarantine, RuntimeIssue, schema surveillance, file intake INTERNAL_MANAGED e lineage conversazionale. Le capability restano possedute dai rispettivi moduli applicativi: Authorization ne governa l’uso, non ne implementa la logica di dominio.</w:t>
      </w:r>
    </w:p>
    <w:p>
      <w:pPr>
        <w:pStyle w:val="Heading2"/>
      </w:pPr>
      <w:r>
        <w:rPr>
          <w:rFonts w:ascii="Noto Sans" w:hAnsi="Noto Sans" w:eastAsia="Noto Sans"/>
        </w:rPr>
        <w:t>36.1 Principi di autorizzazione delle operazioni conversazionali</w:t>
      </w:r>
    </w:p>
    <w:p>
      <w:pPr>
        <w:pStyle w:val="ListBullet"/>
      </w:pPr>
      <w:r>
        <w:rPr>
          <w:rFonts w:ascii="Noto Sans" w:hAnsi="Noto Sans" w:eastAsia="Noto Sans"/>
        </w:rPr>
        <w:t>Una capability invocabile da chatbot/MCP non diventa per questo autoritativa: tool eligibility e authorization decision sono controlli distinti.</w:t>
      </w:r>
    </w:p>
    <w:p>
      <w:pPr>
        <w:pStyle w:val="ListBullet"/>
      </w:pPr>
      <w:r>
        <w:rPr>
          <w:rFonts w:ascii="Noto Sans" w:hAnsi="Noto Sans" w:eastAsia="Noto Sans"/>
        </w:rPr>
        <w:t>AI_AGENT e MCP_SERVER possono leggere, spiegare, proporre e preparare azioni nei limiti della policy; non possono auto-attribuirsi HUMAN_USER né trasformare una proposta in decisione umana.</w:t>
      </w:r>
    </w:p>
    <w:p>
      <w:pPr>
        <w:pStyle w:val="ListBullet"/>
      </w:pPr>
      <w:r>
        <w:rPr>
          <w:rFonts w:ascii="Noto Sans" w:hAnsi="Noto Sans" w:eastAsia="Noto Sans"/>
        </w:rPr>
        <w:t>Le azioni che modificano stato operativo o configurazione possono essere eseguite durante la stessa esperienza chatbot quando il backend riceve un contesto HUMAN_USER valido e la capability lo consente.</w:t>
      </w:r>
    </w:p>
    <w:p>
      <w:pPr>
        <w:pStyle w:val="ListBullet"/>
      </w:pPr>
      <w:r>
        <w:rPr>
          <w:rFonts w:ascii="Noto Sans" w:hAnsi="Noto Sans" w:eastAsia="Noto Sans"/>
        </w:rPr>
        <w:t>Ogni azione mutativa conserva actor, delegatedVia, target, version/ETag, correlationId e outcome; le operazioni idempotenti usano idempotency key quando previsto dal contratto del modulo.</w:t>
      </w:r>
    </w:p>
    <w:p>
      <w:pPr>
        <w:pStyle w:val="ListBullet"/>
      </w:pPr>
      <w:r>
        <w:rPr>
          <w:rFonts w:ascii="Noto Sans" w:hAnsi="Noto Sans" w:eastAsia="Noto Sans"/>
        </w:rPr>
        <w:t>Default deny resta la regola anche per nuove capability aggiunte dopo il rilascio: l’assenza di grant esplicito produce DENY.</w:t>
      </w:r>
    </w:p>
    <w:p>
      <w:pPr>
        <w:pStyle w:val="Heading2"/>
      </w:pPr>
      <w:r>
        <w:rPr>
          <w:rFonts w:ascii="Noto Sans" w:hAnsi="Noto Sans" w:eastAsia="Noto Sans"/>
        </w:rPr>
        <w:t>36.2 Capability operative Ingestion: issue e quarantena</w:t>
      </w:r>
    </w:p>
    <w:tbl>
      <w:tblPr>
        <w:tblStyle w:val="TableGrid"/>
        <w:tblW w:type="auto" w:w="0"/>
        <w:tblLook w:firstColumn="1" w:firstRow="1" w:lastColumn="0" w:lastRow="0" w:noHBand="0" w:noVBand="1" w:val="04A0"/>
      </w:tblPr>
      <w:tblGrid>
        <w:gridCol w:w="2351"/>
        <w:gridCol w:w="2351"/>
        <w:gridCol w:w="2351"/>
        <w:gridCol w:w="2351"/>
      </w:tblGrid>
      <w:tr>
        <w:trPr>
          <w:tblHeader w:val="true"/>
        </w:trPr>
        <w:tc>
          <w:tcPr>
            <w:tcW w:type="dxa" w:w="2351"/>
            <w:shd w:fill="0B4F6C"/>
          </w:tcPr>
          <w:p>
            <w:r>
              <w:rPr>
                <w:rFonts w:ascii="Noto Sans" w:hAnsi="Noto Sans" w:eastAsia="Noto Sans"/>
                <w:b/>
                <w:color w:val="FFFFFF"/>
                <w:sz w:val="17"/>
              </w:rPr>
              <w:t>Capability</w:t>
            </w:r>
          </w:p>
        </w:tc>
        <w:tc>
          <w:tcPr>
            <w:tcW w:type="dxa" w:w="2351"/>
            <w:shd w:fill="0B4F6C"/>
          </w:tcPr>
          <w:p>
            <w:r>
              <w:rPr>
                <w:rFonts w:ascii="Noto Sans" w:hAnsi="Noto Sans" w:eastAsia="Noto Sans"/>
                <w:b/>
                <w:color w:val="FFFFFF"/>
                <w:sz w:val="17"/>
              </w:rPr>
              <w:t>Scopo</w:t>
            </w:r>
          </w:p>
        </w:tc>
        <w:tc>
          <w:tcPr>
            <w:tcW w:type="dxa" w:w="2351"/>
            <w:shd w:fill="0B4F6C"/>
          </w:tcPr>
          <w:p>
            <w:r>
              <w:rPr>
                <w:rFonts w:ascii="Noto Sans" w:hAnsi="Noto Sans" w:eastAsia="Noto Sans"/>
                <w:b/>
                <w:color w:val="FFFFFF"/>
                <w:sz w:val="17"/>
              </w:rPr>
              <w:t>AI/MCP</w:t>
            </w:r>
          </w:p>
        </w:tc>
        <w:tc>
          <w:tcPr>
            <w:tcW w:type="dxa" w:w="2351"/>
            <w:shd w:fill="0B4F6C"/>
          </w:tcPr>
          <w:p>
            <w:r>
              <w:rPr>
                <w:rFonts w:ascii="Noto Sans" w:hAnsi="Noto Sans" w:eastAsia="Noto Sans"/>
                <w:b/>
                <w:color w:val="FFFFFF"/>
                <w:sz w:val="17"/>
              </w:rPr>
              <w:t>Guard minima</w:t>
            </w:r>
          </w:p>
        </w:tc>
      </w:tr>
      <w:tr>
        <w:tc>
          <w:tcPr>
            <w:tcW w:type="dxa" w:w="2351"/>
          </w:tcPr>
          <w:p>
            <w:r>
              <w:rPr>
                <w:rFonts w:ascii="Noto Sans" w:hAnsi="Noto Sans" w:eastAsia="Noto Sans"/>
                <w:sz w:val="17"/>
              </w:rPr>
              <w:t>ingestion.issue.search</w:t>
            </w:r>
          </w:p>
        </w:tc>
        <w:tc>
          <w:tcPr>
            <w:tcW w:type="dxa" w:w="2351"/>
          </w:tcPr>
          <w:p>
            <w:r>
              <w:rPr>
                <w:rFonts w:ascii="Noto Sans" w:hAnsi="Noto Sans" w:eastAsia="Noto Sans"/>
                <w:sz w:val="17"/>
              </w:rPr>
              <w:t>Ricerca RuntimeIssue filtrate per source/run/severity/status</w:t>
            </w:r>
          </w:p>
        </w:tc>
        <w:tc>
          <w:tcPr>
            <w:tcW w:type="dxa" w:w="2351"/>
          </w:tcPr>
          <w:p>
            <w:r>
              <w:rPr>
                <w:rFonts w:ascii="Noto Sans" w:hAnsi="Noto Sans" w:eastAsia="Noto Sans"/>
                <w:sz w:val="17"/>
              </w:rPr>
              <w:t>SÌ</w:t>
            </w:r>
          </w:p>
        </w:tc>
        <w:tc>
          <w:tcPr>
            <w:tcW w:type="dxa" w:w="2351"/>
          </w:tcPr>
          <w:p>
            <w:r>
              <w:rPr>
                <w:rFonts w:ascii="Noto Sans" w:hAnsi="Noto Sans" w:eastAsia="Noto Sans"/>
                <w:sz w:val="17"/>
              </w:rPr>
              <w:t>read scope + data/resource visibility</w:t>
            </w:r>
          </w:p>
        </w:tc>
      </w:tr>
      <w:tr>
        <w:tc>
          <w:tcPr>
            <w:tcW w:type="dxa" w:w="2351"/>
          </w:tcPr>
          <w:p>
            <w:r>
              <w:rPr>
                <w:rFonts w:ascii="Noto Sans" w:hAnsi="Noto Sans" w:eastAsia="Noto Sans"/>
                <w:sz w:val="17"/>
              </w:rPr>
              <w:t>ingestion.issue.read</w:t>
            </w:r>
          </w:p>
        </w:tc>
        <w:tc>
          <w:tcPr>
            <w:tcW w:type="dxa" w:w="2351"/>
          </w:tcPr>
          <w:p>
            <w:r>
              <w:rPr>
                <w:rFonts w:ascii="Noto Sans" w:hAnsi="Noto Sans" w:eastAsia="Noto Sans"/>
                <w:sz w:val="17"/>
              </w:rPr>
              <w:t>Dettaglio issue, evidence e remediation hints</w:t>
            </w:r>
          </w:p>
        </w:tc>
        <w:tc>
          <w:tcPr>
            <w:tcW w:type="dxa" w:w="2351"/>
          </w:tcPr>
          <w:p>
            <w:r>
              <w:rPr>
                <w:rFonts w:ascii="Noto Sans" w:hAnsi="Noto Sans" w:eastAsia="Noto Sans"/>
                <w:sz w:val="17"/>
              </w:rPr>
              <w:t>SÌ</w:t>
            </w:r>
          </w:p>
        </w:tc>
        <w:tc>
          <w:tcPr>
            <w:tcW w:type="dxa" w:w="2351"/>
          </w:tcPr>
          <w:p>
            <w:r>
              <w:rPr>
                <w:rFonts w:ascii="Noto Sans" w:hAnsi="Noto Sans" w:eastAsia="Noto Sans"/>
                <w:sz w:val="17"/>
              </w:rPr>
              <w:t>read scope + resource visibility</w:t>
            </w:r>
          </w:p>
        </w:tc>
      </w:tr>
      <w:tr>
        <w:tc>
          <w:tcPr>
            <w:tcW w:type="dxa" w:w="2351"/>
          </w:tcPr>
          <w:p>
            <w:r>
              <w:rPr>
                <w:rFonts w:ascii="Noto Sans" w:hAnsi="Noto Sans" w:eastAsia="Noto Sans"/>
                <w:sz w:val="17"/>
              </w:rPr>
              <w:t>ingestion.issue.explain</w:t>
            </w:r>
          </w:p>
        </w:tc>
        <w:tc>
          <w:tcPr>
            <w:tcW w:type="dxa" w:w="2351"/>
          </w:tcPr>
          <w:p>
            <w:r>
              <w:rPr>
                <w:rFonts w:ascii="Noto Sans" w:hAnsi="Noto Sans" w:eastAsia="Noto Sans"/>
                <w:sz w:val="17"/>
              </w:rPr>
              <w:t>Spiegazione assistita e proposta di remediation</w:t>
            </w:r>
          </w:p>
        </w:tc>
        <w:tc>
          <w:tcPr>
            <w:tcW w:type="dxa" w:w="2351"/>
          </w:tcPr>
          <w:p>
            <w:r>
              <w:rPr>
                <w:rFonts w:ascii="Noto Sans" w:hAnsi="Noto Sans" w:eastAsia="Noto Sans"/>
                <w:sz w:val="17"/>
              </w:rPr>
              <w:t>SÌ</w:t>
            </w:r>
          </w:p>
        </w:tc>
        <w:tc>
          <w:tcPr>
            <w:tcW w:type="dxa" w:w="2351"/>
          </w:tcPr>
          <w:p>
            <w:r>
              <w:rPr>
                <w:rFonts w:ascii="Noto Sans" w:hAnsi="Noto Sans" w:eastAsia="Noto Sans"/>
                <w:sz w:val="17"/>
              </w:rPr>
              <w:t>nessun effetto mutativo</w:t>
            </w:r>
          </w:p>
        </w:tc>
      </w:tr>
      <w:tr>
        <w:tc>
          <w:tcPr>
            <w:tcW w:type="dxa" w:w="2351"/>
          </w:tcPr>
          <w:p>
            <w:r>
              <w:rPr>
                <w:rFonts w:ascii="Noto Sans" w:hAnsi="Noto Sans" w:eastAsia="Noto Sans"/>
                <w:sz w:val="17"/>
              </w:rPr>
              <w:t>ingestion.quarantine.list</w:t>
            </w:r>
          </w:p>
        </w:tc>
        <w:tc>
          <w:tcPr>
            <w:tcW w:type="dxa" w:w="2351"/>
          </w:tcPr>
          <w:p>
            <w:r>
              <w:rPr>
                <w:rFonts w:ascii="Noto Sans" w:hAnsi="Noto Sans" w:eastAsia="Noto Sans"/>
                <w:sz w:val="17"/>
              </w:rPr>
              <w:t>Elenco item in quarantena</w:t>
            </w:r>
          </w:p>
        </w:tc>
        <w:tc>
          <w:tcPr>
            <w:tcW w:type="dxa" w:w="2351"/>
          </w:tcPr>
          <w:p>
            <w:r>
              <w:rPr>
                <w:rFonts w:ascii="Noto Sans" w:hAnsi="Noto Sans" w:eastAsia="Noto Sans"/>
                <w:sz w:val="17"/>
              </w:rPr>
              <w:t>SÌ</w:t>
            </w:r>
          </w:p>
        </w:tc>
        <w:tc>
          <w:tcPr>
            <w:tcW w:type="dxa" w:w="2351"/>
          </w:tcPr>
          <w:p>
            <w:r>
              <w:rPr>
                <w:rFonts w:ascii="Noto Sans" w:hAnsi="Noto Sans" w:eastAsia="Noto Sans"/>
                <w:sz w:val="17"/>
              </w:rPr>
              <w:t>read scope + source/org scope</w:t>
            </w:r>
          </w:p>
        </w:tc>
      </w:tr>
      <w:tr>
        <w:tc>
          <w:tcPr>
            <w:tcW w:type="dxa" w:w="2351"/>
          </w:tcPr>
          <w:p>
            <w:r>
              <w:rPr>
                <w:rFonts w:ascii="Noto Sans" w:hAnsi="Noto Sans" w:eastAsia="Noto Sans"/>
                <w:sz w:val="17"/>
              </w:rPr>
              <w:t>ingestion.quarantine.inspect</w:t>
            </w:r>
          </w:p>
        </w:tc>
        <w:tc>
          <w:tcPr>
            <w:tcW w:type="dxa" w:w="2351"/>
          </w:tcPr>
          <w:p>
            <w:r>
              <w:rPr>
                <w:rFonts w:ascii="Noto Sans" w:hAnsi="Noto Sans" w:eastAsia="Noto Sans"/>
                <w:sz w:val="17"/>
              </w:rPr>
              <w:t>Payload tecnico redatto, errori, schema/mapping refs</w:t>
            </w:r>
          </w:p>
        </w:tc>
        <w:tc>
          <w:tcPr>
            <w:tcW w:type="dxa" w:w="2351"/>
          </w:tcPr>
          <w:p>
            <w:r>
              <w:rPr>
                <w:rFonts w:ascii="Noto Sans" w:hAnsi="Noto Sans" w:eastAsia="Noto Sans"/>
                <w:sz w:val="17"/>
              </w:rPr>
              <w:t>SÌ</w:t>
            </w:r>
          </w:p>
        </w:tc>
        <w:tc>
          <w:tcPr>
            <w:tcW w:type="dxa" w:w="2351"/>
          </w:tcPr>
          <w:p>
            <w:r>
              <w:rPr>
                <w:rFonts w:ascii="Noto Sans" w:hAnsi="Noto Sans" w:eastAsia="Noto Sans"/>
                <w:sz w:val="17"/>
              </w:rPr>
              <w:t>classificazione dati + least privilege</w:t>
            </w:r>
          </w:p>
        </w:tc>
      </w:tr>
      <w:tr>
        <w:tc>
          <w:tcPr>
            <w:tcW w:type="dxa" w:w="2351"/>
          </w:tcPr>
          <w:p>
            <w:r>
              <w:rPr>
                <w:rFonts w:ascii="Noto Sans" w:hAnsi="Noto Sans" w:eastAsia="Noto Sans"/>
                <w:sz w:val="17"/>
              </w:rPr>
              <w:t>ingestion.quarantine.retry</w:t>
            </w:r>
          </w:p>
        </w:tc>
        <w:tc>
          <w:tcPr>
            <w:tcW w:type="dxa" w:w="2351"/>
          </w:tcPr>
          <w:p>
            <w:r>
              <w:rPr>
                <w:rFonts w:ascii="Noto Sans" w:hAnsi="Noto Sans" w:eastAsia="Noto Sans"/>
                <w:sz w:val="17"/>
              </w:rPr>
              <w:t>Retry tecnico con medesimo contratto pinnato</w:t>
            </w:r>
          </w:p>
        </w:tc>
        <w:tc>
          <w:tcPr>
            <w:tcW w:type="dxa" w:w="2351"/>
          </w:tcPr>
          <w:p>
            <w:r>
              <w:rPr>
                <w:rFonts w:ascii="Noto Sans" w:hAnsi="Noto Sans" w:eastAsia="Noto Sans"/>
                <w:sz w:val="17"/>
              </w:rPr>
              <w:t>CONDIZIONATO</w:t>
            </w:r>
          </w:p>
        </w:tc>
        <w:tc>
          <w:tcPr>
            <w:tcW w:type="dxa" w:w="2351"/>
          </w:tcPr>
          <w:p>
            <w:r>
              <w:rPr>
                <w:rFonts w:ascii="Noto Sans" w:hAnsi="Noto Sans" w:eastAsia="Noto Sans"/>
                <w:sz w:val="17"/>
              </w:rPr>
              <w:t>HUMAN_USER delegato o SERVICE_IDENTITY autorizzata; policy runtime</w:t>
            </w:r>
          </w:p>
        </w:tc>
      </w:tr>
      <w:tr>
        <w:tc>
          <w:tcPr>
            <w:tcW w:type="dxa" w:w="2351"/>
          </w:tcPr>
          <w:p>
            <w:r>
              <w:rPr>
                <w:rFonts w:ascii="Noto Sans" w:hAnsi="Noto Sans" w:eastAsia="Noto Sans"/>
                <w:sz w:val="17"/>
              </w:rPr>
              <w:t>ingestion.quarantine.reprocess</w:t>
            </w:r>
          </w:p>
        </w:tc>
        <w:tc>
          <w:tcPr>
            <w:tcW w:type="dxa" w:w="2351"/>
          </w:tcPr>
          <w:p>
            <w:r>
              <w:rPr>
                <w:rFonts w:ascii="Noto Sans" w:hAnsi="Noto Sans" w:eastAsia="Noto Sans"/>
                <w:sz w:val="17"/>
              </w:rPr>
              <w:t>Riprocessamento controllato con target contract esplicito</w:t>
            </w:r>
          </w:p>
        </w:tc>
        <w:tc>
          <w:tcPr>
            <w:tcW w:type="dxa" w:w="2351"/>
          </w:tcPr>
          <w:p>
            <w:r>
              <w:rPr>
                <w:rFonts w:ascii="Noto Sans" w:hAnsi="Noto Sans" w:eastAsia="Noto Sans"/>
                <w:sz w:val="17"/>
              </w:rPr>
              <w:t>CONDIZIONATO</w:t>
            </w:r>
          </w:p>
        </w:tc>
        <w:tc>
          <w:tcPr>
            <w:tcW w:type="dxa" w:w="2351"/>
          </w:tcPr>
          <w:p>
            <w:r>
              <w:rPr>
                <w:rFonts w:ascii="Noto Sans" w:hAnsi="Noto Sans" w:eastAsia="Noto Sans"/>
                <w:sz w:val="17"/>
              </w:rPr>
              <w:t>HUMAN_USER + capability + target version valida</w:t>
            </w:r>
          </w:p>
        </w:tc>
      </w:tr>
      <w:tr>
        <w:tc>
          <w:tcPr>
            <w:tcW w:type="dxa" w:w="2351"/>
          </w:tcPr>
          <w:p>
            <w:r>
              <w:rPr>
                <w:rFonts w:ascii="Noto Sans" w:hAnsi="Noto Sans" w:eastAsia="Noto Sans"/>
                <w:sz w:val="17"/>
              </w:rPr>
              <w:t>ingestion.issue.resolve</w:t>
            </w:r>
          </w:p>
        </w:tc>
        <w:tc>
          <w:tcPr>
            <w:tcW w:type="dxa" w:w="2351"/>
          </w:tcPr>
          <w:p>
            <w:r>
              <w:rPr>
                <w:rFonts w:ascii="Noto Sans" w:hAnsi="Noto Sans" w:eastAsia="Noto Sans"/>
                <w:sz w:val="17"/>
              </w:rPr>
              <w:t>Chiusura issue con reason/evidence</w:t>
            </w:r>
          </w:p>
        </w:tc>
        <w:tc>
          <w:tcPr>
            <w:tcW w:type="dxa" w:w="2351"/>
          </w:tcPr>
          <w:p>
            <w:r>
              <w:rPr>
                <w:rFonts w:ascii="Noto Sans" w:hAnsi="Noto Sans" w:eastAsia="Noto Sans"/>
                <w:sz w:val="17"/>
              </w:rPr>
              <w:t>CONDIZIONATO</w:t>
            </w:r>
          </w:p>
        </w:tc>
        <w:tc>
          <w:tcPr>
            <w:tcW w:type="dxa" w:w="2351"/>
          </w:tcPr>
          <w:p>
            <w:r>
              <w:rPr>
                <w:rFonts w:ascii="Noto Sans" w:hAnsi="Noto Sans" w:eastAsia="Noto Sans"/>
                <w:sz w:val="17"/>
              </w:rPr>
              <w:t>HUMAN_USER; optimistic concurrency/ETag</w:t>
            </w:r>
          </w:p>
        </w:tc>
      </w:tr>
      <w:tr>
        <w:tc>
          <w:tcPr>
            <w:tcW w:type="dxa" w:w="2351"/>
          </w:tcPr>
          <w:p>
            <w:r>
              <w:rPr>
                <w:rFonts w:ascii="Noto Sans" w:hAnsi="Noto Sans" w:eastAsia="Noto Sans"/>
                <w:sz w:val="17"/>
              </w:rPr>
              <w:t>ingestion.issue.dismiss</w:t>
            </w:r>
          </w:p>
        </w:tc>
        <w:tc>
          <w:tcPr>
            <w:tcW w:type="dxa" w:w="2351"/>
          </w:tcPr>
          <w:p>
            <w:r>
              <w:rPr>
                <w:rFonts w:ascii="Noto Sans" w:hAnsi="Noto Sans" w:eastAsia="Noto Sans"/>
                <w:sz w:val="17"/>
              </w:rPr>
              <w:t>Dismiss governato di issue non bloccante</w:t>
            </w:r>
          </w:p>
        </w:tc>
        <w:tc>
          <w:tcPr>
            <w:tcW w:type="dxa" w:w="2351"/>
          </w:tcPr>
          <w:p>
            <w:r>
              <w:rPr>
                <w:rFonts w:ascii="Noto Sans" w:hAnsi="Noto Sans" w:eastAsia="Noto Sans"/>
                <w:sz w:val="17"/>
              </w:rPr>
              <w:t>CONDIZIONATO</w:t>
            </w:r>
          </w:p>
        </w:tc>
        <w:tc>
          <w:tcPr>
            <w:tcW w:type="dxa" w:w="2351"/>
          </w:tcPr>
          <w:p>
            <w:r>
              <w:rPr>
                <w:rFonts w:ascii="Noto Sans" w:hAnsi="Noto Sans" w:eastAsia="Noto Sans"/>
                <w:sz w:val="17"/>
              </w:rPr>
              <w:t>HUMAN_USER + reason obbligatoria</w:t>
            </w:r>
          </w:p>
        </w:tc>
      </w:tr>
      <w:tr>
        <w:tc>
          <w:tcPr>
            <w:tcW w:type="dxa" w:w="2351"/>
          </w:tcPr>
          <w:p>
            <w:r>
              <w:rPr>
                <w:rFonts w:ascii="Noto Sans" w:hAnsi="Noto Sans" w:eastAsia="Noto Sans"/>
                <w:sz w:val="17"/>
              </w:rPr>
              <w:t>ingestion.onboarding-review.request</w:t>
            </w:r>
          </w:p>
        </w:tc>
        <w:tc>
          <w:tcPr>
            <w:tcW w:type="dxa" w:w="2351"/>
          </w:tcPr>
          <w:p>
            <w:r>
              <w:rPr>
                <w:rFonts w:ascii="Noto Sans" w:hAnsi="Noto Sans" w:eastAsia="Noto Sans"/>
                <w:sz w:val="17"/>
              </w:rPr>
              <w:t>Apertura richiesta di revisione Onboarding da drift/runtime issue</w:t>
            </w:r>
          </w:p>
        </w:tc>
        <w:tc>
          <w:tcPr>
            <w:tcW w:type="dxa" w:w="2351"/>
          </w:tcPr>
          <w:p>
            <w:r>
              <w:rPr>
                <w:rFonts w:ascii="Noto Sans" w:hAnsi="Noto Sans" w:eastAsia="Noto Sans"/>
                <w:sz w:val="17"/>
              </w:rPr>
              <w:t>SÌ come proposta</w:t>
            </w:r>
          </w:p>
        </w:tc>
        <w:tc>
          <w:tcPr>
            <w:tcW w:type="dxa" w:w="2351"/>
          </w:tcPr>
          <w:p>
            <w:r>
              <w:rPr>
                <w:rFonts w:ascii="Noto Sans" w:hAnsi="Noto Sans" w:eastAsia="Noto Sans"/>
                <w:sz w:val="17"/>
              </w:rPr>
              <w:t>crea richiesta; non approva nuova configurazione</w:t>
            </w:r>
          </w:p>
        </w:tc>
      </w:tr>
    </w:tbl>
    <w:p>
      <w:pPr/>
      <w:r>
        <w:rPr>
          <w:rFonts w:ascii="Noto Sans" w:hAnsi="Noto Sans" w:eastAsia="Noto Sans"/>
        </w:rPr>
        <w:t>Regola: AI_AGENT puro non può eseguire retry/reprocess/resolve assumendo autorità umana. L’Agent Host può mediare la stessa capability quando il contesto di sicurezza rappresenta un HUMAN_USER autorizzato; l’audit conserva entrambe le identità.</w:t>
      </w:r>
    </w:p>
    <w:p>
      <w:pPr>
        <w:pStyle w:val="Heading2"/>
      </w:pPr>
      <w:r>
        <w:rPr>
          <w:rFonts w:ascii="Noto Sans" w:hAnsi="Noto Sans" w:eastAsia="Noto Sans"/>
        </w:rPr>
        <w:t>36.3 Schema surveillance e ritorno governato all’Onboarding</w:t>
      </w:r>
    </w:p>
    <w:p>
      <w:r>
        <w:rPr>
          <w:rFonts w:ascii="Noto Sans" w:hAnsi="Noto Sans" w:eastAsia="Noto Sans"/>
        </w:rPr>
        <w:t>La Schema Surveillance produce osservazioni e issue ma non modifica direttamente il PublishedConfigurationBundle ACTIVE. Authorization deve distinguere capacità di lettura/diagnosi dalla capacità di avviare una revisione dell’Onboarding.</w:t>
      </w:r>
    </w:p>
    <w:tbl>
      <w:tblPr>
        <w:tblStyle w:val="TableGrid"/>
        <w:tblW w:type="auto" w:w="0"/>
        <w:tblLook w:firstColumn="1" w:firstRow="1" w:lastColumn="0" w:lastRow="0" w:noHBand="0" w:noVBand="1" w:val="04A0"/>
      </w:tblPr>
      <w:tblGrid>
        <w:gridCol w:w="3135"/>
        <w:gridCol w:w="3135"/>
        <w:gridCol w:w="3135"/>
      </w:tblGrid>
      <w:tr>
        <w:trPr>
          <w:tblHeader w:val="true"/>
        </w:trPr>
        <w:tc>
          <w:tcPr>
            <w:tcW w:type="dxa" w:w="3135"/>
            <w:shd w:fill="0B4F6C"/>
          </w:tcPr>
          <w:p>
            <w:r>
              <w:rPr>
                <w:rFonts w:ascii="Noto Sans" w:hAnsi="Noto Sans" w:eastAsia="Noto Sans"/>
                <w:b/>
                <w:color w:val="FFFFFF"/>
                <w:sz w:val="17"/>
              </w:rPr>
              <w:t>Capability</w:t>
            </w:r>
          </w:p>
        </w:tc>
        <w:tc>
          <w:tcPr>
            <w:tcW w:type="dxa" w:w="3135"/>
            <w:shd w:fill="0B4F6C"/>
          </w:tcPr>
          <w:p>
            <w:r>
              <w:rPr>
                <w:rFonts w:ascii="Noto Sans" w:hAnsi="Noto Sans" w:eastAsia="Noto Sans"/>
                <w:b/>
                <w:color w:val="FFFFFF"/>
                <w:sz w:val="17"/>
              </w:rPr>
              <w:t>Attore ammesso</w:t>
            </w:r>
          </w:p>
        </w:tc>
        <w:tc>
          <w:tcPr>
            <w:tcW w:type="dxa" w:w="3135"/>
            <w:shd w:fill="0B4F6C"/>
          </w:tcPr>
          <w:p>
            <w:r>
              <w:rPr>
                <w:rFonts w:ascii="Noto Sans" w:hAnsi="Noto Sans" w:eastAsia="Noto Sans"/>
                <w:b/>
                <w:color w:val="FFFFFF"/>
                <w:sz w:val="17"/>
              </w:rPr>
              <w:t>Effetto</w:t>
            </w:r>
          </w:p>
        </w:tc>
      </w:tr>
      <w:tr>
        <w:tc>
          <w:tcPr>
            <w:tcW w:type="dxa" w:w="3135"/>
          </w:tcPr>
          <w:p>
            <w:r>
              <w:rPr>
                <w:rFonts w:ascii="Noto Sans" w:hAnsi="Noto Sans" w:eastAsia="Noto Sans"/>
                <w:sz w:val="17"/>
              </w:rPr>
              <w:t>source.schema-drift.read</w:t>
            </w:r>
          </w:p>
        </w:tc>
        <w:tc>
          <w:tcPr>
            <w:tcW w:type="dxa" w:w="3135"/>
          </w:tcPr>
          <w:p>
            <w:r>
              <w:rPr>
                <w:rFonts w:ascii="Noto Sans" w:hAnsi="Noto Sans" w:eastAsia="Noto Sans"/>
                <w:sz w:val="17"/>
              </w:rPr>
              <w:t>HUMAN_USER / AI_AGENT / SERVICE_IDENTITY autorizzati</w:t>
            </w:r>
          </w:p>
        </w:tc>
        <w:tc>
          <w:tcPr>
            <w:tcW w:type="dxa" w:w="3135"/>
          </w:tcPr>
          <w:p>
            <w:r>
              <w:rPr>
                <w:rFonts w:ascii="Noto Sans" w:hAnsi="Noto Sans" w:eastAsia="Noto Sans"/>
                <w:sz w:val="17"/>
              </w:rPr>
              <w:t>Legge drift, diff e classificazione</w:t>
            </w:r>
          </w:p>
        </w:tc>
      </w:tr>
      <w:tr>
        <w:tc>
          <w:tcPr>
            <w:tcW w:type="dxa" w:w="3135"/>
          </w:tcPr>
          <w:p>
            <w:r>
              <w:rPr>
                <w:rFonts w:ascii="Noto Sans" w:hAnsi="Noto Sans" w:eastAsia="Noto Sans"/>
                <w:sz w:val="17"/>
              </w:rPr>
              <w:t>source.schema-drift.explain</w:t>
            </w:r>
          </w:p>
        </w:tc>
        <w:tc>
          <w:tcPr>
            <w:tcW w:type="dxa" w:w="3135"/>
          </w:tcPr>
          <w:p>
            <w:r>
              <w:rPr>
                <w:rFonts w:ascii="Noto Sans" w:hAnsi="Noto Sans" w:eastAsia="Noto Sans"/>
                <w:sz w:val="17"/>
              </w:rPr>
              <w:t>AI/MCP ammesso</w:t>
            </w:r>
          </w:p>
        </w:tc>
        <w:tc>
          <w:tcPr>
            <w:tcW w:type="dxa" w:w="3135"/>
          </w:tcPr>
          <w:p>
            <w:r>
              <w:rPr>
                <w:rFonts w:ascii="Noto Sans" w:hAnsi="Noto Sans" w:eastAsia="Noto Sans"/>
                <w:sz w:val="17"/>
              </w:rPr>
              <w:t>Genera spiegazione/proposta, nessuna modifica</w:t>
            </w:r>
          </w:p>
        </w:tc>
      </w:tr>
      <w:tr>
        <w:tc>
          <w:tcPr>
            <w:tcW w:type="dxa" w:w="3135"/>
          </w:tcPr>
          <w:p>
            <w:r>
              <w:rPr>
                <w:rFonts w:ascii="Noto Sans" w:hAnsi="Noto Sans" w:eastAsia="Noto Sans"/>
                <w:sz w:val="17"/>
              </w:rPr>
              <w:t>source.onboarding-review.request</w:t>
            </w:r>
          </w:p>
        </w:tc>
        <w:tc>
          <w:tcPr>
            <w:tcW w:type="dxa" w:w="3135"/>
          </w:tcPr>
          <w:p>
            <w:r>
              <w:rPr>
                <w:rFonts w:ascii="Noto Sans" w:hAnsi="Noto Sans" w:eastAsia="Noto Sans"/>
                <w:sz w:val="17"/>
              </w:rPr>
              <w:t>HUMAN_USER o AI in contesto delegato</w:t>
            </w:r>
          </w:p>
        </w:tc>
        <w:tc>
          <w:tcPr>
            <w:tcW w:type="dxa" w:w="3135"/>
          </w:tcPr>
          <w:p>
            <w:r>
              <w:rPr>
                <w:rFonts w:ascii="Noto Sans" w:hAnsi="Noto Sans" w:eastAsia="Noto Sans"/>
                <w:sz w:val="17"/>
              </w:rPr>
              <w:t>Apre una richiesta/draft di revisione; non approva</w:t>
            </w:r>
          </w:p>
        </w:tc>
      </w:tr>
      <w:tr>
        <w:tc>
          <w:tcPr>
            <w:tcW w:type="dxa" w:w="3135"/>
          </w:tcPr>
          <w:p>
            <w:r>
              <w:rPr>
                <w:rFonts w:ascii="Noto Sans" w:hAnsi="Noto Sans" w:eastAsia="Noto Sans"/>
                <w:sz w:val="17"/>
              </w:rPr>
              <w:t>source.onboarding.edit</w:t>
            </w:r>
          </w:p>
        </w:tc>
        <w:tc>
          <w:tcPr>
            <w:tcW w:type="dxa" w:w="3135"/>
          </w:tcPr>
          <w:p>
            <w:r>
              <w:rPr>
                <w:rFonts w:ascii="Noto Sans" w:hAnsi="Noto Sans" w:eastAsia="Noto Sans"/>
                <w:sz w:val="17"/>
              </w:rPr>
              <w:t>HUMAN_USER Editor; AI solo propose/edit controllato</w:t>
            </w:r>
          </w:p>
        </w:tc>
        <w:tc>
          <w:tcPr>
            <w:tcW w:type="dxa" w:w="3135"/>
          </w:tcPr>
          <w:p>
            <w:r>
              <w:rPr>
                <w:rFonts w:ascii="Noto Sans" w:hAnsi="Noto Sans" w:eastAsia="Noto Sans"/>
                <w:sz w:val="17"/>
              </w:rPr>
              <w:t>Modifica DRAFT</w:t>
            </w:r>
          </w:p>
        </w:tc>
      </w:tr>
      <w:tr>
        <w:tc>
          <w:tcPr>
            <w:tcW w:type="dxa" w:w="3135"/>
          </w:tcPr>
          <w:p>
            <w:r>
              <w:rPr>
                <w:rFonts w:ascii="Noto Sans" w:hAnsi="Noto Sans" w:eastAsia="Noto Sans"/>
                <w:sz w:val="17"/>
              </w:rPr>
              <w:t>source.onboarding.approve</w:t>
            </w:r>
          </w:p>
        </w:tc>
        <w:tc>
          <w:tcPr>
            <w:tcW w:type="dxa" w:w="3135"/>
          </w:tcPr>
          <w:p>
            <w:r>
              <w:rPr>
                <w:rFonts w:ascii="Noto Sans" w:hAnsi="Noto Sans" w:eastAsia="Noto Sans"/>
                <w:sz w:val="17"/>
              </w:rPr>
              <w:t>HUMAN_USER only</w:t>
            </w:r>
          </w:p>
        </w:tc>
        <w:tc>
          <w:tcPr>
            <w:tcW w:type="dxa" w:w="3135"/>
          </w:tcPr>
          <w:p>
            <w:r>
              <w:rPr>
                <w:rFonts w:ascii="Noto Sans" w:hAnsi="Noto Sans" w:eastAsia="Noto Sans"/>
                <w:sz w:val="17"/>
              </w:rPr>
              <w:t>Approva la nuova versione</w:t>
            </w:r>
          </w:p>
        </w:tc>
      </w:tr>
      <w:tr>
        <w:tc>
          <w:tcPr>
            <w:tcW w:type="dxa" w:w="3135"/>
          </w:tcPr>
          <w:p>
            <w:r>
              <w:rPr>
                <w:rFonts w:ascii="Noto Sans" w:hAnsi="Noto Sans" w:eastAsia="Noto Sans"/>
                <w:sz w:val="17"/>
              </w:rPr>
              <w:t>source.onboarding.activate</w:t>
            </w:r>
          </w:p>
        </w:tc>
        <w:tc>
          <w:tcPr>
            <w:tcW w:type="dxa" w:w="3135"/>
          </w:tcPr>
          <w:p>
            <w:r>
              <w:rPr>
                <w:rFonts w:ascii="Noto Sans" w:hAnsi="Noto Sans" w:eastAsia="Noto Sans"/>
                <w:sz w:val="17"/>
              </w:rPr>
              <w:t>HUMAN_USER autorizzato only</w:t>
            </w:r>
          </w:p>
        </w:tc>
        <w:tc>
          <w:tcPr>
            <w:tcW w:type="dxa" w:w="3135"/>
          </w:tcPr>
          <w:p>
            <w:r>
              <w:rPr>
                <w:rFonts w:ascii="Noto Sans" w:hAnsi="Noto Sans" w:eastAsia="Noto Sans"/>
                <w:sz w:val="17"/>
              </w:rPr>
              <w:t>Rende ACTIVE il nuovo bundle</w:t>
            </w:r>
          </w:p>
        </w:tc>
      </w:tr>
    </w:tbl>
    <w:p>
      <w:pPr>
        <w:pStyle w:val="CodeBlock"/>
        <w:shd w:fill="F2F2F2"/>
        <w:pBdr>
          <w:left w:val="single" w:sz="18" w:space="8" w:color="0B4F6C"/>
        </w:pBdr>
      </w:pPr>
      <w:r>
        <w:rPr>
          <w:rFonts w:ascii="DejaVu Sans Mono" w:hAnsi="DejaVu Sans Mono" w:eastAsia="DejaVu Sans Mono"/>
          <w:sz w:val="17"/>
        </w:rPr>
        <w:t>SchemaSurveillanceNotice</w:t>
        <w:br/>
        <w:t xml:space="preserve">        │</w:t>
        <w:br/>
        <w:t xml:space="preserve">        ├─ compatible/info ──&gt; monitoraggio</w:t>
        <w:br/>
        <w:t xml:space="preserve">        └─ breaking/blocking ─&gt; ingestion.onboarding-review.request</w:t>
        <w:br/>
        <w:t xml:space="preserve">                                   │</w:t>
        <w:br/>
        <w:t xml:space="preserve">                                   ▼</w:t>
        <w:br/>
        <w:t xml:space="preserve">                         OnboardingVersion DRAFT</w:t>
        <w:br/>
        <w:t xml:space="preserve">                                   │</w:t>
        <w:br/>
        <w:t xml:space="preserve">                         HUMAN review/approval</w:t>
        <w:br/>
        <w:t xml:space="preserve">                                   │</w:t>
        <w:br/>
        <w:t xml:space="preserve">                                   ▼</w:t>
        <w:br/>
        <w:t xml:space="preserve">                         new ACTIVE bundle</w:t>
      </w:r>
    </w:p>
    <w:p>
      <w:pPr>
        <w:pStyle w:val="Heading2"/>
      </w:pPr>
      <w:r>
        <w:rPr>
          <w:rFonts w:ascii="Noto Sans" w:hAnsi="Noto Sans" w:eastAsia="Noto Sans"/>
        </w:rPr>
        <w:t>36.4 INTERNAL_MANAGED File Intake: capability e guard</w:t>
      </w:r>
    </w:p>
    <w:p>
      <w:r>
        <w:rPr>
          <w:rFonts w:ascii="Noto Sans" w:hAnsi="Noto Sans" w:eastAsia="Noto Sans"/>
        </w:rPr>
        <w:t>Il caricamento di XLSX/CSV o altri file tabellari è una capability governata del bounded context managed source. Il file non viene promosso direttamente a dato canonico: viene prima sottoposto a staging, profiling e onboarding.</w:t>
      </w:r>
    </w:p>
    <w:tbl>
      <w:tblPr>
        <w:tblStyle w:val="TableGrid"/>
        <w:tblW w:type="auto" w:w="0"/>
        <w:tblLook w:firstColumn="1" w:firstRow="1" w:lastColumn="0" w:lastRow="0" w:noHBand="0" w:noVBand="1" w:val="04A0"/>
      </w:tblPr>
      <w:tblGrid>
        <w:gridCol w:w="3135"/>
        <w:gridCol w:w="3135"/>
        <w:gridCol w:w="3135"/>
      </w:tblGrid>
      <w:tr>
        <w:trPr>
          <w:tblHeader w:val="true"/>
        </w:trPr>
        <w:tc>
          <w:tcPr>
            <w:tcW w:type="dxa" w:w="3135"/>
            <w:shd w:fill="0B4F6C"/>
          </w:tcPr>
          <w:p>
            <w:r>
              <w:rPr>
                <w:rFonts w:ascii="Noto Sans" w:hAnsi="Noto Sans" w:eastAsia="Noto Sans"/>
                <w:b/>
                <w:color w:val="FFFFFF"/>
                <w:sz w:val="17"/>
              </w:rPr>
              <w:t>Capability</w:t>
            </w:r>
          </w:p>
        </w:tc>
        <w:tc>
          <w:tcPr>
            <w:tcW w:type="dxa" w:w="3135"/>
            <w:shd w:fill="0B4F6C"/>
          </w:tcPr>
          <w:p>
            <w:r>
              <w:rPr>
                <w:rFonts w:ascii="Noto Sans" w:hAnsi="Noto Sans" w:eastAsia="Noto Sans"/>
                <w:b/>
                <w:color w:val="FFFFFF"/>
                <w:sz w:val="17"/>
              </w:rPr>
              <w:t>Uso</w:t>
            </w:r>
          </w:p>
        </w:tc>
        <w:tc>
          <w:tcPr>
            <w:tcW w:type="dxa" w:w="3135"/>
            <w:shd w:fill="0B4F6C"/>
          </w:tcPr>
          <w:p>
            <w:r>
              <w:rPr>
                <w:rFonts w:ascii="Noto Sans" w:hAnsi="Noto Sans" w:eastAsia="Noto Sans"/>
                <w:b/>
                <w:color w:val="FFFFFF"/>
                <w:sz w:val="17"/>
              </w:rPr>
              <w:t>Policy v1.2</w:t>
            </w:r>
          </w:p>
        </w:tc>
      </w:tr>
      <w:tr>
        <w:tc>
          <w:tcPr>
            <w:tcW w:type="dxa" w:w="3135"/>
          </w:tcPr>
          <w:p>
            <w:r>
              <w:rPr>
                <w:rFonts w:ascii="Noto Sans" w:hAnsi="Noto Sans" w:eastAsia="Noto Sans"/>
                <w:sz w:val="17"/>
              </w:rPr>
              <w:t>managed-source.upload</w:t>
            </w:r>
          </w:p>
        </w:tc>
        <w:tc>
          <w:tcPr>
            <w:tcW w:type="dxa" w:w="3135"/>
          </w:tcPr>
          <w:p>
            <w:r>
              <w:rPr>
                <w:rFonts w:ascii="Noto Sans" w:hAnsi="Noto Sans" w:eastAsia="Noto Sans"/>
                <w:sz w:val="17"/>
              </w:rPr>
              <w:t>Caricamento file in staging</w:t>
            </w:r>
          </w:p>
        </w:tc>
        <w:tc>
          <w:tcPr>
            <w:tcW w:type="dxa" w:w="3135"/>
          </w:tcPr>
          <w:p>
            <w:r>
              <w:rPr>
                <w:rFonts w:ascii="Noto Sans" w:hAnsi="Noto Sans" w:eastAsia="Noto Sans"/>
                <w:sz w:val="17"/>
              </w:rPr>
              <w:t>HUMAN_USER autenticato; limiti formato/dimensione/classificazione</w:t>
            </w:r>
          </w:p>
        </w:tc>
      </w:tr>
      <w:tr>
        <w:tc>
          <w:tcPr>
            <w:tcW w:type="dxa" w:w="3135"/>
          </w:tcPr>
          <w:p>
            <w:r>
              <w:rPr>
                <w:rFonts w:ascii="Noto Sans" w:hAnsi="Noto Sans" w:eastAsia="Noto Sans"/>
                <w:sz w:val="17"/>
              </w:rPr>
              <w:t>managed-source.profile</w:t>
            </w:r>
          </w:p>
        </w:tc>
        <w:tc>
          <w:tcPr>
            <w:tcW w:type="dxa" w:w="3135"/>
          </w:tcPr>
          <w:p>
            <w:r>
              <w:rPr>
                <w:rFonts w:ascii="Noto Sans" w:hAnsi="Noto Sans" w:eastAsia="Noto Sans"/>
                <w:sz w:val="17"/>
              </w:rPr>
              <w:t>Profiling schema, colonne, tipi, candidate key</w:t>
            </w:r>
          </w:p>
        </w:tc>
        <w:tc>
          <w:tcPr>
            <w:tcW w:type="dxa" w:w="3135"/>
          </w:tcPr>
          <w:p>
            <w:r>
              <w:rPr>
                <w:rFonts w:ascii="Noto Sans" w:hAnsi="Noto Sans" w:eastAsia="Noto Sans"/>
                <w:sz w:val="17"/>
              </w:rPr>
              <w:t>HUMAN_USER o AI/MCP autorizzato; non pubblica dati</w:t>
            </w:r>
          </w:p>
        </w:tc>
      </w:tr>
      <w:tr>
        <w:tc>
          <w:tcPr>
            <w:tcW w:type="dxa" w:w="3135"/>
          </w:tcPr>
          <w:p>
            <w:r>
              <w:rPr>
                <w:rFonts w:ascii="Noto Sans" w:hAnsi="Noto Sans" w:eastAsia="Noto Sans"/>
                <w:sz w:val="17"/>
              </w:rPr>
              <w:t>managed-source.onboarding.create</w:t>
            </w:r>
          </w:p>
        </w:tc>
        <w:tc>
          <w:tcPr>
            <w:tcW w:type="dxa" w:w="3135"/>
          </w:tcPr>
          <w:p>
            <w:r>
              <w:rPr>
                <w:rFonts w:ascii="Noto Sans" w:hAnsi="Noto Sans" w:eastAsia="Noto Sans"/>
                <w:sz w:val="17"/>
              </w:rPr>
              <w:t>Crea INTERNAL_MANAGED Source/OnboardingVersion DRAFT</w:t>
            </w:r>
          </w:p>
        </w:tc>
        <w:tc>
          <w:tcPr>
            <w:tcW w:type="dxa" w:w="3135"/>
          </w:tcPr>
          <w:p>
            <w:r>
              <w:rPr>
                <w:rFonts w:ascii="Noto Sans" w:hAnsi="Noto Sans" w:eastAsia="Noto Sans"/>
                <w:sz w:val="17"/>
              </w:rPr>
              <w:t>HUMAN_USER o delegated HUMAN context; AI può proporre</w:t>
            </w:r>
          </w:p>
        </w:tc>
      </w:tr>
      <w:tr>
        <w:tc>
          <w:tcPr>
            <w:tcW w:type="dxa" w:w="3135"/>
          </w:tcPr>
          <w:p>
            <w:r>
              <w:rPr>
                <w:rFonts w:ascii="Noto Sans" w:hAnsi="Noto Sans" w:eastAsia="Noto Sans"/>
                <w:sz w:val="17"/>
              </w:rPr>
              <w:t>managed-source.preview</w:t>
            </w:r>
          </w:p>
        </w:tc>
        <w:tc>
          <w:tcPr>
            <w:tcW w:type="dxa" w:w="3135"/>
          </w:tcPr>
          <w:p>
            <w:r>
              <w:rPr>
                <w:rFonts w:ascii="Noto Sans" w:hAnsi="Noto Sans" w:eastAsia="Noto Sans"/>
                <w:sz w:val="17"/>
              </w:rPr>
              <w:t>Anteprima mapping/righe campione</w:t>
            </w:r>
          </w:p>
        </w:tc>
        <w:tc>
          <w:tcPr>
            <w:tcW w:type="dxa" w:w="3135"/>
          </w:tcPr>
          <w:p>
            <w:r>
              <w:rPr>
                <w:rFonts w:ascii="Noto Sans" w:hAnsi="Noto Sans" w:eastAsia="Noto Sans"/>
                <w:sz w:val="17"/>
              </w:rPr>
              <w:t>read/propose; data minimization</w:t>
            </w:r>
          </w:p>
        </w:tc>
      </w:tr>
      <w:tr>
        <w:tc>
          <w:tcPr>
            <w:tcW w:type="dxa" w:w="3135"/>
          </w:tcPr>
          <w:p>
            <w:r>
              <w:rPr>
                <w:rFonts w:ascii="Noto Sans" w:hAnsi="Noto Sans" w:eastAsia="Noto Sans"/>
                <w:sz w:val="17"/>
              </w:rPr>
              <w:t>managed-source.ingest</w:t>
            </w:r>
          </w:p>
        </w:tc>
        <w:tc>
          <w:tcPr>
            <w:tcW w:type="dxa" w:w="3135"/>
          </w:tcPr>
          <w:p>
            <w:r>
              <w:rPr>
                <w:rFonts w:ascii="Noto Sans" w:hAnsi="Noto Sans" w:eastAsia="Noto Sans"/>
                <w:sz w:val="17"/>
              </w:rPr>
              <w:t>Avvia ingestione dopo bundle ACTIVE</w:t>
            </w:r>
          </w:p>
        </w:tc>
        <w:tc>
          <w:tcPr>
            <w:tcW w:type="dxa" w:w="3135"/>
          </w:tcPr>
          <w:p>
            <w:r>
              <w:rPr>
                <w:rFonts w:ascii="Noto Sans" w:hAnsi="Noto Sans" w:eastAsia="Noto Sans"/>
                <w:sz w:val="17"/>
              </w:rPr>
              <w:t>HUMAN_USER autorizzato o service runtime secondo policy; ACTIVE bundle obbligatorio</w:t>
            </w:r>
          </w:p>
        </w:tc>
      </w:tr>
    </w:tbl>
    <w:p>
      <w:pPr>
        <w:pStyle w:val="Heading2"/>
      </w:pPr>
      <w:r>
        <w:rPr>
          <w:rFonts w:ascii="Noto Sans" w:hAnsi="Noto Sans" w:eastAsia="Noto Sans"/>
        </w:rPr>
        <w:t>36.5 Lineage conversazionale e data authorization</w:t>
      </w:r>
    </w:p>
    <w:p>
      <w:r>
        <w:rPr>
          <w:rFonts w:ascii="Noto Sans" w:hAnsi="Noto Sans" w:eastAsia="Noto Sans"/>
        </w:rPr>
        <w:t>Le capability lineage sono principalmente esposte da Data Lake / UDP / Urban Object Registry; Authorization governa l’accesso in base alla visibilità dell’oggetto e dei dati di provenienza. L’Ingestion Runtime produce gli identificativi e le evidence che alimentano il lineage end-to-end.</w:t>
      </w:r>
    </w:p>
    <w:tbl>
      <w:tblPr>
        <w:tblStyle w:val="TableGrid"/>
        <w:tblW w:type="auto" w:w="0"/>
        <w:tblLook w:firstColumn="1" w:firstRow="1" w:lastColumn="0" w:lastRow="0" w:noHBand="0" w:noVBand="1" w:val="04A0"/>
      </w:tblPr>
      <w:tblGrid>
        <w:gridCol w:w="3135"/>
        <w:gridCol w:w="3135"/>
        <w:gridCol w:w="3135"/>
      </w:tblGrid>
      <w:tr>
        <w:trPr>
          <w:tblHeader w:val="true"/>
        </w:trPr>
        <w:tc>
          <w:tcPr>
            <w:tcW w:type="dxa" w:w="3135"/>
            <w:shd w:fill="0B4F6C"/>
          </w:tcPr>
          <w:p>
            <w:r>
              <w:rPr>
                <w:rFonts w:ascii="Noto Sans" w:hAnsi="Noto Sans" w:eastAsia="Noto Sans"/>
                <w:b/>
                <w:color w:val="FFFFFF"/>
                <w:sz w:val="17"/>
              </w:rPr>
              <w:t>Capability</w:t>
            </w:r>
          </w:p>
        </w:tc>
        <w:tc>
          <w:tcPr>
            <w:tcW w:type="dxa" w:w="3135"/>
            <w:shd w:fill="0B4F6C"/>
          </w:tcPr>
          <w:p>
            <w:r>
              <w:rPr>
                <w:rFonts w:ascii="Noto Sans" w:hAnsi="Noto Sans" w:eastAsia="Noto Sans"/>
                <w:b/>
                <w:color w:val="FFFFFF"/>
                <w:sz w:val="17"/>
              </w:rPr>
              <w:t>Owner logico</w:t>
            </w:r>
          </w:p>
        </w:tc>
        <w:tc>
          <w:tcPr>
            <w:tcW w:type="dxa" w:w="3135"/>
            <w:shd w:fill="0B4F6C"/>
          </w:tcPr>
          <w:p>
            <w:r>
              <w:rPr>
                <w:rFonts w:ascii="Noto Sans" w:hAnsi="Noto Sans" w:eastAsia="Noto Sans"/>
                <w:b/>
                <w:color w:val="FFFFFF"/>
                <w:sz w:val="17"/>
              </w:rPr>
              <w:t>Regola autorizzativa</w:t>
            </w:r>
          </w:p>
        </w:tc>
      </w:tr>
      <w:tr>
        <w:tc>
          <w:tcPr>
            <w:tcW w:type="dxa" w:w="3135"/>
          </w:tcPr>
          <w:p>
            <w:r>
              <w:rPr>
                <w:rFonts w:ascii="Noto Sans" w:hAnsi="Noto Sans" w:eastAsia="Noto Sans"/>
                <w:sz w:val="17"/>
              </w:rPr>
              <w:t>lineage.object.read</w:t>
            </w:r>
          </w:p>
        </w:tc>
        <w:tc>
          <w:tcPr>
            <w:tcW w:type="dxa" w:w="3135"/>
          </w:tcPr>
          <w:p>
            <w:r>
              <w:rPr>
                <w:rFonts w:ascii="Noto Sans" w:hAnsi="Noto Sans" w:eastAsia="Noto Sans"/>
                <w:sz w:val="17"/>
              </w:rPr>
              <w:t>UDP / Lineage service boundary</w:t>
            </w:r>
          </w:p>
        </w:tc>
        <w:tc>
          <w:tcPr>
            <w:tcW w:type="dxa" w:w="3135"/>
          </w:tcPr>
          <w:p>
            <w:r>
              <w:rPr>
                <w:rFonts w:ascii="Noto Sans" w:hAnsi="Noto Sans" w:eastAsia="Noto Sans"/>
                <w:sz w:val="17"/>
              </w:rPr>
              <w:t>richiede accesso all’Urban Object e alla relativa provenance</w:t>
            </w:r>
          </w:p>
        </w:tc>
      </w:tr>
      <w:tr>
        <w:tc>
          <w:tcPr>
            <w:tcW w:type="dxa" w:w="3135"/>
          </w:tcPr>
          <w:p>
            <w:r>
              <w:rPr>
                <w:rFonts w:ascii="Noto Sans" w:hAnsi="Noto Sans" w:eastAsia="Noto Sans"/>
                <w:sz w:val="17"/>
              </w:rPr>
              <w:t>lineage.property.read</w:t>
            </w:r>
          </w:p>
        </w:tc>
        <w:tc>
          <w:tcPr>
            <w:tcW w:type="dxa" w:w="3135"/>
          </w:tcPr>
          <w:p>
            <w:r>
              <w:rPr>
                <w:rFonts w:ascii="Noto Sans" w:hAnsi="Noto Sans" w:eastAsia="Noto Sans"/>
                <w:sz w:val="17"/>
              </w:rPr>
              <w:t>UDP / Lineage service boundary</w:t>
            </w:r>
          </w:p>
        </w:tc>
        <w:tc>
          <w:tcPr>
            <w:tcW w:type="dxa" w:w="3135"/>
          </w:tcPr>
          <w:p>
            <w:r>
              <w:rPr>
                <w:rFonts w:ascii="Noto Sans" w:hAnsi="Noto Sans" w:eastAsia="Noto Sans"/>
                <w:sz w:val="17"/>
              </w:rPr>
              <w:t>applica anche policy sul singolo attributo se presenti</w:t>
            </w:r>
          </w:p>
        </w:tc>
      </w:tr>
      <w:tr>
        <w:tc>
          <w:tcPr>
            <w:tcW w:type="dxa" w:w="3135"/>
          </w:tcPr>
          <w:p>
            <w:r>
              <w:rPr>
                <w:rFonts w:ascii="Noto Sans" w:hAnsi="Noto Sans" w:eastAsia="Noto Sans"/>
                <w:sz w:val="17"/>
              </w:rPr>
              <w:t>lineage.source.trace</w:t>
            </w:r>
          </w:p>
        </w:tc>
        <w:tc>
          <w:tcPr>
            <w:tcW w:type="dxa" w:w="3135"/>
          </w:tcPr>
          <w:p>
            <w:r>
              <w:rPr>
                <w:rFonts w:ascii="Noto Sans" w:hAnsi="Noto Sans" w:eastAsia="Noto Sans"/>
                <w:sz w:val="17"/>
              </w:rPr>
              <w:t>UDP/Data Lake</w:t>
            </w:r>
          </w:p>
        </w:tc>
        <w:tc>
          <w:tcPr>
            <w:tcW w:type="dxa" w:w="3135"/>
          </w:tcPr>
          <w:p>
            <w:r>
              <w:rPr>
                <w:rFonts w:ascii="Noto Sans" w:hAnsi="Noto Sans" w:eastAsia="Noto Sans"/>
                <w:sz w:val="17"/>
              </w:rPr>
              <w:t>non espone secret, endpoint sensibili o payload non autorizzati</w:t>
            </w:r>
          </w:p>
        </w:tc>
      </w:tr>
      <w:tr>
        <w:tc>
          <w:tcPr>
            <w:tcW w:type="dxa" w:w="3135"/>
          </w:tcPr>
          <w:p>
            <w:r>
              <w:rPr>
                <w:rFonts w:ascii="Noto Sans" w:hAnsi="Noto Sans" w:eastAsia="Noto Sans"/>
                <w:sz w:val="17"/>
              </w:rPr>
              <w:t>lineage.processing.trace</w:t>
            </w:r>
          </w:p>
        </w:tc>
        <w:tc>
          <w:tcPr>
            <w:tcW w:type="dxa" w:w="3135"/>
          </w:tcPr>
          <w:p>
            <w:r>
              <w:rPr>
                <w:rFonts w:ascii="Noto Sans" w:hAnsi="Noto Sans" w:eastAsia="Noto Sans"/>
                <w:sz w:val="17"/>
              </w:rPr>
              <w:t>UDP/Data Lake + Ingestion evidence</w:t>
            </w:r>
          </w:p>
        </w:tc>
        <w:tc>
          <w:tcPr>
            <w:tcW w:type="dxa" w:w="3135"/>
          </w:tcPr>
          <w:p>
            <w:r>
              <w:rPr>
                <w:rFonts w:ascii="Noto Sans" w:hAnsi="Noto Sans" w:eastAsia="Noto Sans"/>
                <w:sz w:val="17"/>
              </w:rPr>
              <w:t>consente run/mapping/schema refs secondo least privilege</w:t>
            </w:r>
          </w:p>
        </w:tc>
      </w:tr>
      <w:tr>
        <w:tc>
          <w:tcPr>
            <w:tcW w:type="dxa" w:w="3135"/>
          </w:tcPr>
          <w:p>
            <w:r>
              <w:rPr>
                <w:rFonts w:ascii="Noto Sans" w:hAnsi="Noto Sans" w:eastAsia="Noto Sans"/>
                <w:sz w:val="17"/>
              </w:rPr>
              <w:t>lineage.history.read</w:t>
            </w:r>
          </w:p>
        </w:tc>
        <w:tc>
          <w:tcPr>
            <w:tcW w:type="dxa" w:w="3135"/>
          </w:tcPr>
          <w:p>
            <w:r>
              <w:rPr>
                <w:rFonts w:ascii="Noto Sans" w:hAnsi="Noto Sans" w:eastAsia="Noto Sans"/>
                <w:sz w:val="17"/>
              </w:rPr>
              <w:t>UDP/Object Registry</w:t>
            </w:r>
          </w:p>
        </w:tc>
        <w:tc>
          <w:tcPr>
            <w:tcW w:type="dxa" w:w="3135"/>
          </w:tcPr>
          <w:p>
            <w:r>
              <w:rPr>
                <w:rFonts w:ascii="Noto Sans" w:hAnsi="Noto Sans" w:eastAsia="Noto Sans"/>
                <w:sz w:val="17"/>
              </w:rPr>
              <w:t>rispetta retention, historical contract visibility e data classification</w:t>
            </w:r>
          </w:p>
        </w:tc>
      </w:tr>
    </w:tbl>
    <w:p>
      <w:pPr>
        <w:pStyle w:val="Heading2"/>
      </w:pPr>
      <w:r>
        <w:rPr>
          <w:rFonts w:ascii="Noto Sans" w:hAnsi="Noto Sans" w:eastAsia="Noto Sans"/>
        </w:rPr>
        <w:t>36.6 Concorrenza multiutente e optimistic authorization</w:t>
      </w:r>
    </w:p>
    <w:p>
      <w:pPr>
        <w:pStyle w:val="ListBullet"/>
      </w:pPr>
      <w:r>
        <w:rPr>
          <w:rFonts w:ascii="Noto Sans" w:hAnsi="Noto Sans" w:eastAsia="Noto Sans"/>
        </w:rPr>
        <w:t>La policy decision è stateless rispetto alla sessione applicativa e deve supportare utenti, agenti e workload concorrenti.</w:t>
      </w:r>
    </w:p>
    <w:p>
      <w:pPr>
        <w:pStyle w:val="ListBullet"/>
      </w:pPr>
      <w:r>
        <w:rPr>
          <w:rFonts w:ascii="Noto Sans" w:hAnsi="Noto Sans" w:eastAsia="Noto Sans"/>
        </w:rPr>
        <w:t>Authorization non serializza le operazioni di dominio: i moduli owner applicano ETag/lockVersion, idempotency e state guard. Un ALLOW non garantisce che il comando resti valido se la risorsa cambia prima del commit.</w:t>
      </w:r>
    </w:p>
    <w:p>
      <w:pPr>
        <w:pStyle w:val="ListBullet"/>
      </w:pPr>
      <w:r>
        <w:rPr>
          <w:rFonts w:ascii="Noto Sans" w:hAnsi="Noto Sans" w:eastAsia="Noto Sans"/>
        </w:rPr>
        <w:t>Per azioni mutative, il servizio applicativo deve rivalutare authorization e guard sullo stato corrente nella stessa transazione logica del comando.</w:t>
      </w:r>
    </w:p>
    <w:p>
      <w:pPr>
        <w:pStyle w:val="ListBullet"/>
      </w:pPr>
      <w:r>
        <w:rPr>
          <w:rFonts w:ascii="Noto Sans" w:hAnsi="Noto Sans" w:eastAsia="Noto Sans"/>
        </w:rPr>
        <w:t>Due utenti che operano sulla stessa issue/quarantena/configurazione possono ricevere entrambi ALLOW, ma solo il comando coerente con la versione corrente viene committato; l’altro riceve conflict/precondition failure.</w:t>
      </w:r>
    </w:p>
    <w:p>
      <w:pPr>
        <w:pStyle w:val="ListBullet"/>
      </w:pPr>
      <w:r>
        <w:rPr>
          <w:rFonts w:ascii="Noto Sans" w:hAnsi="Noto Sans" w:eastAsia="Noto Sans"/>
        </w:rPr>
        <w:t>Policy bundle e cache possono essere letti concorrentemente; l’attivazione di una nuova policy version usa pointer/version atomici e non produce configurazioni miste.</w:t>
      </w:r>
    </w:p>
    <w:p>
      <w:pPr>
        <w:pStyle w:val="Heading2"/>
      </w:pPr>
      <w:r>
        <w:rPr>
          <w:rFonts w:ascii="Noto Sans" w:hAnsi="Noto Sans" w:eastAsia="Noto Sans"/>
        </w:rPr>
        <w:t>36.7 Capability risk classification aggiornata</w:t>
      </w:r>
    </w:p>
    <w:tbl>
      <w:tblPr>
        <w:tblStyle w:val="TableGrid"/>
        <w:tblW w:type="auto" w:w="0"/>
        <w:tblLook w:firstColumn="1" w:firstRow="1" w:lastColumn="0" w:lastRow="0" w:noHBand="0" w:noVBand="1" w:val="04A0"/>
      </w:tblPr>
      <w:tblGrid>
        <w:gridCol w:w="3135"/>
        <w:gridCol w:w="3135"/>
        <w:gridCol w:w="3135"/>
      </w:tblGrid>
      <w:tr>
        <w:trPr>
          <w:tblHeader w:val="true"/>
        </w:trPr>
        <w:tc>
          <w:tcPr>
            <w:tcW w:type="dxa" w:w="3135"/>
            <w:shd w:fill="0B4F6C"/>
          </w:tcPr>
          <w:p>
            <w:r>
              <w:rPr>
                <w:rFonts w:ascii="Noto Sans" w:hAnsi="Noto Sans" w:eastAsia="Noto Sans"/>
                <w:b/>
                <w:color w:val="FFFFFF"/>
                <w:sz w:val="17"/>
              </w:rPr>
              <w:t>Classe</w:t>
            </w:r>
          </w:p>
        </w:tc>
        <w:tc>
          <w:tcPr>
            <w:tcW w:type="dxa" w:w="3135"/>
            <w:shd w:fill="0B4F6C"/>
          </w:tcPr>
          <w:p>
            <w:r>
              <w:rPr>
                <w:rFonts w:ascii="Noto Sans" w:hAnsi="Noto Sans" w:eastAsia="Noto Sans"/>
                <w:b/>
                <w:color w:val="FFFFFF"/>
                <w:sz w:val="17"/>
              </w:rPr>
              <w:t>Esempi</w:t>
            </w:r>
          </w:p>
        </w:tc>
        <w:tc>
          <w:tcPr>
            <w:tcW w:type="dxa" w:w="3135"/>
            <w:shd w:fill="0B4F6C"/>
          </w:tcPr>
          <w:p>
            <w:r>
              <w:rPr>
                <w:rFonts w:ascii="Noto Sans" w:hAnsi="Noto Sans" w:eastAsia="Noto Sans"/>
                <w:b/>
                <w:color w:val="FFFFFF"/>
                <w:sz w:val="17"/>
              </w:rPr>
              <w:t>Human confirmation</w:t>
            </w:r>
          </w:p>
        </w:tc>
      </w:tr>
      <w:tr>
        <w:tc>
          <w:tcPr>
            <w:tcW w:type="dxa" w:w="3135"/>
          </w:tcPr>
          <w:p>
            <w:r>
              <w:rPr>
                <w:rFonts w:ascii="Noto Sans" w:hAnsi="Noto Sans" w:eastAsia="Noto Sans"/>
                <w:sz w:val="17"/>
              </w:rPr>
              <w:t>READ</w:t>
            </w:r>
          </w:p>
        </w:tc>
        <w:tc>
          <w:tcPr>
            <w:tcW w:type="dxa" w:w="3135"/>
          </w:tcPr>
          <w:p>
            <w:r>
              <w:rPr>
                <w:rFonts w:ascii="Noto Sans" w:hAnsi="Noto Sans" w:eastAsia="Noto Sans"/>
                <w:sz w:val="17"/>
              </w:rPr>
              <w:t>issue.read, quarantine.list, lineage.object.read</w:t>
            </w:r>
          </w:p>
        </w:tc>
        <w:tc>
          <w:tcPr>
            <w:tcW w:type="dxa" w:w="3135"/>
          </w:tcPr>
          <w:p>
            <w:r>
              <w:rPr>
                <w:rFonts w:ascii="Noto Sans" w:hAnsi="Noto Sans" w:eastAsia="Noto Sans"/>
                <w:sz w:val="17"/>
              </w:rPr>
              <w:t>No, salvo step-up per dati classificati</w:t>
            </w:r>
          </w:p>
        </w:tc>
      </w:tr>
      <w:tr>
        <w:tc>
          <w:tcPr>
            <w:tcW w:type="dxa" w:w="3135"/>
          </w:tcPr>
          <w:p>
            <w:r>
              <w:rPr>
                <w:rFonts w:ascii="Noto Sans" w:hAnsi="Noto Sans" w:eastAsia="Noto Sans"/>
                <w:sz w:val="17"/>
              </w:rPr>
              <w:t>PROPOSE</w:t>
            </w:r>
          </w:p>
        </w:tc>
        <w:tc>
          <w:tcPr>
            <w:tcW w:type="dxa" w:w="3135"/>
          </w:tcPr>
          <w:p>
            <w:r>
              <w:rPr>
                <w:rFonts w:ascii="Noto Sans" w:hAnsi="Noto Sans" w:eastAsia="Noto Sans"/>
                <w:sz w:val="17"/>
              </w:rPr>
              <w:t>issue.explain, schema-drift.explain, onboarding-review.request</w:t>
            </w:r>
          </w:p>
        </w:tc>
        <w:tc>
          <w:tcPr>
            <w:tcW w:type="dxa" w:w="3135"/>
          </w:tcPr>
          <w:p>
            <w:r>
              <w:rPr>
                <w:rFonts w:ascii="Noto Sans" w:hAnsi="Noto Sans" w:eastAsia="Noto Sans"/>
                <w:sz w:val="17"/>
              </w:rPr>
              <w:t>No decisione autoritativa; audit della proposta</w:t>
            </w:r>
          </w:p>
        </w:tc>
      </w:tr>
      <w:tr>
        <w:tc>
          <w:tcPr>
            <w:tcW w:type="dxa" w:w="3135"/>
          </w:tcPr>
          <w:p>
            <w:r>
              <w:rPr>
                <w:rFonts w:ascii="Noto Sans" w:hAnsi="Noto Sans" w:eastAsia="Noto Sans"/>
                <w:sz w:val="17"/>
              </w:rPr>
              <w:t>OPERATIONAL_WRITE</w:t>
            </w:r>
          </w:p>
        </w:tc>
        <w:tc>
          <w:tcPr>
            <w:tcW w:type="dxa" w:w="3135"/>
          </w:tcPr>
          <w:p>
            <w:r>
              <w:rPr>
                <w:rFonts w:ascii="Noto Sans" w:hAnsi="Noto Sans" w:eastAsia="Noto Sans"/>
                <w:sz w:val="17"/>
              </w:rPr>
              <w:t>quarantine.retry, issue.resolve, managed-source.upload</w:t>
            </w:r>
          </w:p>
        </w:tc>
        <w:tc>
          <w:tcPr>
            <w:tcW w:type="dxa" w:w="3135"/>
          </w:tcPr>
          <w:p>
            <w:r>
              <w:rPr>
                <w:rFonts w:ascii="Noto Sans" w:hAnsi="Noto Sans" w:eastAsia="Noto Sans"/>
                <w:sz w:val="17"/>
              </w:rPr>
              <w:t>HUMAN_USER/delegated HUMAN o service identity espressamente autorizzata</w:t>
            </w:r>
          </w:p>
        </w:tc>
      </w:tr>
      <w:tr>
        <w:tc>
          <w:tcPr>
            <w:tcW w:type="dxa" w:w="3135"/>
          </w:tcPr>
          <w:p>
            <w:r>
              <w:rPr>
                <w:rFonts w:ascii="Noto Sans" w:hAnsi="Noto Sans" w:eastAsia="Noto Sans"/>
                <w:sz w:val="17"/>
              </w:rPr>
              <w:t>CONFIGURATION_WRITE</w:t>
            </w:r>
          </w:p>
        </w:tc>
        <w:tc>
          <w:tcPr>
            <w:tcW w:type="dxa" w:w="3135"/>
          </w:tcPr>
          <w:p>
            <w:r>
              <w:rPr>
                <w:rFonts w:ascii="Noto Sans" w:hAnsi="Noto Sans" w:eastAsia="Noto Sans"/>
                <w:sz w:val="17"/>
              </w:rPr>
              <w:t>onboarding.edit, policy draft</w:t>
            </w:r>
          </w:p>
        </w:tc>
        <w:tc>
          <w:tcPr>
            <w:tcW w:type="dxa" w:w="3135"/>
          </w:tcPr>
          <w:p>
            <w:r>
              <w:rPr>
                <w:rFonts w:ascii="Noto Sans" w:hAnsi="Noto Sans" w:eastAsia="Noto Sans"/>
                <w:sz w:val="17"/>
              </w:rPr>
              <w:t>HUMAN_USER; AI solo propose/edit controllato</w:t>
            </w:r>
          </w:p>
        </w:tc>
      </w:tr>
      <w:tr>
        <w:tc>
          <w:tcPr>
            <w:tcW w:type="dxa" w:w="3135"/>
          </w:tcPr>
          <w:p>
            <w:r>
              <w:rPr>
                <w:rFonts w:ascii="Noto Sans" w:hAnsi="Noto Sans" w:eastAsia="Noto Sans"/>
                <w:sz w:val="17"/>
              </w:rPr>
              <w:t>HIGH_IMPACT</w:t>
            </w:r>
          </w:p>
        </w:tc>
        <w:tc>
          <w:tcPr>
            <w:tcW w:type="dxa" w:w="3135"/>
          </w:tcPr>
          <w:p>
            <w:r>
              <w:rPr>
                <w:rFonts w:ascii="Noto Sans" w:hAnsi="Noto Sans" w:eastAsia="Noto Sans"/>
                <w:sz w:val="17"/>
              </w:rPr>
              <w:t>onboarding.approve/activate, semantic.publish, policy.activate</w:t>
            </w:r>
          </w:p>
        </w:tc>
        <w:tc>
          <w:tcPr>
            <w:tcW w:type="dxa" w:w="3135"/>
          </w:tcPr>
          <w:p>
            <w:r>
              <w:rPr>
                <w:rFonts w:ascii="Noto Sans" w:hAnsi="Noto Sans" w:eastAsia="Noto Sans"/>
                <w:sz w:val="17"/>
              </w:rPr>
              <w:t>HUMAN_USER only + challenge/step-up/SoD secondo policy</w:t>
            </w:r>
          </w:p>
        </w:tc>
      </w:tr>
    </w:tbl>
    <w:p>
      <w:pPr>
        <w:pStyle w:val="Heading2"/>
      </w:pPr>
      <w:r>
        <w:rPr>
          <w:rFonts w:ascii="Noto Sans" w:hAnsi="Noto Sans" w:eastAsia="Noto Sans"/>
        </w:rPr>
        <w:t>36.8 Conformance aggiuntiva v1.2</w:t>
      </w:r>
    </w:p>
    <w:tbl>
      <w:tblPr>
        <w:tblStyle w:val="TableGrid"/>
        <w:tblW w:type="auto" w:w="0"/>
        <w:tblLook w:firstColumn="1" w:firstRow="1" w:lastColumn="0" w:lastRow="0" w:noHBand="0" w:noVBand="1" w:val="04A0"/>
      </w:tblPr>
      <w:tblGrid>
        <w:gridCol w:w="3135"/>
        <w:gridCol w:w="3135"/>
        <w:gridCol w:w="3135"/>
      </w:tblGrid>
      <w:tr>
        <w:trPr>
          <w:tblHeader w:val="true"/>
        </w:trPr>
        <w:tc>
          <w:tcPr>
            <w:tcW w:type="dxa" w:w="3135"/>
            <w:shd w:fill="0B4F6C"/>
          </w:tcPr>
          <w:p>
            <w:r>
              <w:rPr>
                <w:rFonts w:ascii="Noto Sans" w:hAnsi="Noto Sans" w:eastAsia="Noto Sans"/>
                <w:b/>
                <w:color w:val="FFFFFF"/>
                <w:sz w:val="17"/>
              </w:rPr>
              <w:t>ID</w:t>
            </w:r>
          </w:p>
        </w:tc>
        <w:tc>
          <w:tcPr>
            <w:tcW w:type="dxa" w:w="3135"/>
            <w:shd w:fill="0B4F6C"/>
          </w:tcPr>
          <w:p>
            <w:r>
              <w:rPr>
                <w:rFonts w:ascii="Noto Sans" w:hAnsi="Noto Sans" w:eastAsia="Noto Sans"/>
                <w:b/>
                <w:color w:val="FFFFFF"/>
                <w:sz w:val="17"/>
              </w:rPr>
              <w:t>Scenario</w:t>
            </w:r>
          </w:p>
        </w:tc>
        <w:tc>
          <w:tcPr>
            <w:tcW w:type="dxa" w:w="3135"/>
            <w:shd w:fill="0B4F6C"/>
          </w:tcPr>
          <w:p>
            <w:r>
              <w:rPr>
                <w:rFonts w:ascii="Noto Sans" w:hAnsi="Noto Sans" w:eastAsia="Noto Sans"/>
                <w:b/>
                <w:color w:val="FFFFFF"/>
                <w:sz w:val="17"/>
              </w:rPr>
              <w:t>Esito richiesto</w:t>
            </w:r>
          </w:p>
        </w:tc>
      </w:tr>
      <w:tr>
        <w:tc>
          <w:tcPr>
            <w:tcW w:type="dxa" w:w="3135"/>
          </w:tcPr>
          <w:p>
            <w:r>
              <w:rPr>
                <w:rFonts w:ascii="Noto Sans" w:hAnsi="Noto Sans" w:eastAsia="Noto Sans"/>
                <w:sz w:val="17"/>
              </w:rPr>
              <w:t>AUTH-I01</w:t>
            </w:r>
          </w:p>
        </w:tc>
        <w:tc>
          <w:tcPr>
            <w:tcW w:type="dxa" w:w="3135"/>
          </w:tcPr>
          <w:p>
            <w:r>
              <w:rPr>
                <w:rFonts w:ascii="Noto Sans" w:hAnsi="Noto Sans" w:eastAsia="Noto Sans"/>
                <w:sz w:val="17"/>
              </w:rPr>
              <w:t>AI_AGENT tenta ingestion.issue.resolve senza user context</w:t>
            </w:r>
          </w:p>
        </w:tc>
        <w:tc>
          <w:tcPr>
            <w:tcW w:type="dxa" w:w="3135"/>
          </w:tcPr>
          <w:p>
            <w:r>
              <w:rPr>
                <w:rFonts w:ascii="Noto Sans" w:hAnsi="Noto Sans" w:eastAsia="Noto Sans"/>
                <w:sz w:val="17"/>
              </w:rPr>
              <w:t>DENY</w:t>
            </w:r>
          </w:p>
        </w:tc>
      </w:tr>
      <w:tr>
        <w:tc>
          <w:tcPr>
            <w:tcW w:type="dxa" w:w="3135"/>
          </w:tcPr>
          <w:p>
            <w:r>
              <w:rPr>
                <w:rFonts w:ascii="Noto Sans" w:hAnsi="Noto Sans" w:eastAsia="Noto Sans"/>
                <w:sz w:val="17"/>
              </w:rPr>
              <w:t>AUTH-I02</w:t>
            </w:r>
          </w:p>
        </w:tc>
        <w:tc>
          <w:tcPr>
            <w:tcW w:type="dxa" w:w="3135"/>
          </w:tcPr>
          <w:p>
            <w:r>
              <w:rPr>
                <w:rFonts w:ascii="Noto Sans" w:hAnsi="Noto Sans" w:eastAsia="Noto Sans"/>
                <w:sz w:val="17"/>
              </w:rPr>
              <w:t>HUMAN_USER via Agent Host risolve issue con grant valido</w:t>
            </w:r>
          </w:p>
        </w:tc>
        <w:tc>
          <w:tcPr>
            <w:tcW w:type="dxa" w:w="3135"/>
          </w:tcPr>
          <w:p>
            <w:r>
              <w:rPr>
                <w:rFonts w:ascii="Noto Sans" w:hAnsi="Noto Sans" w:eastAsia="Noto Sans"/>
                <w:sz w:val="17"/>
              </w:rPr>
              <w:t>ALLOW + actor/delegatedVia auditati</w:t>
            </w:r>
          </w:p>
        </w:tc>
      </w:tr>
      <w:tr>
        <w:tc>
          <w:tcPr>
            <w:tcW w:type="dxa" w:w="3135"/>
          </w:tcPr>
          <w:p>
            <w:r>
              <w:rPr>
                <w:rFonts w:ascii="Noto Sans" w:hAnsi="Noto Sans" w:eastAsia="Noto Sans"/>
                <w:sz w:val="17"/>
              </w:rPr>
              <w:t>AUTH-I03</w:t>
            </w:r>
          </w:p>
        </w:tc>
        <w:tc>
          <w:tcPr>
            <w:tcW w:type="dxa" w:w="3135"/>
          </w:tcPr>
          <w:p>
            <w:r>
              <w:rPr>
                <w:rFonts w:ascii="Noto Sans" w:hAnsi="Noto Sans" w:eastAsia="Noto Sans"/>
                <w:sz w:val="17"/>
              </w:rPr>
              <w:t>AI richiede onboarding-review da schema drift</w:t>
            </w:r>
          </w:p>
        </w:tc>
        <w:tc>
          <w:tcPr>
            <w:tcW w:type="dxa" w:w="3135"/>
          </w:tcPr>
          <w:p>
            <w:r>
              <w:rPr>
                <w:rFonts w:ascii="Noto Sans" w:hAnsi="Noto Sans" w:eastAsia="Noto Sans"/>
                <w:sz w:val="17"/>
              </w:rPr>
              <w:t>può creare proposal/request; non approva né attiva</w:t>
            </w:r>
          </w:p>
        </w:tc>
      </w:tr>
      <w:tr>
        <w:tc>
          <w:tcPr>
            <w:tcW w:type="dxa" w:w="3135"/>
          </w:tcPr>
          <w:p>
            <w:r>
              <w:rPr>
                <w:rFonts w:ascii="Noto Sans" w:hAnsi="Noto Sans" w:eastAsia="Noto Sans"/>
                <w:sz w:val="17"/>
              </w:rPr>
              <w:t>AUTH-I04</w:t>
            </w:r>
          </w:p>
        </w:tc>
        <w:tc>
          <w:tcPr>
            <w:tcW w:type="dxa" w:w="3135"/>
          </w:tcPr>
          <w:p>
            <w:r>
              <w:rPr>
                <w:rFonts w:ascii="Noto Sans" w:hAnsi="Noto Sans" w:eastAsia="Noto Sans"/>
                <w:sz w:val="17"/>
              </w:rPr>
              <w:t>Upload XLSX INTERNAL_MANAGED senza managed-source.upload</w:t>
            </w:r>
          </w:p>
        </w:tc>
        <w:tc>
          <w:tcPr>
            <w:tcW w:type="dxa" w:w="3135"/>
          </w:tcPr>
          <w:p>
            <w:r>
              <w:rPr>
                <w:rFonts w:ascii="Noto Sans" w:hAnsi="Noto Sans" w:eastAsia="Noto Sans"/>
                <w:sz w:val="17"/>
              </w:rPr>
              <w:t>DENY</w:t>
            </w:r>
          </w:p>
        </w:tc>
      </w:tr>
      <w:tr>
        <w:tc>
          <w:tcPr>
            <w:tcW w:type="dxa" w:w="3135"/>
          </w:tcPr>
          <w:p>
            <w:r>
              <w:rPr>
                <w:rFonts w:ascii="Noto Sans" w:hAnsi="Noto Sans" w:eastAsia="Noto Sans"/>
                <w:sz w:val="17"/>
              </w:rPr>
              <w:t>AUTH-I05</w:t>
            </w:r>
          </w:p>
        </w:tc>
        <w:tc>
          <w:tcPr>
            <w:tcW w:type="dxa" w:w="3135"/>
          </w:tcPr>
          <w:p>
            <w:r>
              <w:rPr>
                <w:rFonts w:ascii="Noto Sans" w:hAnsi="Noto Sans" w:eastAsia="Noto Sans"/>
                <w:sz w:val="17"/>
              </w:rPr>
              <w:t>Lineage read verso oggetto non visibile al subject</w:t>
            </w:r>
          </w:p>
        </w:tc>
        <w:tc>
          <w:tcPr>
            <w:tcW w:type="dxa" w:w="3135"/>
          </w:tcPr>
          <w:p>
            <w:r>
              <w:rPr>
                <w:rFonts w:ascii="Noto Sans" w:hAnsi="Noto Sans" w:eastAsia="Noto Sans"/>
                <w:sz w:val="17"/>
              </w:rPr>
              <w:t>DENY senza leakage di metadata sensibili</w:t>
            </w:r>
          </w:p>
        </w:tc>
      </w:tr>
      <w:tr>
        <w:tc>
          <w:tcPr>
            <w:tcW w:type="dxa" w:w="3135"/>
          </w:tcPr>
          <w:p>
            <w:r>
              <w:rPr>
                <w:rFonts w:ascii="Noto Sans" w:hAnsi="Noto Sans" w:eastAsia="Noto Sans"/>
                <w:sz w:val="17"/>
              </w:rPr>
              <w:t>AUTH-I06</w:t>
            </w:r>
          </w:p>
        </w:tc>
        <w:tc>
          <w:tcPr>
            <w:tcW w:type="dxa" w:w="3135"/>
          </w:tcPr>
          <w:p>
            <w:r>
              <w:rPr>
                <w:rFonts w:ascii="Noto Sans" w:hAnsi="Noto Sans" w:eastAsia="Noto Sans"/>
                <w:sz w:val="17"/>
              </w:rPr>
              <w:t>Due utenti risolvono la stessa issue con stesso ETag</w:t>
            </w:r>
          </w:p>
        </w:tc>
        <w:tc>
          <w:tcPr>
            <w:tcW w:type="dxa" w:w="3135"/>
          </w:tcPr>
          <w:p>
            <w:r>
              <w:rPr>
                <w:rFonts w:ascii="Noto Sans" w:hAnsi="Noto Sans" w:eastAsia="Noto Sans"/>
                <w:sz w:val="17"/>
              </w:rPr>
              <w:t>uno commit; secondo 409/412 senza doppio effetto</w:t>
            </w:r>
          </w:p>
        </w:tc>
      </w:tr>
      <w:tr>
        <w:tc>
          <w:tcPr>
            <w:tcW w:type="dxa" w:w="3135"/>
          </w:tcPr>
          <w:p>
            <w:r>
              <w:rPr>
                <w:rFonts w:ascii="Noto Sans" w:hAnsi="Noto Sans" w:eastAsia="Noto Sans"/>
                <w:sz w:val="17"/>
              </w:rPr>
              <w:t>AUTH-I07</w:t>
            </w:r>
          </w:p>
        </w:tc>
        <w:tc>
          <w:tcPr>
            <w:tcW w:type="dxa" w:w="3135"/>
          </w:tcPr>
          <w:p>
            <w:r>
              <w:rPr>
                <w:rFonts w:ascii="Noto Sans" w:hAnsi="Noto Sans" w:eastAsia="Noto Sans"/>
                <w:sz w:val="17"/>
              </w:rPr>
              <w:t>Service identity tenta human-only capability</w:t>
            </w:r>
          </w:p>
        </w:tc>
        <w:tc>
          <w:tcPr>
            <w:tcW w:type="dxa" w:w="3135"/>
          </w:tcPr>
          <w:p>
            <w:r>
              <w:rPr>
                <w:rFonts w:ascii="Noto Sans" w:hAnsi="Noto Sans" w:eastAsia="Noto Sans"/>
                <w:sz w:val="17"/>
              </w:rPr>
              <w:t>DENY indipendentemente dallo scope coarse del Gateway</w:t>
            </w:r>
          </w:p>
        </w:tc>
      </w:tr>
      <w:tr>
        <w:tc>
          <w:tcPr>
            <w:tcW w:type="dxa" w:w="3135"/>
          </w:tcPr>
          <w:p>
            <w:r>
              <w:rPr>
                <w:rFonts w:ascii="Noto Sans" w:hAnsi="Noto Sans" w:eastAsia="Noto Sans"/>
                <w:sz w:val="17"/>
              </w:rPr>
              <w:t>AUTH-I08</w:t>
            </w:r>
          </w:p>
        </w:tc>
        <w:tc>
          <w:tcPr>
            <w:tcW w:type="dxa" w:w="3135"/>
          </w:tcPr>
          <w:p>
            <w:r>
              <w:rPr>
                <w:rFonts w:ascii="Noto Sans" w:hAnsi="Noto Sans" w:eastAsia="Noto Sans"/>
                <w:sz w:val="17"/>
              </w:rPr>
              <w:t>Nuova capability non presente nel policy bundle</w:t>
            </w:r>
          </w:p>
        </w:tc>
        <w:tc>
          <w:tcPr>
            <w:tcW w:type="dxa" w:w="3135"/>
          </w:tcPr>
          <w:p>
            <w:r>
              <w:rPr>
                <w:rFonts w:ascii="Noto Sans" w:hAnsi="Noto Sans" w:eastAsia="Noto Sans"/>
                <w:sz w:val="17"/>
              </w:rPr>
              <w:t>default DENY</w:t>
            </w:r>
          </w:p>
        </w:tc>
      </w:tr>
      <w:tr>
        <w:tc>
          <w:tcPr>
            <w:tcW w:type="dxa" w:w="3135"/>
          </w:tcPr>
          <w:p>
            <w:r>
              <w:rPr>
                <w:rFonts w:ascii="Noto Sans" w:hAnsi="Noto Sans" w:eastAsia="Noto Sans"/>
                <w:sz w:val="17"/>
              </w:rPr>
              <w:t>AUTH-I09</w:t>
            </w:r>
          </w:p>
        </w:tc>
        <w:tc>
          <w:tcPr>
            <w:tcW w:type="dxa" w:w="3135"/>
          </w:tcPr>
          <w:p>
            <w:r>
              <w:rPr>
                <w:rFonts w:ascii="Noto Sans" w:hAnsi="Noto Sans" w:eastAsia="Noto Sans"/>
                <w:sz w:val="17"/>
              </w:rPr>
              <w:t>Cambio policy ACTIVE durante richieste concorrenti</w:t>
            </w:r>
          </w:p>
        </w:tc>
        <w:tc>
          <w:tcPr>
            <w:tcW w:type="dxa" w:w="3135"/>
          </w:tcPr>
          <w:p>
            <w:r>
              <w:rPr>
                <w:rFonts w:ascii="Noto Sans" w:hAnsi="Noto Sans" w:eastAsia="Noto Sans"/>
                <w:sz w:val="17"/>
              </w:rPr>
              <w:t>ogni decisione usa una versione coerente del bundle</w:t>
            </w:r>
          </w:p>
        </w:tc>
      </w:tr>
      <w:tr>
        <w:tc>
          <w:tcPr>
            <w:tcW w:type="dxa" w:w="3135"/>
          </w:tcPr>
          <w:p>
            <w:r>
              <w:rPr>
                <w:rFonts w:ascii="Noto Sans" w:hAnsi="Noto Sans" w:eastAsia="Noto Sans"/>
                <w:sz w:val="17"/>
              </w:rPr>
              <w:t>AUTH-I10</w:t>
            </w:r>
          </w:p>
        </w:tc>
        <w:tc>
          <w:tcPr>
            <w:tcW w:type="dxa" w:w="3135"/>
          </w:tcPr>
          <w:p>
            <w:r>
              <w:rPr>
                <w:rFonts w:ascii="Noto Sans" w:hAnsi="Noto Sans" w:eastAsia="Noto Sans"/>
                <w:sz w:val="17"/>
              </w:rPr>
              <w:t>Retry tecnico automatico eseguito dal runtime service</w:t>
            </w:r>
          </w:p>
        </w:tc>
        <w:tc>
          <w:tcPr>
            <w:tcW w:type="dxa" w:w="3135"/>
          </w:tcPr>
          <w:p>
            <w:r>
              <w:rPr>
                <w:rFonts w:ascii="Noto Sans" w:hAnsi="Noto Sans" w:eastAsia="Noto Sans"/>
                <w:sz w:val="17"/>
              </w:rPr>
              <w:t>ALLOW solo se service principal possiede grant specifico e retry policy lo consente</w:t>
            </w:r>
          </w:p>
        </w:tc>
      </w:tr>
    </w:tbl>
    <w:p>
      <w:pPr>
        <w:pStyle w:val="Heading2"/>
      </w:pPr>
      <w:r>
        <w:rPr>
          <w:rFonts w:ascii="Noto Sans" w:hAnsi="Noto Sans"/>
        </w:rPr>
        <w:t>36.9 UDP serving capability catalog v1.3</w:t>
      </w:r>
    </w:p>
    <w:tbl>
      <w:tblPr>
        <w:tblStyle w:val="TableGrid"/>
        <w:tblW w:type="auto" w:w="0"/>
        <w:tblLook w:firstColumn="1" w:firstRow="1" w:lastColumn="0" w:lastRow="0" w:noHBand="0" w:noVBand="1" w:val="04A0"/>
      </w:tblPr>
      <w:tblGrid>
        <w:gridCol w:w="3135"/>
        <w:gridCol w:w="3135"/>
        <w:gridCol w:w="3135"/>
      </w:tblGrid>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Gruppo</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Capability indicative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Default / guard</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Object serving</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urban.object.read, urban.object.search, urban.object.history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READ; policy su object type, domain scope, DataAccessLabel.</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Relationships</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urban.graph.neighbors, urban.object.related_search</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READ; edge + target visibility entrambe valutate.</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Graph recursive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urban.graph.traverse, urban.graph.path</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READ; capability distinta, bounded; Authorization non decide depth/fan-out.</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Spatial</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urban.spatial.nearby, urban.spatial.intersects, urban.spatial.intersection_search</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READ; geometry visibility e spatial scope server-side.</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Lineage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urban.lineage.object, urban.lineage.property, urban.lineage.history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READ_RESTRICTED; lineage non implica raw payload access.</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History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urban.object.history, urban.relationship.history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READ_RESTRICTED; capability distinta dal current-state read.</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Export / aggregate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urban.export.create, urban.export.read, urban.aggregate.execute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EXPLICIT_GRANT; quota/async policy separate.</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Resolution read</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urban.resolution.candidates, urban.resolution.explain</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READ/EXPLAIN; AI/MCP eligible secondo manifest.</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Resolution proposal</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urban.merge.plan/impact/propose, urban.split.plan/impact/propose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PROPOSE; nessun commit autoritativo.</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Human-only resolution</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urban.merge.confirm, urban.split.confirm, urban.authority.override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HUMAN_REQUIRED; non MCP tool-eligible per conferma.</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Onboarding / approval</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source.onboarding.approve, source.onboarding.activate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HUMAN_REQUIRED; Trusted Approval Surface.</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Managed/GIS onboarding</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source.managed.upload/profile, source.gis.discovery, source.review.request</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Capability distinte per upload/discovery/review.</w:t>
            </w:r>
          </w:p>
        </w:tc>
      </w:tr>
    </w:tbl>
    <w:p>
      <w:pPr/>
      <w:r>
        <w:rPr>
          <w:rFonts w:ascii="Noto Sans" w:hAnsi="Noto Sans"/>
        </w:rPr>
        <w:t>AUTHZ13-01 — I nomi definitivi delle capability sono governati dal catalogo versionato; gli esempi sopra congelano i gruppi e la separazione di rischio, non autorizzano endpoint generici o wildcard implicite.</w:t>
      </w:r>
    </w:p>
    <w:p>
      <w:pPr/>
      <w:r>
        <w:rPr>
          <w:rFonts w:ascii="Noto Sans" w:hAnsi="Noto Sans"/>
        </w:rPr>
        <w:t>AUTHZ13-02 — Default deny si applica anche a capability aggiunte dopo il rilascio. Un nuovo tool MCP o una nuova route non eredita automaticamente un grant da una capability semanticamente simile.</w:t>
      </w:r>
    </w:p>
    <w:p>
      <w:pPr>
        <w:pStyle w:val="Heading2"/>
      </w:pPr>
      <w:r>
        <w:rPr>
          <w:rFonts w:ascii="Noto Sans" w:hAnsi="Noto Sans"/>
        </w:rPr>
        <w:t>36.10 Fine-grained data authorization e DataAccessLabel</w:t>
      </w:r>
    </w:p>
    <w:p>
      <w:pPr/>
      <w:r>
        <w:rPr>
          <w:rFonts w:ascii="Noto Sans" w:hAnsi="Noto Sans"/>
        </w:rPr>
        <w:t>L'enforcement fine-grained deve avvenire nel servizio owner della risorsa, prima che proprietà, geometrie, relazioni, lineage o payload raggiungano MCP/AI. Il Gateway applica authn/authz coarse; il servizio UDP applica policy object/property/relationship/geometry/lineage e produce una risposta già minimizzata. Non è conforme inviare il record completo al modello e mascherarlo successivamente.</w:t>
      </w:r>
    </w:p>
    <w:tbl>
      <w:tblPr>
        <w:tblStyle w:val="TableGrid"/>
        <w:tblW w:type="auto" w:w="0"/>
        <w:tblLook w:firstColumn="1" w:firstRow="1" w:lastColumn="0" w:lastRow="0" w:noHBand="0" w:noVBand="1" w:val="04A0"/>
      </w:tblPr>
      <w:tblGrid>
        <w:gridCol w:w="3135"/>
        <w:gridCol w:w="3135"/>
        <w:gridCol w:w="3135"/>
      </w:tblGrid>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Target</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Contesto minimo</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Regola v1.3</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Urban Object</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type/class, domain/organizational scope, DataAccessLabel</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ALLOW/DENY object-level prima del fetch/serialization finale.</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Property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property IRI/key, label, authority/provenance refs</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Campi non visibili sono esclusi server-side; no post-mask LLM.</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Geometry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geometry label, precision/scope policy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Può essere negata o ridotta secondo policy senza implicare accesso alle altre proprietà.</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Relationship</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relation type, source+target visibility, relationship label</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Edge non visibile se policy dell'edge o del target lo impedisce.</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Lineage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lineage class, source refs, access label</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Lineage summary e raw evidence hanno capability separate.</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Lake/raw artifact</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artifact class, source, retention/security label</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Accesso raw esplicito; non derivato da urban.object.read.</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History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object/property/relationship history label</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Accesso storico esplicito; current-state permission non lo implica.</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Export</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dataset/result scope, result size class, sensitivity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Grant esplicito e policy di export; eventuale async non modifica authz.</w:t>
            </w:r>
          </w:p>
        </w:tc>
      </w:tr>
    </w:tbl>
    <w:p>
      <w:pPr/>
      <w:r>
        <w:rPr>
          <w:rFonts w:ascii="Noto Sans" w:hAnsi="Noto Sans"/>
        </w:rPr>
        <w:t>DAL-AUTH-01 — OPEN/ANONYMOUS resta il profilo iniziale. L'estensione futura a PERSONAL/SENSITIVE/RESTRICTED non richiede un nuovo modello di Authorization: richiede nuovi DataAccessLabel/policy grant e una nuova OnboardingVersion quando cambia l'acquisizione dei campi.</w:t>
      </w:r>
    </w:p>
    <w:p>
      <w:pPr/>
      <w:r>
        <w:rPr>
          <w:rFonts w:ascii="Noto Sans" w:hAnsi="Noto Sans"/>
        </w:rPr>
        <w:t>DAL-AUTH-02 — L'assenza o l'impossibilità di risolvere un DataAccessLabel richiesto da una policy produce DENY o risposta minimizzata secondo policy fail-closed; non produce accesso permissivo.</w:t>
      </w:r>
    </w:p>
    <w:p>
      <w:pPr>
        <w:pStyle w:val="Heading2"/>
      </w:pPr>
      <w:r>
        <w:rPr>
          <w:rFonts w:ascii="Noto Sans" w:hAnsi="Noto Sans"/>
        </w:rPr>
        <w:t>36.11 Boundary Authorization vs Query Complexity Governor</w:t>
      </w:r>
    </w:p>
    <w:p>
      <w:pPr/>
      <w:r>
        <w:rPr>
          <w:rFonts w:ascii="Noto Sans" w:hAnsi="Noto Sans"/>
        </w:rPr>
        <w:t>Authorization e Query Complexity Governor sono controlli indipendenti e cumulativi. Authorization risponde alla domanda "questo principal può eseguire questa capability su queste risorse?". Il Governor risponde alla domanda "questo workload autorizzato può essere eseguito ora entro il budget operativo?". Nessuno dei due sostituisce l'altro.</w:t>
      </w:r>
    </w:p>
    <w:p>
      <w:pPr/>
      <w:r>
        <w:rPr>
          <w:rFonts w:ascii="Noto Sans" w:hAnsi="Noto Sans"/>
        </w:rPr>
        <w:t>request</w:t>
        <w:br/>
        <w:t xml:space="preserve">  -&gt; Gateway coarse authn/authz</w:t>
        <w:br/>
        <w:t xml:space="preserve">  -&gt; service fine-grained Authorization</w:t>
        <w:br/>
        <w:t xml:space="preserve">       DENY =&gt; stop</w:t>
        <w:br/>
        <w:t xml:space="preserve">  -&gt; Capability Router</w:t>
        <w:br/>
        <w:t xml:space="preserve">  -&gt; Query Complexity Governor</w:t>
        <w:br/>
        <w:t xml:space="preserve">       over budget =&gt; reject / async</w:t>
        <w:br/>
        <w:t xml:space="preserve">  -&gt; Logical + Physical Query Planner</w:t>
        <w:br/>
        <w:t xml:space="preserve">  -&gt; parameterized SQL / PostGIS / bounded CTE</w:t>
      </w:r>
    </w:p>
    <w:p>
      <w:pPr/>
      <w:r>
        <w:rPr>
          <w:rFonts w:ascii="Noto Sans" w:hAnsi="Noto Sans"/>
        </w:rPr>
        <w:t>QAUTH-01 — Una query a costo minimo ma non autorizzata è DENY prima dell'esecuzione e prima dell'esposizione del dato.</w:t>
      </w:r>
    </w:p>
    <w:p>
      <w:pPr/>
      <w:r>
        <w:rPr>
          <w:rFonts w:ascii="Noto Sans" w:hAnsi="Noto Sans"/>
        </w:rPr>
        <w:t>QAUTH-02 — Una query autorizzata ma oltre budget può essere rifiutata, ristretta o trasformata in job async secondo capability; l'ALLOW authz non costituisce bypass del Governor.</w:t>
      </w:r>
    </w:p>
    <w:p>
      <w:pPr/>
      <w:r>
        <w:rPr>
          <w:rFonts w:ascii="Noto Sans" w:hAnsi="Noto Sans"/>
        </w:rPr>
        <w:t>QAUTH-03 — Rate limiting e coarse quota del Gateway non sostituiscono il Governor distribuito della UDP; il BudgetStore non appartiene ad Authorization.</w:t>
      </w:r>
    </w:p>
    <w:p>
      <w:pPr/>
      <w:r>
        <w:rPr>
          <w:rFonts w:ascii="Noto Sans" w:hAnsi="Noto Sans"/>
        </w:rPr>
        <w:t>QAUTH-04 — Authorization non sceglie SQL, join, PostGIS operator, recursive CTE, fan-out, depth o physical plan.</w:t>
      </w:r>
    </w:p>
    <w:p>
      <w:pPr>
        <w:pStyle w:val="Heading2"/>
      </w:pPr>
      <w:r>
        <w:rPr>
          <w:rFonts w:ascii="Noto Sans" w:hAnsi="Noto Sans"/>
        </w:rPr>
        <w:t>36.12 MCP/Agent security contract</w:t>
      </w:r>
    </w:p>
    <w:p>
      <w:pPr/>
      <w:r>
        <w:rPr>
          <w:rFonts w:ascii="Noto Sans" w:hAnsi="Noto Sans"/>
        </w:rPr>
        <w:t>Capability Manifest, tool eligibility e Authorization sono distinti. Il manifest aiuta l'Agent a scegliere lo strumento; Authorization verifica il principal e il resource context; il servizio owner applica DataAccessLabel e redaction; il Governor applica i limiti operativi. Un Agent che sceglie il tool sbagliato non acquisisce privilegi aggiuntivi.</w:t>
      </w:r>
    </w:p>
    <w:tbl>
      <w:tblPr>
        <w:tblStyle w:val="TableGrid"/>
        <w:tblW w:type="auto" w:w="0"/>
        <w:tblLook w:firstColumn="1" w:firstRow="1" w:lastColumn="0" w:lastRow="0" w:noHBand="0" w:noVBand="1" w:val="04A0"/>
      </w:tblPr>
      <w:tblGrid>
        <w:gridCol w:w="4703"/>
        <w:gridCol w:w="4703"/>
      </w:tblGrid>
      <w:tr>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Aspetto</w:t>
            </w:r>
          </w:p>
        </w:tc>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Regola</w:t>
            </w:r>
          </w:p>
        </w:tc>
      </w:tr>
      <w:tr>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toolEligible</w:t>
            </w:r>
          </w:p>
        </w:tc>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Metadato di esposizione MCP; non equivale ad ALLOW.</w:t>
            </w:r>
          </w:p>
        </w:tc>
      </w:tr>
      <w:tr>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securityNotes</w:t>
            </w:r>
          </w:p>
        </w:tc>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Descrive human-only, raw/lineage restrictions e redaction, ma non è enforcement.</w:t>
            </w:r>
          </w:p>
        </w:tc>
      </w:tr>
      <w:tr>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Delegation</w:t>
            </w:r>
          </w:p>
        </w:tc>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Actor umano e Agent/MCP restano distinguibili; audit conserva entrambi quando l'Agent media un'azione umana.</w:t>
            </w:r>
          </w:p>
        </w:tc>
      </w:tr>
      <w:tr>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Authoritative confirmation</w:t>
            </w:r>
          </w:p>
        </w:tc>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Trusted Approval Surface OUF-controlled con HUMAN_USER, capability, freshness/ETag e contenuto decisione.</w:t>
            </w:r>
          </w:p>
        </w:tc>
      </w:tr>
      <w:tr>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Retry/replanning</w:t>
            </w:r>
          </w:p>
        </w:tc>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Non altera il principal, non amplia scope e non crea nuovi grant.</w:t>
            </w:r>
          </w:p>
        </w:tc>
      </w:tr>
      <w:tr>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Correlation</w:t>
            </w:r>
          </w:p>
        </w:tc>
        <w:tc>
          <w:tcPr>
            <w:tcW w:type="dxa" w:w="4703"/>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correlationId/authorization context propagati; nessun payload sensibile nei trace.</w:t>
            </w:r>
          </w:p>
        </w:tc>
      </w:tr>
    </w:tbl>
    <w:p>
      <w:pPr/>
      <w:r>
        <w:rPr>
          <w:rFonts w:ascii="Noto Sans" w:hAnsi="Noto Sans"/>
        </w:rPr>
        <w:t>MCPAUTH-01 — merge.confirm, split.confirm, authority.override, source.onboarding.approve/activate e altre capability marcate HUMAN_REQUIRED non possono essere confermate da AI_AGENT, MCP_SERVER o SERVICE_IDENTITY anche se il testo del prompt dichiara che l'utente ha approvato.</w:t>
      </w:r>
    </w:p>
    <w:p>
      <w:pPr/>
      <w:r>
        <w:rPr>
          <w:rFonts w:ascii="Noto Sans" w:hAnsi="Noto Sans"/>
        </w:rPr>
        <w:t>MCPAUTH-02 — L'Agent Host non riceve e non conserva token umani privilegiati come credenziali riutilizzabili. L'azione autoritativa utilizza una sessione/trusted surface conforme al modello IAM e produce audit evidence.</w:t>
      </w:r>
    </w:p>
    <w:p>
      <w:pPr>
        <w:pStyle w:val="Heading2"/>
      </w:pPr>
      <w:r>
        <w:rPr>
          <w:rFonts w:ascii="Noto Sans" w:hAnsi="Noto Sans"/>
        </w:rPr>
        <w:t>36.13 Raw, lineage, history ed export: separazione delle capability</w:t>
      </w:r>
    </w:p>
    <w:tbl>
      <w:tblPr>
        <w:tblStyle w:val="TableGrid"/>
        <w:tblW w:type="auto" w:w="0"/>
        <w:tblLook w:firstColumn="1" w:firstRow="1" w:lastColumn="0" w:lastRow="0" w:noHBand="0" w:noVBand="1" w:val="04A0"/>
      </w:tblPr>
      <w:tblGrid>
        <w:gridCol w:w="3135"/>
        <w:gridCol w:w="3135"/>
        <w:gridCol w:w="3135"/>
      </w:tblGrid>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Accesso</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Non implica</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Controlli minimi</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urban.object.read</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raw payload, history completa, lineage raw, export massivo</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object/property/geometry labels</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urban.lineage.object/property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lake raw artifact</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lineage label + source visibility</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urban.raw.read / lake artifact read</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export o bulk download</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explicit grant + source/artifact scope + audit</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urban.object.history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raw historical payload</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history grant + property/relationship filters</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urban.export.create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accesso a dati oltre la query sorgente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re-evaluate authz sul result scope + quota/export policy</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urban.aggregate.execute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row-level disclosure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aggregate capability + minimum disclosure policy se applicabile</w:t>
            </w:r>
          </w:p>
        </w:tc>
      </w:tr>
    </w:tbl>
    <w:p>
      <w:pPr/>
      <w:r>
        <w:rPr>
          <w:rFonts w:ascii="Noto Sans" w:hAnsi="Noto Sans"/>
        </w:rPr>
        <w:t>RAW-01 — La capacità di spiegare provenance/lineage non autorizza a restituire automaticamente payload raw, secretRef, identificativi tecnici sensibili o dati esclusi dalla response policy.</w:t>
      </w:r>
    </w:p>
    <w:p>
      <w:pPr>
        <w:pStyle w:val="Heading2"/>
      </w:pPr>
      <w:r>
        <w:rPr>
          <w:rFonts w:ascii="Noto Sans" w:hAnsi="Noto Sans"/>
        </w:rPr>
        <w:t>36.14 Policy context per authority e object resolution</w:t>
      </w:r>
    </w:p>
    <w:p>
      <w:pPr/>
      <w:r>
        <w:rPr>
          <w:rFonts w:ascii="Noto Sans" w:hAnsi="Noto Sans"/>
        </w:rPr>
        <w:t>AuthorityPolicy proveniente dall'Onboarding è governance metadata usato dalla UDP per la materializzazione; Authorization governa chi può leggere tale evidence e chi può proporre o confermare override/merge/split. L'Authorization Registry non diventa owner della decisione di authority tra fonti e non esegue Object Resolution.</w:t>
      </w:r>
    </w:p>
    <w:p>
      <w:pPr/>
      <w:r>
        <w:rPr>
          <w:rFonts w:ascii="Noto Sans" w:hAnsi="Noto Sans"/>
        </w:rPr>
        <w:t>RESAUTH-01 — urban.resolution.candidates/explain possono essere MCP-eligible con grant di lettura; plan/impact/propose richiedono grant separati.</w:t>
      </w:r>
    </w:p>
    <w:p>
      <w:pPr/>
      <w:r>
        <w:rPr>
          <w:rFonts w:ascii="Noto Sans" w:hAnsi="Noto Sans"/>
        </w:rPr>
        <w:t>RESAUTH-02 — urban.merge.confirm / urban.split.confirm / urban.authority.override sono HUMAN_REQUIRED, auditabili e soggetti a resource-level authorization.</w:t>
      </w:r>
    </w:p>
    <w:p>
      <w:pPr/>
      <w:r>
        <w:rPr>
          <w:rFonts w:ascii="Noto Sans" w:hAnsi="Noto Sans"/>
        </w:rPr>
        <w:t>RESAUTH-03 — Un ALLOW alla proposta non implica ALLOW alla conferma. L'identità e il contenuto della decisione vengono rivalutati al commit.</w:t>
      </w:r>
    </w:p>
    <w:p>
      <w:pPr>
        <w:pStyle w:val="Heading2"/>
      </w:pPr>
      <w:r>
        <w:rPr>
          <w:rFonts w:ascii="Noto Sans" w:hAnsi="Noto Sans"/>
        </w:rPr>
        <w:t>36.15 Authorization context propagation</w:t>
      </w:r>
    </w:p>
    <w:p>
      <w:pPr/>
      <w:r>
        <w:rPr>
          <w:rFonts w:ascii="Noto Sans" w:hAnsi="Noto Sans"/>
        </w:rPr>
        <w:t>Le decisioni security-relevant propagano correlationId, principal/service identity, actorType, policyVersion, capabilityId, resource scope e decision reason code. Il contesto è sufficiente per audit e troubleshooting, ma non include token, payload applicativi completi o dati sensibili. Il downstream non assume trust solo perché la chiamata proviene dal cluster interno.</w:t>
      </w:r>
    </w:p>
    <w:p>
      <w:pPr/>
      <w:r>
        <w:rPr>
          <w:rFonts w:ascii="Noto Sans" w:hAnsi="Noto Sans"/>
        </w:rPr>
        <w:t>CTX-01 — Le chiamate service-to-service UDP/MCP/Ingestion sono autenticate con workload identity secondo lo scenario M2M A/B/C già congelato. Namespace Kubernetes, IP interno o mTLS di trasporto senza principal applicativo non sono da soli un'identità autorizzativa sufficiente.</w:t>
      </w:r>
    </w:p>
    <w:p>
      <w:pPr>
        <w:pStyle w:val="Heading2"/>
      </w:pPr>
      <w:r>
        <w:rPr>
          <w:rFonts w:ascii="Noto Sans" w:hAnsi="Noto Sans"/>
        </w:rPr>
        <w:t>36.16 Conformance aggiuntiva v1.3</w:t>
      </w:r>
    </w:p>
    <w:tbl>
      <w:tblPr>
        <w:tblStyle w:val="TableGrid"/>
        <w:tblW w:type="auto" w:w="0"/>
        <w:tblLook w:firstColumn="1" w:firstRow="1" w:lastColumn="0" w:lastRow="0" w:noHBand="0" w:noVBand="1" w:val="04A0"/>
      </w:tblPr>
      <w:tblGrid>
        <w:gridCol w:w="3135"/>
        <w:gridCol w:w="3135"/>
        <w:gridCol w:w="3135"/>
      </w:tblGrid>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ID</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Scenario</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Criterio</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AUTH-A01</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Object/property filtering</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Un principal autorizzato all'oggetto ma non a una proprietà riceve la response senza quella proprietà; il valore non raggiunge MCP/AI.</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AUTH-A02</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Geometry separation</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Geometry DENY non implica DENY dell'intero oggetto quando policy consente risposta senza geometria.</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AUTH-A03</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Relationship visibility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Edge verso target non visibile non viene restituito né inferito nella response.</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AUTH-A04</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Raw separation</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urban.object.read non consente accesso al raw/lake artifact senza capability dedicata.</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AUTH-A05</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History separation</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Current-state read non consente automaticamente history/property history.</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AUTH-A06</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Export separation</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Export massivo richiede capability esplicita e nuova authz evaluation sul result scope.</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AUTH-A07</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Human-only merge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AI_AGENT/MCP_SERVER con proposal grant non può invocare merge.confirm.</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AUTH-A08</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Authority override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authority.override richiede HUMAN_USER autorizzato e audit evidence; service token è negato.</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AUTH-A09</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Governor independence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Query ALLOW authz ma oltre budget viene rifiutata/async dal Governor; nessun bypass.</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AUTH-A10</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Authorization precedence</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Query non autorizzata non raggiunge planner/DB anche se sarebbe sotto budget.</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AUTH-A11</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DataAccessLabel fail-closed</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Label richiesto ma non risolvibile non produce risposta permissiva.</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AUTH-A12</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MCP manifest non-enforcement</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Modifica di securityNotes/tool description non cambia grant o decisione Authorization.</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AUTH-A13</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M2M internal trust</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Chiamata da Pod interno senza service identity valida è DENY.</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AUTH-A14</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Lineage minimization</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Lineage summary autorizzato non include raw payload o secretRef.</w:t>
            </w:r>
          </w:p>
        </w:tc>
      </w:tr>
      <w:tr>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AUTH-A15</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Policy bundle consistency</w:t>
            </w:r>
          </w:p>
        </w:tc>
        <w:tc>
          <w:tcPr>
            <w:tcW w:type="dxa" w:w="3135"/>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Due Pod con refresh concorrente osservano una policyVersion coerente per singola request; nessun bundle misto.</w:t>
            </w:r>
          </w:p>
        </w:tc>
      </w:tr>
    </w:tbl>
    <w:p>
      <w:pPr>
        <w:pStyle w:val="Heading1"/>
        <w:keepNext/>
      </w:pPr>
      <w:r>
        <w:t>37. baseline v1.3</w:t>
      </w:r>
    </w:p>
    <w:p>
      <w:pPr>
        <w:spacing w:before="0" w:after="120" w:line="276" w:lineRule="auto"/>
      </w:pPr>
      <w:r>
        <w:t>La presente versione costituisce l'baseline trasversale dell'Authorization &amp; Access Control OUF per il ciclo di allineamento UDP v1.2. Restano congelati: riuso IAM EVO/Keycloak per HUMAN_USER; tre scenari M2M A/B/C; RBAC con vincoli ABAC; default deny; actor separation; AuthorizationPolicyBundle immutabile con enforcement locale; human-only per operazioni autoritative; capability catalog esteso a object/relationship/graph/spatial/lineage/history/export/resolution/approval; DataAccessLabel e filtering server-side prima di MCP/AI; accessi raw/lineage/history/export distinti; indipendenza Authorization/Query Complexity Governor; Trusted Approval Surface; service identity obbligatoria anche intra-cluster. Nessun policy engine esterno o nuovo deployable è richiesto nella baseline. Sono inoltre normativi l'atomic policy snapshot per singola request con bundle immutabile e atomic swap, e il FAIL_CLOSED sui lookup IAM/Directory Adapter con timeout stretto e bounded.</w:t>
      </w:r>
    </w:p>
    <w:tbl>
      <w:tblPr>
        <w:tblStyle w:val="TableGrid"/>
        <w:tblW w:type="auto" w:w="0"/>
        <w:jc w:val="center"/>
        <w:tblLayout w:type="fixed"/>
        <w:tblLook w:firstColumn="1" w:firstRow="1" w:lastColumn="0" w:lastRow="0" w:noHBand="0" w:noVBand="1" w:val="04A0"/>
      </w:tblPr>
      <w:tblGrid>
        <w:gridCol w:w="1247"/>
        <w:gridCol w:w="7540"/>
      </w:tblGrid>
      <w:tr>
        <w:trPr>
          <w:tblHeader w:val="true"/>
          <w:tblHeader w:val="true"/>
        </w:trPr>
        <w:tc>
          <w:tcPr>
            <w:tcW w:type="dxa" w:w="4703"/>
            <w:shd w:fill="0B4F6C"/>
            <w:vAlign w:val="center"/>
          </w:tcPr>
          <w:p>
            <w:pPr>
              <w:spacing w:before="0" w:after="40" w:line="240" w:lineRule="auto"/>
              <w:jc w:val="left"/>
            </w:pPr>
            <w:r>
              <w:rPr>
                <w:rFonts w:ascii="Noto Sans" w:hAnsi="Noto Sans" w:eastAsia="Noto Sans"/>
                <w:b/>
                <w:i w:val="0"/>
                <w:color w:val="FFFFFF"/>
                <w:sz w:val="17"/>
              </w:rPr>
              <w:t>ID</w:t>
            </w:r>
          </w:p>
        </w:tc>
        <w:tc>
          <w:tcPr>
            <w:tcW w:type="dxa" w:w="4703"/>
            <w:shd w:fill="0B4F6C"/>
            <w:vAlign w:val="center"/>
          </w:tcPr>
          <w:p>
            <w:pPr>
              <w:spacing w:before="0" w:after="40" w:line="240" w:lineRule="auto"/>
              <w:jc w:val="left"/>
            </w:pPr>
            <w:r>
              <w:rPr>
                <w:rFonts w:ascii="Noto Sans" w:hAnsi="Noto Sans" w:eastAsia="Noto Sans"/>
                <w:b/>
                <w:i w:val="0"/>
                <w:color w:val="FFFFFF"/>
                <w:sz w:val="17"/>
              </w:rPr>
              <w:t>Decisione congelata</w:t>
            </w:r>
          </w:p>
        </w:tc>
      </w:tr>
      <w:tr>
        <w:tc>
          <w:tcPr>
            <w:tcW w:type="dxa" w:w="1247"/>
            <w:vAlign w:val="top"/>
            <w:shd w:fill="F8FAFC"/>
          </w:tcPr>
          <w:p>
            <w:pPr>
              <w:spacing w:before="0" w:after="40" w:line="252" w:lineRule="auto"/>
            </w:pPr>
            <w:r>
              <w:rPr>
                <w:rFonts w:ascii="Noto Sans" w:hAnsi="Noto Sans" w:eastAsia="Noto Sans"/>
                <w:b w:val="0"/>
                <w:i w:val="0"/>
                <w:color w:val="000000"/>
                <w:sz w:val="17"/>
              </w:rPr>
              <w:t>F-01</w:t>
            </w:r>
          </w:p>
        </w:tc>
        <w:tc>
          <w:tcPr>
            <w:tcW w:type="dxa" w:w="7540"/>
            <w:vAlign w:val="top"/>
            <w:shd w:fill="F8FAFC"/>
          </w:tcPr>
          <w:p>
            <w:r>
              <w:rPr>
                <w:rFonts w:ascii="Noto Sans" w:hAnsi="Noto Sans" w:eastAsia="Noto Sans"/>
                <w:sz w:val="17"/>
              </w:rPr>
              <w:t>IAM centrale EVO/Ente è source of truth per identità umane, ruoli e struttura organizzativa; OUF non li duplica.</w:t>
            </w:r>
          </w:p>
        </w:tc>
      </w:tr>
      <w:tr>
        <w:tc>
          <w:tcPr>
            <w:tcW w:type="dxa" w:w="1247"/>
            <w:vAlign w:val="top"/>
          </w:tcPr>
          <w:p>
            <w:pPr>
              <w:spacing w:before="0" w:after="40" w:line="252" w:lineRule="auto"/>
            </w:pPr>
            <w:r>
              <w:rPr>
                <w:rFonts w:ascii="Noto Sans" w:hAnsi="Noto Sans" w:eastAsia="Noto Sans"/>
                <w:b w:val="0"/>
                <w:i w:val="0"/>
                <w:color w:val="000000"/>
                <w:sz w:val="17"/>
              </w:rPr>
              <w:t>F-02</w:t>
            </w:r>
          </w:p>
        </w:tc>
        <w:tc>
          <w:tcPr>
            <w:tcW w:type="dxa" w:w="7540"/>
            <w:vAlign w:val="top"/>
          </w:tcPr>
          <w:p>
            <w:pPr>
              <w:spacing w:before="0" w:after="40" w:line="252" w:lineRule="auto"/>
            </w:pPr>
            <w:r>
              <w:rPr>
                <w:rFonts w:ascii="Noto Sans" w:hAnsi="Noto Sans" w:eastAsia="Noto Sans"/>
                <w:b w:val="0"/>
                <w:i w:val="0"/>
                <w:color w:val="000000"/>
                <w:sz w:val="17"/>
              </w:rPr>
              <w:t>Authorization Policy Registry è system of record delle policy applicative OUF.</w:t>
            </w:r>
          </w:p>
        </w:tc>
      </w:tr>
      <w:tr>
        <w:tc>
          <w:tcPr>
            <w:tcW w:type="dxa" w:w="1247"/>
            <w:vAlign w:val="top"/>
            <w:shd w:fill="F8FAFC"/>
          </w:tcPr>
          <w:p>
            <w:pPr>
              <w:spacing w:before="0" w:after="40" w:line="252" w:lineRule="auto"/>
            </w:pPr>
            <w:r>
              <w:rPr>
                <w:rFonts w:ascii="Noto Sans" w:hAnsi="Noto Sans" w:eastAsia="Noto Sans"/>
                <w:b w:val="0"/>
                <w:i w:val="0"/>
                <w:color w:val="000000"/>
                <w:sz w:val="17"/>
              </w:rPr>
              <w:t>F-03</w:t>
            </w:r>
          </w:p>
        </w:tc>
        <w:tc>
          <w:tcPr>
            <w:tcW w:type="dxa" w:w="7540"/>
            <w:vAlign w:val="top"/>
            <w:shd w:fill="F8FAFC"/>
          </w:tcPr>
          <w:p>
            <w:pPr>
              <w:spacing w:before="0" w:after="40" w:line="252" w:lineRule="auto"/>
            </w:pPr>
            <w:r>
              <w:rPr>
                <w:rFonts w:ascii="Noto Sans" w:hAnsi="Noto Sans" w:eastAsia="Noto Sans"/>
                <w:b w:val="0"/>
                <w:i w:val="0"/>
                <w:color w:val="000000"/>
                <w:sz w:val="17"/>
              </w:rPr>
              <w:t>APR è co-locato nel deployable Source Onboarding &amp; Configuration nella baseline iniziale.</w:t>
            </w:r>
          </w:p>
        </w:tc>
      </w:tr>
      <w:tr>
        <w:tc>
          <w:tcPr>
            <w:tcW w:type="dxa" w:w="1247"/>
            <w:vAlign w:val="top"/>
          </w:tcPr>
          <w:p>
            <w:pPr>
              <w:spacing w:before="0" w:after="40" w:line="252" w:lineRule="auto"/>
            </w:pPr>
            <w:r>
              <w:rPr>
                <w:rFonts w:ascii="Noto Sans" w:hAnsi="Noto Sans" w:eastAsia="Noto Sans"/>
                <w:b w:val="0"/>
                <w:i w:val="0"/>
                <w:color w:val="000000"/>
                <w:sz w:val="17"/>
              </w:rPr>
              <w:t>F-04</w:t>
            </w:r>
          </w:p>
        </w:tc>
        <w:tc>
          <w:tcPr>
            <w:tcW w:type="dxa" w:w="7540"/>
            <w:vAlign w:val="top"/>
          </w:tcPr>
          <w:p>
            <w:pPr>
              <w:spacing w:before="0" w:after="40" w:line="252" w:lineRule="auto"/>
            </w:pPr>
            <w:r>
              <w:rPr>
                <w:rFonts w:ascii="Noto Sans" w:hAnsi="Noto Sans" w:eastAsia="Noto Sans"/>
                <w:b w:val="0"/>
                <w:i w:val="0"/>
                <w:color w:val="000000"/>
                <w:sz w:val="17"/>
              </w:rPr>
              <w:t>Gateway valida autenticazione e coarse scopes; fine-grained authorization resta nei servizi.</w:t>
            </w:r>
          </w:p>
        </w:tc>
      </w:tr>
      <w:tr>
        <w:tc>
          <w:tcPr>
            <w:tcW w:type="dxa" w:w="1247"/>
            <w:vAlign w:val="top"/>
            <w:shd w:fill="F8FAFC"/>
          </w:tcPr>
          <w:p>
            <w:pPr>
              <w:spacing w:before="0" w:after="40" w:line="252" w:lineRule="auto"/>
            </w:pPr>
            <w:r>
              <w:rPr>
                <w:rFonts w:ascii="Noto Sans" w:hAnsi="Noto Sans" w:eastAsia="Noto Sans"/>
                <w:b w:val="0"/>
                <w:i w:val="0"/>
                <w:color w:val="000000"/>
                <w:sz w:val="17"/>
              </w:rPr>
              <w:t>F-05</w:t>
            </w:r>
          </w:p>
        </w:tc>
        <w:tc>
          <w:tcPr>
            <w:tcW w:type="dxa" w:w="7540"/>
            <w:vAlign w:val="top"/>
            <w:shd w:fill="F8FAFC"/>
          </w:tcPr>
          <w:p>
            <w:pPr>
              <w:spacing w:before="0" w:after="40" w:line="252" w:lineRule="auto"/>
            </w:pPr>
            <w:r>
              <w:rPr>
                <w:rFonts w:ascii="Noto Sans" w:hAnsi="Noto Sans" w:eastAsia="Noto Sans"/>
                <w:b w:val="0"/>
                <w:i w:val="0"/>
                <w:color w:val="000000"/>
                <w:sz w:val="17"/>
              </w:rPr>
              <w:t>RBAC con ABAC minimale; default deny; deny-overrides.</w:t>
            </w:r>
          </w:p>
        </w:tc>
      </w:tr>
      <w:tr>
        <w:tc>
          <w:tcPr>
            <w:tcW w:type="dxa" w:w="1247"/>
            <w:vAlign w:val="top"/>
          </w:tcPr>
          <w:p>
            <w:pPr>
              <w:spacing w:before="0" w:after="40" w:line="252" w:lineRule="auto"/>
            </w:pPr>
            <w:r>
              <w:rPr>
                <w:rFonts w:ascii="Noto Sans" w:hAnsi="Noto Sans" w:eastAsia="Noto Sans"/>
                <w:b w:val="0"/>
                <w:i w:val="0"/>
                <w:color w:val="000000"/>
                <w:sz w:val="17"/>
              </w:rPr>
              <w:t>F-06</w:t>
            </w:r>
          </w:p>
        </w:tc>
        <w:tc>
          <w:tcPr>
            <w:tcW w:type="dxa" w:w="7540"/>
            <w:vAlign w:val="top"/>
          </w:tcPr>
          <w:p>
            <w:pPr>
              <w:spacing w:before="0" w:after="40" w:line="252" w:lineRule="auto"/>
            </w:pPr>
            <w:r>
              <w:rPr>
                <w:rFonts w:ascii="Noto Sans" w:hAnsi="Noto Sans" w:eastAsia="Noto Sans"/>
                <w:b w:val="0"/>
                <w:i w:val="0"/>
                <w:color w:val="000000"/>
                <w:sz w:val="17"/>
              </w:rPr>
              <w:t>HUMAN_USER, AI_AGENT, MCP_SERVER e SERVICE_IDENTITY restano distinti e non intercambiabili.</w:t>
            </w:r>
          </w:p>
        </w:tc>
      </w:tr>
      <w:tr>
        <w:tc>
          <w:tcPr>
            <w:tcW w:type="dxa" w:w="1247"/>
            <w:vAlign w:val="top"/>
            <w:shd w:fill="F8FAFC"/>
          </w:tcPr>
          <w:p>
            <w:pPr>
              <w:spacing w:before="0" w:after="40" w:line="252" w:lineRule="auto"/>
            </w:pPr>
            <w:r>
              <w:rPr>
                <w:rFonts w:ascii="Noto Sans" w:hAnsi="Noto Sans" w:eastAsia="Noto Sans"/>
                <w:b w:val="0"/>
                <w:i w:val="0"/>
                <w:color w:val="000000"/>
                <w:sz w:val="17"/>
              </w:rPr>
              <w:t>F-07</w:t>
            </w:r>
          </w:p>
        </w:tc>
        <w:tc>
          <w:tcPr>
            <w:tcW w:type="dxa" w:w="7540"/>
            <w:vAlign w:val="top"/>
            <w:shd w:fill="F8FAFC"/>
          </w:tcPr>
          <w:p>
            <w:pPr>
              <w:spacing w:before="0" w:after="40" w:line="252" w:lineRule="auto"/>
            </w:pPr>
            <w:r>
              <w:rPr>
                <w:rFonts w:ascii="Noto Sans" w:hAnsi="Noto Sans" w:eastAsia="Noto Sans"/>
                <w:b w:val="0"/>
                <w:i w:val="0"/>
                <w:color w:val="000000"/>
                <w:sz w:val="17"/>
              </w:rPr>
              <w:t>Approve/publish/activate marcati human-only non sono invocabili da AI/MCP/service identity.</w:t>
            </w:r>
          </w:p>
        </w:tc>
      </w:tr>
      <w:tr>
        <w:tc>
          <w:tcPr>
            <w:tcW w:type="dxa" w:w="1247"/>
            <w:vAlign w:val="top"/>
          </w:tcPr>
          <w:p>
            <w:pPr>
              <w:spacing w:before="0" w:after="40" w:line="252" w:lineRule="auto"/>
            </w:pPr>
            <w:r>
              <w:rPr>
                <w:rFonts w:ascii="Noto Sans" w:hAnsi="Noto Sans" w:eastAsia="Noto Sans"/>
                <w:b w:val="0"/>
                <w:i w:val="0"/>
                <w:color w:val="000000"/>
                <w:sz w:val="17"/>
              </w:rPr>
              <w:t>F-08</w:t>
            </w:r>
          </w:p>
        </w:tc>
        <w:tc>
          <w:tcPr>
            <w:tcW w:type="dxa" w:w="7540"/>
            <w:vAlign w:val="top"/>
          </w:tcPr>
          <w:p>
            <w:pPr>
              <w:spacing w:before="0" w:after="40" w:line="252" w:lineRule="auto"/>
            </w:pPr>
            <w:r>
              <w:rPr>
                <w:rFonts w:ascii="Noto Sans" w:hAnsi="Noto Sans" w:eastAsia="Noto Sans"/>
                <w:b w:val="0"/>
                <w:i w:val="0"/>
                <w:color w:val="000000"/>
                <w:sz w:val="17"/>
              </w:rPr>
              <w:t>No client asserted authority: subject/role/org/approver derivano da evidenze trusted.</w:t>
            </w:r>
          </w:p>
        </w:tc>
      </w:tr>
      <w:tr>
        <w:tc>
          <w:tcPr>
            <w:tcW w:type="dxa" w:w="1247"/>
            <w:vAlign w:val="top"/>
            <w:shd w:fill="F8FAFC"/>
          </w:tcPr>
          <w:p>
            <w:pPr>
              <w:spacing w:before="0" w:after="40" w:line="252" w:lineRule="auto"/>
            </w:pPr>
            <w:r>
              <w:rPr>
                <w:rFonts w:ascii="Noto Sans" w:hAnsi="Noto Sans" w:eastAsia="Noto Sans"/>
                <w:b w:val="0"/>
                <w:i w:val="0"/>
                <w:color w:val="000000"/>
                <w:sz w:val="17"/>
              </w:rPr>
              <w:t>F-09</w:t>
            </w:r>
          </w:p>
        </w:tc>
        <w:tc>
          <w:tcPr>
            <w:tcW w:type="dxa" w:w="7540"/>
            <w:vAlign w:val="top"/>
            <w:shd w:fill="F8FAFC"/>
          </w:tcPr>
          <w:p>
            <w:pPr>
              <w:spacing w:before="0" w:after="40" w:line="252" w:lineRule="auto"/>
            </w:pPr>
            <w:r>
              <w:rPr>
                <w:rFonts w:ascii="Noto Sans" w:hAnsi="Noto Sans" w:eastAsia="Noto Sans"/>
                <w:b w:val="0"/>
                <w:i w:val="0"/>
                <w:color w:val="000000"/>
                <w:sz w:val="17"/>
              </w:rPr>
              <w:t>Policy ACTIVE immutabili; publication atomica in bundle versionato.</w:t>
            </w:r>
          </w:p>
        </w:tc>
      </w:tr>
      <w:tr>
        <w:tc>
          <w:tcPr>
            <w:tcW w:type="dxa" w:w="1247"/>
            <w:vAlign w:val="top"/>
          </w:tcPr>
          <w:p>
            <w:pPr>
              <w:spacing w:before="0" w:after="40" w:line="252" w:lineRule="auto"/>
            </w:pPr>
            <w:r>
              <w:rPr>
                <w:rFonts w:ascii="Noto Sans" w:hAnsi="Noto Sans" w:eastAsia="Noto Sans"/>
                <w:b w:val="0"/>
                <w:i w:val="0"/>
                <w:color w:val="000000"/>
                <w:sz w:val="17"/>
              </w:rPr>
              <w:t>F-10</w:t>
            </w:r>
          </w:p>
        </w:tc>
        <w:tc>
          <w:tcPr>
            <w:tcW w:type="dxa" w:w="7540"/>
            <w:vAlign w:val="top"/>
          </w:tcPr>
          <w:p>
            <w:pPr>
              <w:spacing w:before="0" w:after="40" w:line="252" w:lineRule="auto"/>
            </w:pPr>
            <w:r>
              <w:rPr>
                <w:rFonts w:ascii="Noto Sans" w:hAnsi="Noto Sans" w:eastAsia="Noto Sans"/>
                <w:b w:val="0"/>
                <w:i w:val="0"/>
                <w:color w:val="000000"/>
                <w:sz w:val="17"/>
              </w:rPr>
              <w:t>Enforcement ordinario locale tramite Authorization SDK; nessuna chiamata sincrona APR per ogni request.</w:t>
            </w:r>
          </w:p>
        </w:tc>
      </w:tr>
      <w:tr>
        <w:tc>
          <w:tcPr>
            <w:tcW w:type="dxa" w:w="1247"/>
            <w:vAlign w:val="top"/>
            <w:shd w:fill="F8FAFC"/>
          </w:tcPr>
          <w:p>
            <w:pPr>
              <w:spacing w:before="0" w:after="40" w:line="252" w:lineRule="auto"/>
            </w:pPr>
            <w:r>
              <w:rPr>
                <w:rFonts w:ascii="Noto Sans" w:hAnsi="Noto Sans" w:eastAsia="Noto Sans"/>
                <w:b w:val="0"/>
                <w:i w:val="0"/>
                <w:color w:val="000000"/>
                <w:sz w:val="17"/>
              </w:rPr>
              <w:t>F-11</w:t>
            </w:r>
          </w:p>
        </w:tc>
        <w:tc>
          <w:tcPr>
            <w:tcW w:type="dxa" w:w="7540"/>
            <w:vAlign w:val="top"/>
            <w:shd w:fill="F8FAFC"/>
          </w:tcPr>
          <w:p>
            <w:pPr>
              <w:spacing w:before="0" w:after="40" w:line="252" w:lineRule="auto"/>
            </w:pPr>
            <w:r>
              <w:rPr>
                <w:rFonts w:ascii="Noto Sans" w:hAnsi="Noto Sans" w:eastAsia="Noto Sans"/>
                <w:b w:val="0"/>
                <w:i w:val="0"/>
                <w:color w:val="000000"/>
                <w:sz w:val="17"/>
              </w:rPr>
              <w:t>No role DB replication autoritativa; claim-first, optional directory lookup con cache TTL.</w:t>
            </w:r>
          </w:p>
        </w:tc>
      </w:tr>
      <w:tr>
        <w:tc>
          <w:tcPr>
            <w:tcW w:type="dxa" w:w="1247"/>
            <w:vAlign w:val="top"/>
          </w:tcPr>
          <w:p>
            <w:pPr>
              <w:spacing w:before="0" w:after="40" w:line="252" w:lineRule="auto"/>
            </w:pPr>
            <w:r>
              <w:rPr>
                <w:rFonts w:ascii="Noto Sans" w:hAnsi="Noto Sans" w:eastAsia="Noto Sans"/>
                <w:b w:val="0"/>
                <w:i w:val="0"/>
                <w:color w:val="000000"/>
                <w:sz w:val="17"/>
              </w:rPr>
              <w:t>F-12</w:t>
            </w:r>
          </w:p>
        </w:tc>
        <w:tc>
          <w:tcPr>
            <w:tcW w:type="dxa" w:w="7540"/>
            <w:vAlign w:val="top"/>
          </w:tcPr>
          <w:p>
            <w:pPr>
              <w:spacing w:before="0" w:after="40" w:line="252" w:lineRule="auto"/>
            </w:pPr>
            <w:r>
              <w:rPr>
                <w:rFonts w:ascii="Noto Sans" w:hAnsi="Noto Sans" w:eastAsia="Noto Sans"/>
                <w:b w:val="0"/>
                <w:i w:val="0"/>
                <w:color w:val="000000"/>
                <w:sz w:val="17"/>
              </w:rPr>
              <w:t>Nessun OPA/Cedar/policy engine o microservizio Authorization obbligatorio nella v1.</w:t>
            </w:r>
          </w:p>
        </w:tc>
      </w:tr>
      <w:tr>
        <w:tc>
          <w:tcPr>
            <w:tcW w:type="dxa" w:w="1247"/>
            <w:vAlign w:val="top"/>
            <w:shd w:fill="F8FAFC"/>
          </w:tcPr>
          <w:p>
            <w:pPr>
              <w:spacing w:before="0" w:after="40" w:line="252" w:lineRule="auto"/>
            </w:pPr>
            <w:r>
              <w:rPr>
                <w:rFonts w:ascii="Noto Sans" w:hAnsi="Noto Sans" w:eastAsia="Noto Sans"/>
                <w:b w:val="0"/>
                <w:i w:val="0"/>
                <w:color w:val="000000"/>
                <w:sz w:val="17"/>
              </w:rPr>
              <w:t>F-13</w:t>
            </w:r>
          </w:p>
        </w:tc>
        <w:tc>
          <w:tcPr>
            <w:tcW w:type="dxa" w:w="7540"/>
            <w:vAlign w:val="top"/>
            <w:shd w:fill="F8FAFC"/>
          </w:tcPr>
          <w:p>
            <w:pPr>
              <w:spacing w:before="0" w:after="40" w:line="252" w:lineRule="auto"/>
            </w:pPr>
            <w:r>
              <w:rPr>
                <w:rFonts w:ascii="Noto Sans" w:hAnsi="Noto Sans" w:eastAsia="Noto Sans"/>
                <w:b w:val="0"/>
                <w:i w:val="0"/>
                <w:color w:val="000000"/>
                <w:sz w:val="17"/>
              </w:rPr>
              <w:t>Step-up eseguito dall’IAM centrale; OUF verifica assurance claims.</w:t>
            </w:r>
          </w:p>
        </w:tc>
      </w:tr>
      <w:tr>
        <w:tc>
          <w:tcPr>
            <w:tcW w:type="dxa" w:w="1247"/>
            <w:vAlign w:val="top"/>
          </w:tcPr>
          <w:p>
            <w:pPr>
              <w:spacing w:before="0" w:after="40" w:line="252" w:lineRule="auto"/>
            </w:pPr>
            <w:r>
              <w:rPr>
                <w:rFonts w:ascii="Noto Sans" w:hAnsi="Noto Sans" w:eastAsia="Noto Sans"/>
                <w:b w:val="0"/>
                <w:i w:val="0"/>
                <w:color w:val="000000"/>
                <w:sz w:val="17"/>
              </w:rPr>
              <w:t>F-14</w:t>
            </w:r>
          </w:p>
        </w:tc>
        <w:tc>
          <w:tcPr>
            <w:tcW w:type="dxa" w:w="7540"/>
            <w:vAlign w:val="top"/>
          </w:tcPr>
          <w:p>
            <w:r>
              <w:rPr>
                <w:rFonts w:ascii="Noto Sans" w:hAnsi="Noto Sans" w:eastAsia="Noto Sans"/>
                <w:sz w:val="17"/>
              </w:rPr>
              <w:t>Il design constraint €150.000 governa le scelte: scenario A/B preferiti; scenario C solo minimale se richiesto da un gap M2M reale.</w:t>
            </w:r>
          </w:p>
        </w:tc>
      </w:tr>
      <w:tr>
        <w:tc>
          <w:tcPr>
            <w:tcW w:type="dxa" w:w="1247"/>
          </w:tcPr>
          <w:p>
            <w:r>
              <w:rPr>
                <w:rFonts w:ascii="Noto Sans" w:hAnsi="Noto Sans" w:eastAsia="Noto Sans"/>
                <w:sz w:val="17"/>
              </w:rPr>
              <w:t>F-15</w:t>
            </w:r>
          </w:p>
        </w:tc>
        <w:tc>
          <w:tcPr>
            <w:tcW w:type="dxa" w:w="7540"/>
          </w:tcPr>
          <w:p>
            <w:r>
              <w:rPr>
                <w:rFonts w:ascii="Noto Sans" w:hAnsi="Noto Sans" w:eastAsia="Noto Sans"/>
                <w:sz w:val="17"/>
              </w:rPr>
              <w:t>Le service/workload identity sono sempre esplicite e autenticate; la trusted network non sostituisce l’identità.</w:t>
            </w:r>
          </w:p>
        </w:tc>
      </w:tr>
      <w:tr>
        <w:tc>
          <w:tcPr>
            <w:tcW w:type="dxa" w:w="1247"/>
          </w:tcPr>
          <w:p>
            <w:r>
              <w:rPr>
                <w:rFonts w:ascii="Noto Sans" w:hAnsi="Noto Sans" w:eastAsia="Noto Sans"/>
                <w:sz w:val="17"/>
              </w:rPr>
              <w:t>F-16</w:t>
            </w:r>
          </w:p>
        </w:tc>
        <w:tc>
          <w:tcPr>
            <w:tcW w:type="dxa" w:w="7540"/>
          </w:tcPr>
          <w:p>
            <w:r>
              <w:rPr>
                <w:rFonts w:ascii="Noto Sans" w:hAnsi="Noto Sans" w:eastAsia="Noto Sans"/>
                <w:sz w:val="17"/>
              </w:rPr>
              <w:t>L’authority M2M è configurabile tra scenario A, B e C; la scelta non modifica capabilityId, policy model o principal logico OUF.</w:t>
            </w:r>
          </w:p>
        </w:tc>
      </w:tr>
      <w:tr>
        <w:tc>
          <w:tcPr>
            <w:tcW w:type="dxa" w:w="1247"/>
          </w:tcPr>
          <w:p>
            <w:r>
              <w:rPr>
                <w:rFonts w:ascii="Noto Sans" w:hAnsi="Noto Sans" w:eastAsia="Noto Sans"/>
                <w:sz w:val="17"/>
              </w:rPr>
              <w:t>F-17</w:t>
            </w:r>
          </w:p>
        </w:tc>
        <w:tc>
          <w:tcPr>
            <w:tcW w:type="dxa" w:w="7540"/>
          </w:tcPr>
          <w:p>
            <w:r>
              <w:rPr>
                <w:rFonts w:ascii="Noto Sans" w:hAnsi="Noto Sans" w:eastAsia="Noto Sans"/>
                <w:sz w:val="17"/>
              </w:rPr>
              <w:t>Le credenziali M2M sono custodite da secret manager/workload identity; APR conserva principal e policy, mai secret.</w:t>
            </w:r>
          </w:p>
        </w:tc>
      </w:tr>
    </w:tbl>
    <w:p>
      <w:pPr>
        <w:spacing w:after="40"/>
      </w:pPr>
    </w:p>
    <w:tbl>
      <w:tblPr>
        <w:tblW w:type="auto" w:w="0"/>
        <w:jc w:val="center"/>
        <w:tblLayout w:type="fixed"/>
        <w:tblLook w:firstColumn="1" w:firstRow="1" w:lastColumn="0" w:lastRow="0" w:noHBand="0" w:noVBand="1" w:val="04A0"/>
      </w:tblPr>
      <w:tblGrid>
        <w:gridCol w:w="8787"/>
      </w:tblGrid>
      <w:tr>
        <w:trPr>
          <w:tblHeader w:val="true"/>
        </w:trPr>
        <w:tc>
          <w:tcPr>
            <w:tcW w:type="dxa" w:w="9406"/>
            <w:shd w:fill="0B4F6C"/>
            <w:tcBorders>
              <w:top w:val="single" w:sz="10" w:color="2E7D32"/>
              <w:left w:val="single" w:sz="10" w:color="2E7D32"/>
              <w:bottom w:val="single" w:sz="10" w:color="2E7D32"/>
              <w:right w:val="single" w:sz="10" w:color="2E7D32"/>
            </w:tcBorders>
          </w:tcPr>
          <w:p>
            <w:r>
              <w:rPr>
                <w:rFonts w:ascii="Noto Sans" w:hAnsi="Noto Sans" w:eastAsia="Noto Sans"/>
                <w:b/>
                <w:color w:val="FFFFFF"/>
                <w:sz w:val="17"/>
              </w:rPr>
              <w:t>Stato finale</w:t>
              <w:br/>
              <w:t>APPROVATO COME BASELINE v1.4 — pronto per integrazione con EVO HUMAN e selezione controllata dello scenario M2M A/B/C.</w:t>
            </w:r>
          </w:p>
        </w:tc>
      </w:tr>
    </w:tbl>
    <w:p>
      <w:pPr>
        <w:spacing w:after="20"/>
      </w:pPr>
    </w:p>
    <w:p>
      <w:pPr>
        <w:pStyle w:val="Heading2"/>
        <w:keepNext/>
      </w:pPr>
      <w:r>
        <w:rPr>
          <w:rFonts w:ascii="Noto Sans" w:hAnsi="Noto Sans" w:eastAsia="Noto Sans"/>
        </w:rPr>
        <w:t>37.1 Criteri GO</w:t>
      </w:r>
    </w:p>
    <w:p>
      <w:pPr>
        <w:pStyle w:val="ListBullet"/>
        <w:spacing w:before="0" w:after="60" w:line="264" w:lineRule="auto"/>
      </w:pPr>
      <w:r>
        <w:rPr>
          <w:rFonts w:ascii="Noto Sans" w:hAnsi="Noto Sans" w:eastAsia="Noto Sans"/>
          <w:b w:val="0"/>
          <w:i w:val="0"/>
          <w:color w:val="000000"/>
          <w:sz w:val="18"/>
        </w:rPr>
        <w:t>Nessun TBD architetturale bloccante.</w:t>
      </w:r>
    </w:p>
    <w:p>
      <w:pPr>
        <w:pStyle w:val="ListBullet"/>
        <w:spacing w:before="0" w:after="60" w:line="264" w:lineRule="auto"/>
      </w:pPr>
      <w:r>
        <w:rPr>
          <w:rFonts w:ascii="Noto Sans" w:hAnsi="Noto Sans" w:eastAsia="Noto Sans"/>
          <w:b w:val="0"/>
          <w:i w:val="0"/>
          <w:color w:val="000000"/>
          <w:sz w:val="18"/>
        </w:rPr>
        <w:t>Confini IAM centrale / Gateway / Authorization / servizi definiti.</w:t>
      </w:r>
    </w:p>
    <w:p>
      <w:pPr>
        <w:pStyle w:val="ListBullet"/>
        <w:spacing w:before="0" w:after="60" w:line="264" w:lineRule="auto"/>
      </w:pPr>
      <w:r>
        <w:rPr>
          <w:rFonts w:ascii="Noto Sans" w:hAnsi="Noto Sans" w:eastAsia="Noto Sans"/>
          <w:b w:val="0"/>
          <w:i w:val="0"/>
          <w:color w:val="000000"/>
          <w:sz w:val="18"/>
        </w:rPr>
        <w:t>Policy model, lifecycle, API, persistence, publication ed enforcement definiti.</w:t>
      </w:r>
    </w:p>
    <w:p>
      <w:pPr>
        <w:pStyle w:val="ListBullet"/>
        <w:spacing w:before="0" w:after="60" w:line="264" w:lineRule="auto"/>
      </w:pPr>
      <w:r>
        <w:rPr>
          <w:rFonts w:ascii="Noto Sans" w:hAnsi="Noto Sans" w:eastAsia="Noto Sans"/>
          <w:b w:val="0"/>
          <w:i w:val="0"/>
          <w:color w:val="000000"/>
          <w:sz w:val="18"/>
        </w:rPr>
        <w:t>Conformance e security test definiti.</w:t>
      </w:r>
    </w:p>
    <w:p>
      <w:pPr>
        <w:pStyle w:val="ListBullet"/>
        <w:spacing w:before="0" w:after="60" w:line="264" w:lineRule="auto"/>
      </w:pPr>
      <w:r>
        <w:rPr>
          <w:rFonts w:ascii="Noto Sans" w:hAnsi="Noto Sans" w:eastAsia="Noto Sans"/>
          <w:b w:val="0"/>
          <w:i w:val="0"/>
          <w:color w:val="000000"/>
          <w:sz w:val="18"/>
        </w:rPr>
        <w:t>Collocazione fisica compatibile con il design constraint economico.</w:t>
      </w:r>
    </w:p>
    <w:p>
      <w:pPr>
        <w:pStyle w:val="ListBullet"/>
        <w:spacing w:before="0" w:after="60" w:line="264" w:lineRule="auto"/>
      </w:pPr>
      <w:r>
        <w:rPr>
          <w:rFonts w:ascii="Noto Sans" w:hAnsi="Noto Sans" w:eastAsia="Noto Sans"/>
        </w:rPr>
        <w:t>Parametri EVO/Maggioli residui e scelta tra scenario M2M A/B/C classificati come integrazione controllata; il modello di trust e authorization resta invariato.</w:t>
      </w:r>
    </w:p>
    <w:p>
      <w:r>
        <w:rPr>
          <w:rFonts w:ascii="Noto Sans" w:hAnsi="Noto Sans" w:eastAsia="Noto Sans"/>
        </w:rPr>
      </w:r>
    </w:p>
    <w:p>
      <w:pPr>
        <w:pStyle w:val="Heading2"/>
      </w:pPr>
      <w:r>
        <w:rPr>
          <w:rFonts w:ascii="Noto Sans" w:hAnsi="Noto Sans" w:eastAsia="Noto Sans"/>
        </w:rPr>
        <w:t>37.2 Criteri GO aggiuntivi per allineamento Ingestion</w:t>
      </w:r>
    </w:p>
    <w:p>
      <w:pPr>
        <w:pStyle w:val="ListBullet"/>
      </w:pPr>
      <w:r>
        <w:rPr>
          <w:rFonts w:ascii="Noto Sans" w:hAnsi="Noto Sans" w:eastAsia="Noto Sans"/>
        </w:rPr>
        <w:t>Capability issue/quarantena/file-intake/lineage presenti nel Capability Catalog con owner e risk class definiti.</w:t>
      </w:r>
    </w:p>
    <w:p>
      <w:pPr>
        <w:pStyle w:val="ListBullet"/>
      </w:pPr>
      <w:r>
        <w:rPr>
          <w:rFonts w:ascii="Noto Sans" w:hAnsi="Noto Sans" w:eastAsia="Noto Sans"/>
        </w:rPr>
        <w:t>Default deny e actor separation verificati sui nuovi tool MCP.</w:t>
      </w:r>
    </w:p>
    <w:p>
      <w:pPr>
        <w:pStyle w:val="ListBullet"/>
      </w:pPr>
      <w:r>
        <w:rPr>
          <w:rFonts w:ascii="Noto Sans" w:hAnsi="Noto Sans" w:eastAsia="Noto Sans"/>
        </w:rPr>
        <w:t>User-bound delegation conserva HUMAN_USER + delegatedVia senza impersonificazione.</w:t>
      </w:r>
    </w:p>
    <w:p>
      <w:pPr>
        <w:pStyle w:val="ListBullet"/>
      </w:pPr>
      <w:r>
        <w:rPr>
          <w:rFonts w:ascii="Noto Sans" w:hAnsi="Noto Sans" w:eastAsia="Noto Sans"/>
        </w:rPr>
        <w:t>Policy bundle supporta evaluation concorrente e version pinning coerente.</w:t>
      </w:r>
    </w:p>
    <w:p>
      <w:pPr>
        <w:pStyle w:val="ListBullet"/>
      </w:pPr>
      <w:r>
        <w:rPr>
          <w:rFonts w:ascii="Noto Sans" w:hAnsi="Noto Sans" w:eastAsia="Noto Sans"/>
        </w:rPr>
        <w:t>Test AUTH-I01…AUTH-I10 verdi in staging.</w:t>
      </w:r>
    </w:p>
    <w:p>
      <w:pPr>
        <w:pStyle w:val="Heading1"/>
        <w:keepNext/>
      </w:pPr>
      <w:r>
        <w:rPr>
          <w:rFonts w:ascii="Noto Sans" w:hAnsi="Noto Sans" w:eastAsia="Noto Sans"/>
        </w:rPr>
        <w:t>A. Riferimenti interni OUF</w:t>
      </w:r>
    </w:p>
    <w:p>
      <w:pPr>
        <w:pStyle w:val="ListBullet"/>
        <w:spacing w:before="0" w:after="60" w:line="264" w:lineRule="auto"/>
      </w:pPr>
      <w:r>
        <w:rPr>
          <w:rFonts w:ascii="Noto Sans" w:hAnsi="Noto Sans" w:eastAsia="Noto Sans"/>
          <w:b w:val="0"/>
          <w:i w:val="0"/>
          <w:color w:val="000000"/>
          <w:sz w:val="18"/>
        </w:rPr>
        <w:t>OUF — Progetto Esecutivo Tecnologico Urban API Gateway v1.0.5 — Agosto 2026.</w:t>
      </w:r>
    </w:p>
    <w:p>
      <w:pPr>
        <w:pStyle w:val="ListBullet"/>
        <w:spacing w:before="0" w:after="60" w:line="264" w:lineRule="auto"/>
      </w:pPr>
      <w:r>
        <w:rPr>
          <w:rFonts w:ascii="Noto Sans" w:hAnsi="Noto Sans" w:eastAsia="Noto Sans"/>
          <w:b w:val="0"/>
          <w:i w:val="0"/>
          <w:color w:val="000000"/>
          <w:sz w:val="18"/>
        </w:rPr>
        <w:t>OUF — Progetto Esecutivo Source Onboarding &amp; Configuration v1.0 — Agosto 2026.</w:t>
      </w:r>
    </w:p>
    <w:p>
      <w:pPr>
        <w:pStyle w:val="ListBullet"/>
        <w:spacing w:before="0" w:after="60" w:line="264" w:lineRule="auto"/>
      </w:pPr>
      <w:r>
        <w:rPr>
          <w:rFonts w:ascii="Noto Sans" w:hAnsi="Noto Sans" w:eastAsia="Noto Sans"/>
          <w:b w:val="0"/>
          <w:i w:val="0"/>
          <w:color w:val="000000"/>
          <w:sz w:val="18"/>
        </w:rPr>
        <w:t>OUF — Progetto Esecutivo Tecnologico Semantic Model / Registry v1.0 — Agosto 2026.</w:t>
      </w:r>
    </w:p>
    <w:p>
      <w:pPr>
        <w:pStyle w:val="ListBullet"/>
        <w:spacing w:before="0" w:after="60" w:line="264" w:lineRule="auto"/>
      </w:pPr>
      <w:r>
        <w:rPr>
          <w:rFonts w:ascii="Noto Sans" w:hAnsi="Noto Sans" w:eastAsia="Noto Sans"/>
          <w:b w:val="0"/>
          <w:i w:val="0"/>
          <w:color w:val="000000"/>
          <w:sz w:val="18"/>
        </w:rPr>
        <w:t>OUF Blue Paper — framework architetturale e principi di governance.</w:t>
      </w:r>
    </w:p>
    <w:p>
      <w:pPr>
        <w:pStyle w:val="ListBullet"/>
        <w:spacing w:before="0" w:after="60" w:line="264" w:lineRule="auto"/>
      </w:pPr>
      <w:r>
        <w:rPr>
          <w:rFonts w:ascii="Noto Sans" w:hAnsi="Noto Sans" w:eastAsia="Noto Sans"/>
          <w:b w:val="0"/>
          <w:i w:val="0"/>
          <w:color w:val="000000"/>
          <w:sz w:val="18"/>
        </w:rPr>
        <w:t>OUF Master Template &amp; Editorial Guidelines — stile documentale.</w:t>
      </w:r>
    </w:p>
    <w:p>
      <w:pPr>
        <w:pStyle w:val="ListBullet"/>
        <w:spacing w:before="0" w:after="60" w:line="264" w:lineRule="auto"/>
      </w:pPr>
      <w:r>
        <w:rPr>
          <w:rFonts w:ascii="Noto Sans" w:hAnsi="Noto Sans" w:eastAsia="Noto Sans"/>
        </w:rPr>
        <w:t>Assunzione progettuale del committente: progetto EVO/Maggioli con IAM/Keycloak e struttura organizzativa/ruoli dell’Ente da riusare come source of truth per HUMAN_USER. Il supporto M2M di EVO è da verificare; in sua assenza è ammessa una authority tecnica separata secondo la presente specifica.</w:t>
      </w:r>
    </w:p>
    <w:p>
      <w:pPr>
        <w:pStyle w:val="ListBullet"/>
      </w:pPr>
      <w:r>
        <w:rPr>
          <w:rFonts w:ascii="Noto Sans" w:hAnsi="Noto Sans"/>
        </w:rPr>
        <w:t>AUTH-A16 — Atomic policy snapshot: durante refresh concorrente, una request lunga usa una sola policyVersion dalla prima evaluation alla decisione/audit finale.</w:t>
      </w:r>
    </w:p>
    <w:p>
      <w:pPr>
        <w:pStyle w:val="ListBullet"/>
      </w:pPr>
      <w:r>
        <w:rPr>
          <w:rFonts w:ascii="Noto Sans" w:hAnsi="Noto Sans"/>
        </w:rPr>
        <w:t>AUTH-A17 — No mixed bundle: stress test multi-thread dimostra che nessuna request combina regole provenienti da due AuthorizationPolicyBundle differenti.</w:t>
      </w:r>
    </w:p>
    <w:p>
      <w:pPr>
        <w:pStyle w:val="ListBullet"/>
      </w:pPr>
      <w:r>
        <w:rPr>
          <w:rFonts w:ascii="Noto Sans" w:hAnsi="Noto Sans"/>
        </w:rPr>
        <w:t>AUTH-A18 — IAM lookup timeout fail-closed: directory lenta/down oltre timeout produce DENY esplicito e nessun fallback permissivo.</w:t>
      </w:r>
    </w:p>
    <w:p>
      <w:pPr>
        <w:pStyle w:val="ListBullet"/>
      </w:pPr>
      <w:r>
        <w:rPr>
          <w:rFonts w:ascii="Noto Sans" w:hAnsi="Noto Sans"/>
        </w:rPr>
        <w:t>AUTH-A19 — IAM degradation isolation: storm di lookup in timeout non esaurisce thread/connection pool e non degrada le richieste che non richiedono directory lookup oltre la soglia definita.</w:t>
      </w:r>
    </w:p>
    <w:p>
      <w:pPr>
        <w:pStyle w:val="ListBullet"/>
      </w:pPr>
      <w:r>
        <w:rPr>
          <w:rFonts w:ascii="Noto Sans" w:hAnsi="Noto Sans"/>
        </w:rPr>
        <w:t>AUTH-A20 — Trusted claim shortcut: attributo ABAC presente in claim firmato/fresco evita lookup remoto senza cambiare l'esito rispetto alla stessa policy valutata via directory.</w:t>
      </w:r>
    </w:p>
    <w:p>
      <w:pPr>
        <w:pStyle w:val="Heading2"/>
      </w:pPr>
      <w:r>
        <w:rPr>
          <w:rFonts w:ascii="Noto Sans" w:hAnsi="Noto Sans"/>
        </w:rPr>
        <w:t>37.3 Criteri GO v1.3</w:t>
      </w:r>
    </w:p>
    <w:p>
      <w:pPr>
        <w:pStyle w:val="ListBullet"/>
      </w:pPr>
      <w:r>
        <w:rPr>
          <w:rFonts w:ascii="Noto Sans" w:hAnsi="Noto Sans"/>
        </w:rPr>
        <w:t>Capability groups v1.3 registrati e versionati senza wildcard permissive.</w:t>
      </w:r>
    </w:p>
    <w:p>
      <w:pPr>
        <w:pStyle w:val="ListBullet"/>
      </w:pPr>
      <w:r>
        <w:rPr>
          <w:rFonts w:ascii="Noto Sans" w:hAnsi="Noto Sans"/>
        </w:rPr>
        <w:t>DataAccessLabel applicati server-side su object/property/geometry/relationship/lineage dove previsti.</w:t>
      </w:r>
    </w:p>
    <w:p>
      <w:pPr>
        <w:pStyle w:val="ListBullet"/>
      </w:pPr>
      <w:r>
        <w:rPr>
          <w:rFonts w:ascii="Noto Sans" w:hAnsi="Noto Sans"/>
        </w:rPr>
        <w:t>Raw, lineage, history ed export testati come capability separate.</w:t>
      </w:r>
    </w:p>
    <w:p>
      <w:pPr>
        <w:pStyle w:val="ListBullet"/>
      </w:pPr>
      <w:r>
        <w:rPr>
          <w:rFonts w:ascii="Noto Sans" w:hAnsi="Noto Sans"/>
        </w:rPr>
        <w:t>merge/split confirm, authority override, approve/activate verificati HUMAN_REQUIRED.</w:t>
      </w:r>
    </w:p>
    <w:p>
      <w:pPr>
        <w:pStyle w:val="ListBullet"/>
      </w:pPr>
      <w:r>
        <w:rPr>
          <w:rFonts w:ascii="Noto Sans" w:hAnsi="Noto Sans"/>
        </w:rPr>
        <w:t>Authorization e Query Complexity Governor verificati come controlli indipendenti e cumulativi.</w:t>
      </w:r>
    </w:p>
    <w:p>
      <w:pPr>
        <w:pStyle w:val="ListBullet"/>
      </w:pPr>
      <w:r>
        <w:rPr>
          <w:rFonts w:ascii="Noto Sans" w:hAnsi="Noto Sans"/>
        </w:rPr>
        <w:t>MCP/Agent riceve solo risposte già autorizzate/minimizzate; nessun post-mask di dati sensibili nel modello.</w:t>
      </w:r>
    </w:p>
    <w:p>
      <w:pPr>
        <w:pStyle w:val="ListBullet"/>
      </w:pPr>
      <w:r>
        <w:rPr>
          <w:rFonts w:ascii="Noto Sans" w:hAnsi="Noto Sans"/>
        </w:rPr>
        <w:t>M2M service identity e default deny verificati su chiamate intra-cluster.</w:t>
      </w:r>
    </w:p>
    <w:p>
      <w:pPr>
        <w:pStyle w:val="ListBullet"/>
      </w:pPr>
      <w:r>
        <w:rPr>
          <w:rFonts w:ascii="Noto Sans" w:hAnsi="Noto Sans"/>
        </w:rPr>
        <w:t>AUTH-A01…AUTH-A20 superati in staging integrato.</w:t>
      </w:r>
    </w:p>
    <w:p>
      <w:r>
        <w:br w:type="page"/>
      </w:r>
    </w:p>
    <w:p>
      <w:pPr>
        <w:pStyle w:val="Heading1"/>
      </w:pPr>
      <w:r>
        <w:t>38. Implementation Readiness Alignment — Ingestion Gold Standard</w:t>
      </w:r>
    </w:p>
    <w:p>
      <w:r>
        <w:t>Questa parte consolida il documento secondo lo standard esecutivo adottato per OUF prendendo come gold standard l'Ingestion Runtime. Non modifica i bounded context o le decisioni architetturali già definite: rende invece espliciti gli artefatti che un team di sviluppo deve ricevere, i gate di build/release, le responsabilità implementative, le failure semantics, la compatibilità e le evidence richieste. In caso di conflitto editoriale con descrizioni storiche o baseline intermedie, prevalgono le decisioni tecniche correnti del modulo e i contratti cross-module versionati.</w:t>
      </w:r>
    </w:p>
    <w:p>
      <w:pPr>
        <w:pStyle w:val="Heading2"/>
      </w:pPr>
      <w:r>
        <w:t>38.1 Packaging implementativo</w:t>
      </w:r>
    </w:p>
    <w:p>
      <w:r>
        <w:t>Authorization è un bounded context trasversale ma, nella baseline corrente, non costituisce un deployable autonomo. Il codice applicativo del Registry vive nel control-plane; l’enforcement vive nei moduli tramite shared SDK/library. Questa sezione rende implementabile tale ripartizione.</w:t>
      </w:r>
    </w:p>
    <w:p>
      <w:r>
        <w:rPr>
          <w:rFonts w:ascii="Liberation Mono" w:hAnsi="Liberation Mono"/>
          <w:sz w:val="17"/>
        </w:rPr>
        <w:t>ouf-control-plane/</w:t>
        <w:br/>
      </w:r>
      <w:r>
        <w:rPr>
          <w:rFonts w:ascii="Liberation Mono" w:hAnsi="Liberation Mono"/>
          <w:sz w:val="17"/>
        </w:rPr>
        <w:t>└── authorization/</w:t>
        <w:br/>
      </w:r>
      <w:r>
        <w:rPr>
          <w:rFonts w:ascii="Liberation Mono" w:hAnsi="Liberation Mono"/>
          <w:sz w:val="17"/>
        </w:rPr>
        <w:t xml:space="preserve">    ├── api</w:t>
        <w:br/>
      </w:r>
      <w:r>
        <w:rPr>
          <w:rFonts w:ascii="Liberation Mono" w:hAnsi="Liberation Mono"/>
          <w:sz w:val="17"/>
        </w:rPr>
        <w:t xml:space="preserve">    ├── application</w:t>
        <w:br/>
      </w:r>
      <w:r>
        <w:rPr>
          <w:rFonts w:ascii="Liberation Mono" w:hAnsi="Liberation Mono"/>
          <w:sz w:val="17"/>
        </w:rPr>
        <w:t xml:space="preserve">    ├── domain</w:t>
        <w:br/>
      </w:r>
      <w:r>
        <w:rPr>
          <w:rFonts w:ascii="Liberation Mono" w:hAnsi="Liberation Mono"/>
          <w:sz w:val="17"/>
        </w:rPr>
        <w:t xml:space="preserve">    ├── persistence</w:t>
        <w:br/>
      </w:r>
      <w:r>
        <w:rPr>
          <w:rFonts w:ascii="Liberation Mono" w:hAnsi="Liberation Mono"/>
          <w:sz w:val="17"/>
        </w:rPr>
        <w:t xml:space="preserve">    ├── publication</w:t>
        <w:br/>
      </w:r>
      <w:r>
        <w:rPr>
          <w:rFonts w:ascii="Liberation Mono" w:hAnsi="Liberation Mono"/>
          <w:sz w:val="17"/>
        </w:rPr>
        <w:t xml:space="preserve">    └── iam-adapter</w:t>
        <w:br/>
      </w:r>
      <w:r>
        <w:rPr>
          <w:rFonts w:ascii="Liberation Mono" w:hAnsi="Liberation Mono"/>
          <w:sz w:val="17"/>
        </w:rPr>
        <w:t>ouf-authorization-sdk/</w:t>
        <w:br/>
      </w:r>
      <w:r>
        <w:rPr>
          <w:rFonts w:ascii="Liberation Mono" w:hAnsi="Liberation Mono"/>
          <w:sz w:val="17"/>
        </w:rPr>
        <w:t>├── principal</w:t>
        <w:br/>
      </w:r>
      <w:r>
        <w:rPr>
          <w:rFonts w:ascii="Liberation Mono" w:hAnsi="Liberation Mono"/>
          <w:sz w:val="17"/>
        </w:rPr>
        <w:t>├── evaluator</w:t>
        <w:br/>
      </w:r>
      <w:r>
        <w:rPr>
          <w:rFonts w:ascii="Liberation Mono" w:hAnsi="Liberation Mono"/>
          <w:sz w:val="17"/>
        </w:rPr>
        <w:t>├── annotations</w:t>
        <w:br/>
      </w:r>
      <w:r>
        <w:rPr>
          <w:rFonts w:ascii="Liberation Mono" w:hAnsi="Liberation Mono"/>
          <w:sz w:val="17"/>
        </w:rPr>
        <w:t>├── bundle-cache</w:t>
        <w:br/>
      </w:r>
      <w:r>
        <w:rPr>
          <w:rFonts w:ascii="Liberation Mono" w:hAnsi="Liberation Mono"/>
          <w:sz w:val="17"/>
        </w:rPr>
        <w:t>├── decision-evidence</w:t>
        <w:br/>
      </w:r>
      <w:r>
        <w:rPr>
          <w:rFonts w:ascii="Liberation Mono" w:hAnsi="Liberation Mono"/>
          <w:sz w:val="17"/>
        </w:rPr>
        <w:t>└── test-support</w:t>
        <w:br/>
      </w:r>
    </w:p>
    <w:p>
      <w:pPr>
        <w:pStyle w:val="Heading2"/>
      </w:pPr>
      <w:r>
        <w:t>38.2 Artefatti di contratto</w:t>
      </w:r>
    </w:p>
    <w:p>
      <w:pPr>
        <w:pStyle w:val="ListBullet"/>
      </w:pPr>
      <w:r>
        <w:t>OpenAPI /api/authz/v1 e JSON Schema di AuthorizationPolicyBundle, principal context, decision evidence e standard reason codes.</w:t>
      </w:r>
    </w:p>
    <w:p>
      <w:pPr>
        <w:pStyle w:val="ListBullet"/>
      </w:pPr>
      <w:r>
        <w:t>Capability catalog import/validation contract: Authorization registra riferimenti alle capability dichiarate dagli owner senza ridefinirne la semantica.</w:t>
      </w:r>
    </w:p>
    <w:p>
      <w:pPr>
        <w:pStyle w:val="ListBullet"/>
      </w:pPr>
      <w:r>
        <w:t>Shared SDK con API stabile, conformance fixture e test support utilizzabile dagli altri moduli.</w:t>
      </w:r>
    </w:p>
    <w:p>
      <w:pPr>
        <w:pStyle w:val="ListBullet"/>
      </w:pPr>
      <w:r>
        <w:t>Claim contract OIDC/OAuth2 separato dalla forma concreta dell’IAM; issuer/audience/role mapping sono configurazione di ambiente.</w:t>
      </w:r>
    </w:p>
    <w:p>
      <w:pPr>
        <w:pStyle w:val="Heading2"/>
      </w:pPr>
      <w:r>
        <w:t>38.3 CI/CD e conformance gate</w:t>
      </w:r>
    </w:p>
    <w:tbl>
      <w:tblPr>
        <w:tblStyle w:val="TableGrid"/>
        <w:tblW w:type="auto" w:w="0"/>
        <w:tblLook w:firstColumn="1" w:firstRow="1" w:lastColumn="0" w:lastRow="0" w:noHBand="0" w:noVBand="1" w:val="04A0"/>
      </w:tblPr>
      <w:tblGrid>
        <w:gridCol w:w="4703"/>
        <w:gridCol w:w="4703"/>
      </w:tblGrid>
      <w:tr>
        <w:tc>
          <w:tcPr>
            <w:tcW w:type="dxa" w:w="4703"/>
          </w:tcPr>
          <w:p>
            <w:r>
              <w:t>Stage</w:t>
            </w:r>
          </w:p>
        </w:tc>
        <w:tc>
          <w:tcPr>
            <w:tcW w:type="dxa" w:w="4703"/>
          </w:tcPr>
          <w:p>
            <w:r>
              <w:t>Controllo</w:t>
            </w:r>
          </w:p>
        </w:tc>
      </w:tr>
      <w:tr>
        <w:tc>
          <w:tcPr>
            <w:tcW w:type="dxa" w:w="4703"/>
          </w:tcPr>
          <w:p>
            <w:r>
              <w:t>Compile/unit</w:t>
            </w:r>
          </w:p>
        </w:tc>
        <w:tc>
          <w:tcPr>
            <w:tcW w:type="dxa" w:w="4703"/>
          </w:tcPr>
          <w:p>
            <w:r>
              <w:t>control-plane authz + SDK, evaluator deterministic tests.</w:t>
            </w:r>
          </w:p>
        </w:tc>
      </w:tr>
      <w:tr>
        <w:tc>
          <w:tcPr>
            <w:tcW w:type="dxa" w:w="4703"/>
          </w:tcPr>
          <w:p>
            <w:r>
              <w:t>Contract</w:t>
            </w:r>
          </w:p>
        </w:tc>
        <w:tc>
          <w:tcPr>
            <w:tcW w:type="dxa" w:w="4703"/>
          </w:tcPr>
          <w:p>
            <w:r>
              <w:t>OpenAPI/schema, capability referential integrity, reason code fixtures.</w:t>
            </w:r>
          </w:p>
        </w:tc>
      </w:tr>
      <w:tr>
        <w:tc>
          <w:tcPr>
            <w:tcW w:type="dxa" w:w="4703"/>
          </w:tcPr>
          <w:p>
            <w:r>
              <w:t>DB</w:t>
            </w:r>
          </w:p>
        </w:tc>
        <w:tc>
          <w:tcPr>
            <w:tcW w:type="dxa" w:w="4703"/>
          </w:tcPr>
          <w:p>
            <w:r>
              <w:t>Flyway authz schema fresh/upgrade e bundle pointer atomicity.</w:t>
            </w:r>
          </w:p>
        </w:tc>
      </w:tr>
      <w:tr>
        <w:tc>
          <w:tcPr>
            <w:tcW w:type="dxa" w:w="4703"/>
          </w:tcPr>
          <w:p>
            <w:r>
              <w:t>Integration</w:t>
            </w:r>
          </w:p>
        </w:tc>
        <w:tc>
          <w:tcPr>
            <w:tcW w:type="dxa" w:w="4703"/>
          </w:tcPr>
          <w:p>
            <w:r>
              <w:t>IAM mock/realm test, Gateway context propagation, Onboarding co-location.</w:t>
            </w:r>
          </w:p>
        </w:tc>
      </w:tr>
      <w:tr>
        <w:tc>
          <w:tcPr>
            <w:tcW w:type="dxa" w:w="4703"/>
          </w:tcPr>
          <w:p>
            <w:r>
              <w:t>Security</w:t>
            </w:r>
          </w:p>
        </w:tc>
        <w:tc>
          <w:tcPr>
            <w:tcW w:type="dxa" w:w="4703"/>
          </w:tcPr>
          <w:p>
            <w:r>
              <w:t>default deny, actor separation, stale/missing claims, lookup timeout fail-closed, SoD/step-up cases.</w:t>
            </w:r>
          </w:p>
        </w:tc>
      </w:tr>
      <w:tr>
        <w:tc>
          <w:tcPr>
            <w:tcW w:type="dxa" w:w="4703"/>
          </w:tcPr>
          <w:p>
            <w:r>
              <w:t>Concurrency</w:t>
            </w:r>
          </w:p>
        </w:tc>
        <w:tc>
          <w:tcPr>
            <w:tcW w:type="dxa" w:w="4703"/>
          </w:tcPr>
          <w:p>
            <w:r>
              <w:t>policy refresh, no mixed bundle, long request version pinning.</w:t>
            </w:r>
          </w:p>
        </w:tc>
      </w:tr>
      <w:tr>
        <w:tc>
          <w:tcPr>
            <w:tcW w:type="dxa" w:w="4703"/>
          </w:tcPr>
          <w:p>
            <w:r>
              <w:t>Performance</w:t>
            </w:r>
          </w:p>
        </w:tc>
        <w:tc>
          <w:tcPr>
            <w:tcW w:type="dxa" w:w="4703"/>
          </w:tcPr>
          <w:p>
            <w:r>
              <w:t>evaluator p95 target e grant/bundle sizing definiti nel documento.</w:t>
            </w:r>
          </w:p>
        </w:tc>
      </w:tr>
      <w:tr>
        <w:tc>
          <w:tcPr>
            <w:tcW w:type="dxa" w:w="4703"/>
          </w:tcPr>
          <w:p>
            <w:r>
              <w:t>Package</w:t>
            </w:r>
          </w:p>
        </w:tc>
        <w:tc>
          <w:tcPr>
            <w:tcW w:type="dxa" w:w="4703"/>
          </w:tcPr>
          <w:p>
            <w:r>
              <w:t>library artifact + control-plane image/Helm + SBOM/provenance.</w:t>
            </w:r>
          </w:p>
        </w:tc>
      </w:tr>
      <w:tr>
        <w:tc>
          <w:tcPr>
            <w:tcW w:type="dxa" w:w="4703"/>
          </w:tcPr>
          <w:p>
            <w:r>
              <w:t>Acceptance</w:t>
            </w:r>
          </w:p>
        </w:tc>
        <w:tc>
          <w:tcPr>
            <w:tcW w:type="dxa" w:w="4703"/>
          </w:tcPr>
          <w:p>
            <w:r>
              <w:t>cross-module enforcement su UDP/Onboarding/Ingestion/Semantic/MCP binding.</w:t>
            </w:r>
          </w:p>
        </w:tc>
      </w:tr>
    </w:tbl>
    <w:p>
      <w:pPr>
        <w:pStyle w:val="Heading2"/>
      </w:pPr>
      <w:r>
        <w:t>38.4 Failure semantics</w:t>
      </w:r>
    </w:p>
    <w:tbl>
      <w:tblPr>
        <w:tblStyle w:val="TableGrid"/>
        <w:tblW w:type="auto" w:w="0"/>
        <w:tblLook w:firstColumn="1" w:firstRow="1" w:lastColumn="0" w:lastRow="0" w:noHBand="0" w:noVBand="1" w:val="04A0"/>
      </w:tblPr>
      <w:tblGrid>
        <w:gridCol w:w="4703"/>
        <w:gridCol w:w="4703"/>
      </w:tblGrid>
      <w:tr>
        <w:tc>
          <w:tcPr>
            <w:tcW w:type="dxa" w:w="4703"/>
          </w:tcPr>
          <w:p>
            <w:r>
              <w:t>Failure</w:t>
            </w:r>
          </w:p>
        </w:tc>
        <w:tc>
          <w:tcPr>
            <w:tcW w:type="dxa" w:w="4703"/>
          </w:tcPr>
          <w:p>
            <w:r>
              <w:t>Comportamento</w:t>
            </w:r>
          </w:p>
        </w:tc>
      </w:tr>
      <w:tr>
        <w:tc>
          <w:tcPr>
            <w:tcW w:type="dxa" w:w="4703"/>
          </w:tcPr>
          <w:p>
            <w:r>
              <w:t>Invalid/missing token context</w:t>
            </w:r>
          </w:p>
        </w:tc>
        <w:tc>
          <w:tcPr>
            <w:tcW w:type="dxa" w:w="4703"/>
          </w:tcPr>
          <w:p>
            <w:r>
              <w:t>DENY/fail closed.</w:t>
            </w:r>
          </w:p>
        </w:tc>
      </w:tr>
      <w:tr>
        <w:tc>
          <w:tcPr>
            <w:tcW w:type="dxa" w:w="4703"/>
          </w:tcPr>
          <w:p>
            <w:r>
              <w:t>Capability sconosciuta</w:t>
            </w:r>
          </w:p>
        </w:tc>
        <w:tc>
          <w:tcPr>
            <w:tcW w:type="dxa" w:w="4703"/>
          </w:tcPr>
          <w:p>
            <w:r>
              <w:t>default DENY; nessuna wildcard implicita.</w:t>
            </w:r>
          </w:p>
        </w:tc>
      </w:tr>
      <w:tr>
        <w:tc>
          <w:tcPr>
            <w:tcW w:type="dxa" w:w="4703"/>
          </w:tcPr>
          <w:p>
            <w:r>
              <w:t>IAM lookup timeout</w:t>
            </w:r>
          </w:p>
        </w:tc>
        <w:tc>
          <w:tcPr>
            <w:tcW w:type="dxa" w:w="4703"/>
          </w:tcPr>
          <w:p>
            <w:r>
              <w:t>DENY esplicito; isolation per non esaurire pool.</w:t>
            </w:r>
          </w:p>
        </w:tc>
      </w:tr>
      <w:tr>
        <w:tc>
          <w:tcPr>
            <w:tcW w:type="dxa" w:w="4703"/>
          </w:tcPr>
          <w:p>
            <w:r>
              <w:t>Policy bundle refresh failure</w:t>
            </w:r>
          </w:p>
        </w:tc>
        <w:tc>
          <w:tcPr>
            <w:tcW w:type="dxa" w:w="4703"/>
          </w:tcPr>
          <w:p>
            <w:r>
              <w:t>last-known-good ACTIVE resta utilizzabile se ancora valido; candidate non diventa ACTIVE.</w:t>
            </w:r>
          </w:p>
        </w:tc>
      </w:tr>
      <w:tr>
        <w:tc>
          <w:tcPr>
            <w:tcW w:type="dxa" w:w="4703"/>
          </w:tcPr>
          <w:p>
            <w:r>
              <w:t>Concurrent policy activation</w:t>
            </w:r>
          </w:p>
        </w:tc>
        <w:tc>
          <w:tcPr>
            <w:tcW w:type="dxa" w:w="4703"/>
          </w:tcPr>
          <w:p>
            <w:r>
              <w:t>atomic pointer; nessuna request combina due bundle.</w:t>
            </w:r>
          </w:p>
        </w:tc>
      </w:tr>
      <w:tr>
        <w:tc>
          <w:tcPr>
            <w:tcW w:type="dxa" w:w="4703"/>
          </w:tcPr>
          <w:p>
            <w:r>
              <w:t>Service identity su human-only</w:t>
            </w:r>
          </w:p>
        </w:tc>
        <w:tc>
          <w:tcPr>
            <w:tcW w:type="dxa" w:w="4703"/>
          </w:tcPr>
          <w:p>
            <w:r>
              <w:t>DENY indipendentemente dallo scope Gateway.</w:t>
            </w:r>
          </w:p>
        </w:tc>
      </w:tr>
      <w:tr>
        <w:tc>
          <w:tcPr>
            <w:tcW w:type="dxa" w:w="4703"/>
          </w:tcPr>
          <w:p>
            <w:r>
              <w:t>Domain state changes after ALLOW</w:t>
            </w:r>
          </w:p>
        </w:tc>
        <w:tc>
          <w:tcPr>
            <w:tcW w:type="dxa" w:w="4703"/>
          </w:tcPr>
          <w:p>
            <w:r>
              <w:t>backend owner revalida authorization e state/ETag al commit.</w:t>
            </w:r>
          </w:p>
        </w:tc>
      </w:tr>
    </w:tbl>
    <w:p>
      <w:pPr>
        <w:pStyle w:val="Heading2"/>
      </w:pPr>
      <w:r>
        <w:t>38.5 M2M integration decision — stato reale</w:t>
      </w:r>
    </w:p>
    <w:p>
      <w:r>
        <w:t>La scelta tra scenario A/B/C non deve essere mascherata come dettaglio editoriale. Il software può essere sviluppato contro il claim/trust contract pluggable; la configurazione di integrazione e i test end-to-end con identità macchina richiedono però una decisione formale sull’authority M2M.</w:t>
      </w:r>
    </w:p>
    <w:tbl>
      <w:tblPr>
        <w:tblStyle w:val="TableGrid"/>
        <w:tblW w:type="auto" w:w="0"/>
        <w:tblLook w:firstColumn="1" w:firstRow="1" w:lastColumn="0" w:lastRow="0" w:noHBand="0" w:noVBand="1" w:val="04A0"/>
      </w:tblPr>
      <w:tblGrid>
        <w:gridCol w:w="4703"/>
        <w:gridCol w:w="4703"/>
      </w:tblGrid>
      <w:tr>
        <w:tc>
          <w:tcPr>
            <w:tcW w:type="dxa" w:w="4703"/>
          </w:tcPr>
          <w:p>
            <w:r>
              <w:t>Voce</w:t>
            </w:r>
          </w:p>
        </w:tc>
        <w:tc>
          <w:tcPr>
            <w:tcW w:type="dxa" w:w="4703"/>
          </w:tcPr>
          <w:p>
            <w:r>
              <w:t>Stato richiesto</w:t>
            </w:r>
          </w:p>
        </w:tc>
      </w:tr>
      <w:tr>
        <w:tc>
          <w:tcPr>
            <w:tcW w:type="dxa" w:w="4703"/>
          </w:tcPr>
          <w:p>
            <w:r>
              <w:t>Scenario M2M A/B/C</w:t>
            </w:r>
          </w:p>
        </w:tc>
        <w:tc>
          <w:tcPr>
            <w:tcW w:type="dxa" w:w="4703"/>
          </w:tcPr>
          <w:p>
            <w:r>
              <w:t>ADR obbligatoria prima dell’integration environment condiviso.</w:t>
            </w:r>
          </w:p>
        </w:tc>
      </w:tr>
      <w:tr>
        <w:tc>
          <w:tcPr>
            <w:tcW w:type="dxa" w:w="4703"/>
          </w:tcPr>
          <w:p>
            <w:r>
              <w:t>Issuer/audience/JWKS</w:t>
            </w:r>
          </w:p>
        </w:tc>
        <w:tc>
          <w:tcPr>
            <w:tcW w:type="dxa" w:w="4703"/>
          </w:tcPr>
          <w:p>
            <w:r>
              <w:t>configurazione ambiente e fixture di test prima dell’E2E security.</w:t>
            </w:r>
          </w:p>
        </w:tc>
      </w:tr>
      <w:tr>
        <w:tc>
          <w:tcPr>
            <w:tcW w:type="dxa" w:w="4703"/>
          </w:tcPr>
          <w:p>
            <w:r>
              <w:t>Role/group/org stable IDs</w:t>
            </w:r>
          </w:p>
        </w:tc>
        <w:tc>
          <w:tcPr>
            <w:tcW w:type="dxa" w:w="4703"/>
          </w:tcPr>
          <w:p>
            <w:r>
              <w:t>conferma con EVO/IAM prima del collaudo HUMAN authorization.</w:t>
            </w:r>
          </w:p>
        </w:tc>
      </w:tr>
      <w:tr>
        <w:tc>
          <w:tcPr>
            <w:tcW w:type="dxa" w:w="4703"/>
          </w:tcPr>
          <w:p>
            <w:r>
              <w:t>Token revocation/freshness/step-up</w:t>
            </w:r>
          </w:p>
        </w:tc>
        <w:tc>
          <w:tcPr>
            <w:tcW w:type="dxa" w:w="4703"/>
          </w:tcPr>
          <w:p>
            <w:r>
              <w:t>policy operativa prima del go-live.</w:t>
            </w:r>
          </w:p>
        </w:tc>
      </w:tr>
      <w:tr>
        <w:tc>
          <w:tcPr>
            <w:tcW w:type="dxa" w:w="4703"/>
          </w:tcPr>
          <w:p>
            <w:r>
              <w:t>Test realm/client workload</w:t>
            </w:r>
          </w:p>
        </w:tc>
        <w:tc>
          <w:tcPr>
            <w:tcW w:type="dxa" w:w="4703"/>
          </w:tcPr>
          <w:p>
            <w:r>
              <w:t>disponibile in staging prima della release candidate.</w:t>
            </w:r>
          </w:p>
        </w:tc>
      </w:tr>
    </w:tbl>
    <w:p>
      <w:pPr>
        <w:pStyle w:val="Heading2"/>
      </w:pPr>
      <w:r>
        <w:t>38.6 Deliverable &amp; Definition of Done</w:t>
      </w:r>
    </w:p>
    <w:p>
      <w:pPr>
        <w:pStyle w:val="ListBullet"/>
      </w:pPr>
      <w:r>
        <w:t>Repository/branch del bounded context authz, shared SDK artifact, OpenAPI/schema, Flyway e test fixtures.</w:t>
      </w:r>
    </w:p>
    <w:p>
      <w:pPr>
        <w:pStyle w:val="ListBullet"/>
      </w:pPr>
      <w:r>
        <w:t>Capability/policy sample bundles con hash/version; migration e rollback procedure.</w:t>
      </w:r>
    </w:p>
    <w:p>
      <w:pPr>
        <w:pStyle w:val="ListBullet"/>
      </w:pPr>
      <w:r>
        <w:t>Integration guide per ogni modulo: identity context, required capability, resource context, reason codes e audit fields.</w:t>
      </w:r>
    </w:p>
    <w:p>
      <w:pPr>
        <w:pStyle w:val="ListBullet"/>
      </w:pPr>
      <w:r>
        <w:t>Security/concurrency/performance report e evidence package.</w:t>
      </w:r>
    </w:p>
    <w:p>
      <w:pPr>
        <w:pStyle w:val="ListBullet"/>
      </w:pPr>
      <w:r>
        <w:t>E2E default-deny, actor separation, lookup failure, policy refresh e service-to-service identity verdi.</w:t>
      </w:r>
    </w:p>
    <w:p>
      <w:pPr>
        <w:pStyle w:val="Heading1"/>
      </w:pPr>
      <w:r>
        <w:t>109. Implementation Readiness Closure — Ingestion-equivalent depth</w:t>
      </w:r>
    </w:p>
    <w:p>
      <w:r>
        <w:rPr>
          <w:b/>
        </w:rPr>
        <w:t xml:space="preserve">Norma di lettura. </w:t>
      </w:r>
      <w:r>
        <w:t>Le sezioni 109.x sono normative per l’implementazione v1.4. Completano il modello di sicurezza e policy già definito senza introdurre un nuovo IAM o un nuovo deployable obbligatorio. Per packaging, contratti machine-readable, runtime, compatibilità, operations, collaudo e supplier handoff, in caso di ambiguità prevale la regola 109.x.</w:t>
      </w:r>
    </w:p>
    <w:p>
      <w:pPr>
        <w:pStyle w:val="Heading2"/>
      </w:pPr>
      <w:r>
        <w:t>109.1 Runtime topology e ownership</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880"/>
            <w:shd w:fill="D9EAF7"/>
            <w:vAlign w:val="center"/>
          </w:tcPr>
          <w:p>
            <w:r>
              <w:rPr>
                <w:b/>
              </w:rPr>
              <w:t>Componente</w:t>
            </w:r>
          </w:p>
        </w:tc>
        <w:tc>
          <w:tcPr>
            <w:tcW w:type="dxa" w:w="3168"/>
            <w:shd w:fill="D9EAF7"/>
            <w:vAlign w:val="center"/>
          </w:tcPr>
          <w:p>
            <w:r>
              <w:rPr>
                <w:b/>
              </w:rPr>
              <w:t>Collocazione</w:t>
            </w:r>
          </w:p>
        </w:tc>
        <w:tc>
          <w:tcPr>
            <w:tcW w:type="dxa" w:w="4752"/>
            <w:shd w:fill="D9EAF7"/>
            <w:vAlign w:val="center"/>
          </w:tcPr>
          <w:p>
            <w:r>
              <w:rPr>
                <w:b/>
              </w:rPr>
              <w:t>Responsabilità</w:t>
            </w:r>
          </w:p>
        </w:tc>
        <w:tc>
          <w:tcPr>
            <w:tcW w:type="dxa" w:w="3312"/>
            <w:shd w:fill="D9EAF7"/>
            <w:vAlign w:val="center"/>
          </w:tcPr>
          <w:p>
            <w:r>
              <w:rPr>
                <w:b/>
              </w:rPr>
              <w:t>Non responsabilità</w:t>
            </w:r>
          </w:p>
        </w:tc>
      </w:tr>
      <w:tr>
        <w:tc>
          <w:tcPr>
            <w:tcW w:type="dxa" w:w="2880"/>
            <w:vAlign w:val="top"/>
          </w:tcPr>
          <w:p>
            <w:r>
              <w:t>Authorization Policy Registry</w:t>
            </w:r>
          </w:p>
        </w:tc>
        <w:tc>
          <w:tcPr>
            <w:tcW w:type="dxa" w:w="3168"/>
            <w:vAlign w:val="top"/>
          </w:tcPr>
          <w:p>
            <w:r>
              <w:t>Co-locato nel control plane Source Onboarding/Configuration</w:t>
            </w:r>
          </w:p>
        </w:tc>
        <w:tc>
          <w:tcPr>
            <w:tcW w:type="dxa" w:w="4752"/>
            <w:vAlign w:val="top"/>
          </w:tcPr>
          <w:p>
            <w:r>
              <w:t>CRUD/versioning policy/grant, capability registration, bundle build/publication, audit refs</w:t>
            </w:r>
          </w:p>
        </w:tc>
        <w:tc>
          <w:tcPr>
            <w:tcW w:type="dxa" w:w="3312"/>
            <w:vAlign w:val="top"/>
          </w:tcPr>
          <w:p>
            <w:r>
              <w:t>Non autentica utenti; non valida il token per conto dei servizi runtime.</w:t>
            </w:r>
          </w:p>
        </w:tc>
      </w:tr>
      <w:tr>
        <w:tc>
          <w:tcPr>
            <w:tcW w:type="dxa" w:w="2880"/>
            <w:vAlign w:val="top"/>
          </w:tcPr>
          <w:p>
            <w:r>
              <w:t>Authorization Evaluator</w:t>
            </w:r>
          </w:p>
        </w:tc>
        <w:tc>
          <w:tcPr>
            <w:tcW w:type="dxa" w:w="3168"/>
            <w:vAlign w:val="top"/>
          </w:tcPr>
          <w:p>
            <w:r>
              <w:t>Libreria/shared SDK in-process nei servizi OUF</w:t>
            </w:r>
          </w:p>
        </w:tc>
        <w:tc>
          <w:tcPr>
            <w:tcW w:type="dxa" w:w="4752"/>
            <w:vAlign w:val="top"/>
          </w:tcPr>
          <w:p>
            <w:r>
              <w:t>Evaluate capability + PrincipalContext + ResourceContext contro snapshot policy coerente</w:t>
            </w:r>
          </w:p>
        </w:tc>
        <w:tc>
          <w:tcPr>
            <w:tcW w:type="dxa" w:w="3312"/>
            <w:vAlign w:val="top"/>
          </w:tcPr>
          <w:p>
            <w:r>
              <w:t>Non effettua round-trip sincrono al Policy Registry per ogni request.</w:t>
            </w:r>
          </w:p>
        </w:tc>
      </w:tr>
      <w:tr>
        <w:tc>
          <w:tcPr>
            <w:tcW w:type="dxa" w:w="2880"/>
            <w:vAlign w:val="top"/>
          </w:tcPr>
          <w:p>
            <w:r>
              <w:t>Policy Bundle Loader/Cache</w:t>
            </w:r>
          </w:p>
        </w:tc>
        <w:tc>
          <w:tcPr>
            <w:tcW w:type="dxa" w:w="3168"/>
            <w:vAlign w:val="top"/>
          </w:tcPr>
          <w:p>
            <w:r>
              <w:t>Shared SDK / service runtime</w:t>
            </w:r>
          </w:p>
        </w:tc>
        <w:tc>
          <w:tcPr>
            <w:tcW w:type="dxa" w:w="4752"/>
            <w:vAlign w:val="top"/>
          </w:tcPr>
          <w:p>
            <w:r>
              <w:t>Load/verify/swap atomico AuthorizationPolicyBundle</w:t>
            </w:r>
          </w:p>
        </w:tc>
        <w:tc>
          <w:tcPr>
            <w:tcW w:type="dxa" w:w="3312"/>
            <w:vAlign w:val="top"/>
          </w:tcPr>
          <w:p>
            <w:r>
              <w:t>Non mescola due policyVersion nella stessa decisione.</w:t>
            </w:r>
          </w:p>
        </w:tc>
      </w:tr>
      <w:tr>
        <w:tc>
          <w:tcPr>
            <w:tcW w:type="dxa" w:w="2880"/>
            <w:vAlign w:val="top"/>
          </w:tcPr>
          <w:p>
            <w:r>
              <w:t>IAM / Identity Provider</w:t>
            </w:r>
          </w:p>
        </w:tc>
        <w:tc>
          <w:tcPr>
            <w:tcW w:type="dxa" w:w="3168"/>
            <w:vAlign w:val="top"/>
          </w:tcPr>
          <w:p>
            <w:r>
              <w:t>Piattaforma esterna OUF/EVO o scenario M2M selezionato</w:t>
            </w:r>
          </w:p>
        </w:tc>
        <w:tc>
          <w:tcPr>
            <w:tcW w:type="dxa" w:w="4752"/>
            <w:vAlign w:val="top"/>
          </w:tcPr>
          <w:p>
            <w:r>
              <w:t>Authentication, token issuance, JWKS, identity claims/directory</w:t>
            </w:r>
          </w:p>
        </w:tc>
        <w:tc>
          <w:tcPr>
            <w:tcW w:type="dxa" w:w="3312"/>
            <w:vAlign w:val="top"/>
          </w:tcPr>
          <w:p>
            <w:r>
              <w:t>Non contiene la fine-grained policy OUF.</w:t>
            </w:r>
          </w:p>
        </w:tc>
      </w:tr>
      <w:tr>
        <w:tc>
          <w:tcPr>
            <w:tcW w:type="dxa" w:w="2880"/>
            <w:vAlign w:val="top"/>
          </w:tcPr>
          <w:p>
            <w:r>
              <w:t>Urban API Gateway</w:t>
            </w:r>
          </w:p>
        </w:tc>
        <w:tc>
          <w:tcPr>
            <w:tcW w:type="dxa" w:w="3168"/>
            <w:vAlign w:val="top"/>
          </w:tcPr>
          <w:p>
            <w:r>
              <w:t>Gateway OUF</w:t>
            </w:r>
          </w:p>
        </w:tc>
        <w:tc>
          <w:tcPr>
            <w:tcW w:type="dxa" w:w="4752"/>
            <w:vAlign w:val="top"/>
          </w:tcPr>
          <w:p>
            <w:r>
              <w:t>Token validation/coarse scope/routing/rate limits</w:t>
            </w:r>
          </w:p>
        </w:tc>
        <w:tc>
          <w:tcPr>
            <w:tcW w:type="dxa" w:w="3312"/>
            <w:vAlign w:val="top"/>
          </w:tcPr>
          <w:p>
            <w:r>
              <w:t>Non può concedere ciò che il backend service nega.</w:t>
            </w:r>
          </w:p>
        </w:tc>
      </w:tr>
      <w:tr>
        <w:tc>
          <w:tcPr>
            <w:tcW w:type="dxa" w:w="2880"/>
            <w:vAlign w:val="top"/>
          </w:tcPr>
          <w:p>
            <w:r>
              <w:t>Audit Adapter</w:t>
            </w:r>
          </w:p>
        </w:tc>
        <w:tc>
          <w:tcPr>
            <w:tcW w:type="dxa" w:w="3168"/>
            <w:vAlign w:val="top"/>
          </w:tcPr>
          <w:p>
            <w:r>
              <w:t>Shared infrastructure adapter</w:t>
            </w:r>
          </w:p>
        </w:tc>
        <w:tc>
          <w:tcPr>
            <w:tcW w:type="dxa" w:w="4752"/>
            <w:vAlign w:val="top"/>
          </w:tcPr>
          <w:p>
            <w:r>
              <w:t>Decision evidence, correlation, security events</w:t>
            </w:r>
          </w:p>
        </w:tc>
        <w:tc>
          <w:tcPr>
            <w:tcW w:type="dxa" w:w="3312"/>
            <w:vAlign w:val="top"/>
          </w:tcPr>
          <w:p>
            <w:r>
              <w:t>Non è il source of truth della policy.</w:t>
            </w:r>
          </w:p>
        </w:tc>
      </w:tr>
    </w:tbl>
    <w:p>
      <w:pPr>
        <w:pStyle w:val="ListBullet"/>
      </w:pPr>
      <w:r>
        <w:t>Il runtime authorization è local-first: nessun central authorization service è necessario sul critical path della singola business request.</w:t>
      </w:r>
    </w:p>
    <w:p>
      <w:pPr>
        <w:pStyle w:val="ListBullet"/>
      </w:pPr>
      <w:r>
        <w:t>Il Policy Registry è authoring/publication plane; lo shared SDK è enforcement plane.</w:t>
      </w:r>
    </w:p>
    <w:p>
      <w:pPr>
        <w:pStyle w:val="ListBullet"/>
      </w:pPr>
      <w:r>
        <w:t>Ogni servizio mantiene il proprio domain guard dopo Authorization SDK: l’SDK non sostituisce invarianti di stato, ownership o business rule del modulo.</w:t>
      </w:r>
    </w:p>
    <w:p>
      <w:pPr>
        <w:pStyle w:val="Heading2"/>
      </w:pPr>
      <w:r>
        <w:t>109.2 Contract artifacts canonici</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3456"/>
            <w:shd w:fill="D9EAF7"/>
            <w:vAlign w:val="center"/>
          </w:tcPr>
          <w:p>
            <w:r>
              <w:rPr>
                <w:b/>
              </w:rPr>
              <w:t>Artefatto</w:t>
            </w:r>
          </w:p>
        </w:tc>
        <w:tc>
          <w:tcPr>
            <w:tcW w:type="dxa" w:w="2592"/>
            <w:shd w:fill="D9EAF7"/>
            <w:vAlign w:val="center"/>
          </w:tcPr>
          <w:p>
            <w:r>
              <w:rPr>
                <w:b/>
              </w:rPr>
              <w:t>Owner</w:t>
            </w:r>
          </w:p>
        </w:tc>
        <w:tc>
          <w:tcPr>
            <w:tcW w:type="dxa" w:w="3600"/>
            <w:shd w:fill="D9EAF7"/>
            <w:vAlign w:val="center"/>
          </w:tcPr>
          <w:p>
            <w:r>
              <w:rPr>
                <w:b/>
              </w:rPr>
              <w:t>Consumer</w:t>
            </w:r>
          </w:p>
        </w:tc>
        <w:tc>
          <w:tcPr>
            <w:tcW w:type="dxa" w:w="3312"/>
            <w:shd w:fill="D9EAF7"/>
            <w:vAlign w:val="center"/>
          </w:tcPr>
          <w:p>
            <w:r>
              <w:rPr>
                <w:b/>
              </w:rPr>
              <w:t>Regola</w:t>
            </w:r>
          </w:p>
        </w:tc>
      </w:tr>
      <w:tr>
        <w:tc>
          <w:tcPr>
            <w:tcW w:type="dxa" w:w="3456"/>
            <w:vAlign w:val="top"/>
          </w:tcPr>
          <w:p>
            <w:r>
              <w:t>openapi/authorization-admin-v1.yaml</w:t>
            </w:r>
          </w:p>
        </w:tc>
        <w:tc>
          <w:tcPr>
            <w:tcW w:type="dxa" w:w="2592"/>
            <w:vAlign w:val="top"/>
          </w:tcPr>
          <w:p>
            <w:r>
              <w:t>Authorization</w:t>
            </w:r>
          </w:p>
        </w:tc>
        <w:tc>
          <w:tcPr>
            <w:tcW w:type="dxa" w:w="3600"/>
            <w:vAlign w:val="top"/>
          </w:tcPr>
          <w:p>
            <w:r>
              <w:t>Control-plane admin/THS</w:t>
            </w:r>
          </w:p>
        </w:tc>
        <w:tc>
          <w:tcPr>
            <w:tcW w:type="dxa" w:w="3312"/>
            <w:vAlign w:val="top"/>
          </w:tcPr>
          <w:p>
            <w:r>
              <w:t>SemVer; write operations HUMAN_USER/admin capability only.</w:t>
            </w:r>
          </w:p>
        </w:tc>
      </w:tr>
      <w:tr>
        <w:tc>
          <w:tcPr>
            <w:tcW w:type="dxa" w:w="3456"/>
            <w:vAlign w:val="top"/>
          </w:tcPr>
          <w:p>
            <w:r>
              <w:t>schemas/principal-context-v1.json</w:t>
            </w:r>
          </w:p>
        </w:tc>
        <w:tc>
          <w:tcPr>
            <w:tcW w:type="dxa" w:w="2592"/>
            <w:vAlign w:val="top"/>
          </w:tcPr>
          <w:p>
            <w:r>
              <w:t>Authorization</w:t>
            </w:r>
          </w:p>
        </w:tc>
        <w:tc>
          <w:tcPr>
            <w:tcW w:type="dxa" w:w="3600"/>
            <w:vAlign w:val="top"/>
          </w:tcPr>
          <w:p>
            <w:r>
              <w:t>Gateway/security filter/shared SDK/tests</w:t>
            </w:r>
          </w:p>
        </w:tc>
        <w:tc>
          <w:tcPr>
            <w:tcW w:type="dxa" w:w="3312"/>
            <w:vAlign w:val="top"/>
          </w:tcPr>
          <w:p>
            <w:r>
              <w:t>actorType derivato da token validato, mai dal body.</w:t>
            </w:r>
          </w:p>
        </w:tc>
      </w:tr>
      <w:tr>
        <w:tc>
          <w:tcPr>
            <w:tcW w:type="dxa" w:w="3456"/>
            <w:vAlign w:val="top"/>
          </w:tcPr>
          <w:p>
            <w:r>
              <w:t>schemas/resource-context-v1.json</w:t>
            </w:r>
          </w:p>
        </w:tc>
        <w:tc>
          <w:tcPr>
            <w:tcW w:type="dxa" w:w="2592"/>
            <w:vAlign w:val="top"/>
          </w:tcPr>
          <w:p>
            <w:r>
              <w:t>Authorization common contract</w:t>
            </w:r>
          </w:p>
        </w:tc>
        <w:tc>
          <w:tcPr>
            <w:tcW w:type="dxa" w:w="3600"/>
            <w:vAlign w:val="top"/>
          </w:tcPr>
          <w:p>
            <w:r>
              <w:t>Tutti i servizi OUF</w:t>
            </w:r>
          </w:p>
        </w:tc>
        <w:tc>
          <w:tcPr>
            <w:tcW w:type="dxa" w:w="3312"/>
            <w:vAlign w:val="top"/>
          </w:tcPr>
          <w:p>
            <w:r>
              <w:t>Typed, bounded; DataAccessLabel e owner/tenant/source refs se applicabili.</w:t>
            </w:r>
          </w:p>
        </w:tc>
      </w:tr>
      <w:tr>
        <w:tc>
          <w:tcPr>
            <w:tcW w:type="dxa" w:w="3456"/>
            <w:vAlign w:val="top"/>
          </w:tcPr>
          <w:p>
            <w:r>
              <w:t>schemas/authorization-decision-v1.json</w:t>
            </w:r>
          </w:p>
        </w:tc>
        <w:tc>
          <w:tcPr>
            <w:tcW w:type="dxa" w:w="2592"/>
            <w:vAlign w:val="top"/>
          </w:tcPr>
          <w:p>
            <w:r>
              <w:t>Authorization</w:t>
            </w:r>
          </w:p>
        </w:tc>
        <w:tc>
          <w:tcPr>
            <w:tcW w:type="dxa" w:w="3600"/>
            <w:vAlign w:val="top"/>
          </w:tcPr>
          <w:p>
            <w:r>
              <w:t>Service guards/audit/tests</w:t>
            </w:r>
          </w:p>
        </w:tc>
        <w:tc>
          <w:tcPr>
            <w:tcW w:type="dxa" w:w="3312"/>
            <w:vAlign w:val="top"/>
          </w:tcPr>
          <w:p>
            <w:r>
              <w:t>decision, reasonCode, policyVersion, capabilityId, obligations/constraints bounded.</w:t>
            </w:r>
          </w:p>
        </w:tc>
      </w:tr>
      <w:tr>
        <w:tc>
          <w:tcPr>
            <w:tcW w:type="dxa" w:w="3456"/>
            <w:vAlign w:val="top"/>
          </w:tcPr>
          <w:p>
            <w:r>
              <w:t>schemas/authorization-policy-bundle-v1.json</w:t>
            </w:r>
          </w:p>
        </w:tc>
        <w:tc>
          <w:tcPr>
            <w:tcW w:type="dxa" w:w="2592"/>
            <w:vAlign w:val="top"/>
          </w:tcPr>
          <w:p>
            <w:r>
              <w:t>Authorization</w:t>
            </w:r>
          </w:p>
        </w:tc>
        <w:tc>
          <w:tcPr>
            <w:tcW w:type="dxa" w:w="3600"/>
            <w:vAlign w:val="top"/>
          </w:tcPr>
          <w:p>
            <w:r>
              <w:t>Shared SDK nei servizi</w:t>
            </w:r>
          </w:p>
        </w:tc>
        <w:tc>
          <w:tcPr>
            <w:tcW w:type="dxa" w:w="3312"/>
            <w:vAlign w:val="top"/>
          </w:tcPr>
          <w:p>
            <w:r>
              <w:t>Immutable, signed/hashed, exact policyVersion; atomic swap.</w:t>
            </w:r>
          </w:p>
        </w:tc>
      </w:tr>
      <w:tr>
        <w:tc>
          <w:tcPr>
            <w:tcW w:type="dxa" w:w="3456"/>
            <w:vAlign w:val="top"/>
          </w:tcPr>
          <w:p>
            <w:r>
              <w:t>schemas/capability-descriptor-v1.json</w:t>
            </w:r>
          </w:p>
        </w:tc>
        <w:tc>
          <w:tcPr>
            <w:tcW w:type="dxa" w:w="2592"/>
            <w:vAlign w:val="top"/>
          </w:tcPr>
          <w:p>
            <w:r>
              <w:t>Authorization / capability governance</w:t>
            </w:r>
          </w:p>
        </w:tc>
        <w:tc>
          <w:tcPr>
            <w:tcW w:type="dxa" w:w="3600"/>
            <w:vAlign w:val="top"/>
          </w:tcPr>
          <w:p>
            <w:r>
              <w:t>Tutti i moduli</w:t>
            </w:r>
          </w:p>
        </w:tc>
        <w:tc>
          <w:tcPr>
            <w:tcW w:type="dxa" w:w="3312"/>
            <w:vAlign w:val="top"/>
          </w:tcPr>
          <w:p>
            <w:r>
              <w:t>Stable capabilityId, owner, actorTypes, operation class, resource schema ref.</w:t>
            </w:r>
          </w:p>
        </w:tc>
      </w:tr>
      <w:tr>
        <w:tc>
          <w:tcPr>
            <w:tcW w:type="dxa" w:w="3456"/>
            <w:vAlign w:val="top"/>
          </w:tcPr>
          <w:p>
            <w:r>
              <w:t>schemas/grant-v1.json</w:t>
            </w:r>
          </w:p>
        </w:tc>
        <w:tc>
          <w:tcPr>
            <w:tcW w:type="dxa" w:w="2592"/>
            <w:vAlign w:val="top"/>
          </w:tcPr>
          <w:p>
            <w:r>
              <w:t>Authorization</w:t>
            </w:r>
          </w:p>
        </w:tc>
        <w:tc>
          <w:tcPr>
            <w:tcW w:type="dxa" w:w="3600"/>
            <w:vAlign w:val="top"/>
          </w:tcPr>
          <w:p>
            <w:r>
              <w:t>Policy Registry/admin</w:t>
            </w:r>
          </w:p>
        </w:tc>
        <w:tc>
          <w:tcPr>
            <w:tcW w:type="dxa" w:w="3312"/>
            <w:vAlign w:val="top"/>
          </w:tcPr>
          <w:p>
            <w:r>
              <w:t>Subject/role/org/capability/resource scope/version explicit.</w:t>
            </w:r>
          </w:p>
        </w:tc>
      </w:tr>
      <w:tr>
        <w:tc>
          <w:tcPr>
            <w:tcW w:type="dxa" w:w="3456"/>
            <w:vAlign w:val="top"/>
          </w:tcPr>
          <w:p>
            <w:r>
              <w:t>schemas/authorization-evidence-v1.json</w:t>
            </w:r>
          </w:p>
        </w:tc>
        <w:tc>
          <w:tcPr>
            <w:tcW w:type="dxa" w:w="2592"/>
            <w:vAlign w:val="top"/>
          </w:tcPr>
          <w:p>
            <w:r>
              <w:t>Authorization</w:t>
            </w:r>
          </w:p>
        </w:tc>
        <w:tc>
          <w:tcPr>
            <w:tcW w:type="dxa" w:w="3600"/>
            <w:vAlign w:val="top"/>
          </w:tcPr>
          <w:p>
            <w:r>
              <w:t>Audit/acceptance</w:t>
            </w:r>
          </w:p>
        </w:tc>
        <w:tc>
          <w:tcPr>
            <w:tcW w:type="dxa" w:w="3312"/>
            <w:vAlign w:val="top"/>
          </w:tcPr>
          <w:p>
            <w:r>
              <w:t>No bearer token; minimum evidence for replay/explain.</w:t>
            </w:r>
          </w:p>
        </w:tc>
      </w:tr>
      <w:tr>
        <w:tc>
          <w:tcPr>
            <w:tcW w:type="dxa" w:w="3456"/>
            <w:vAlign w:val="top"/>
          </w:tcPr>
          <w:p>
            <w:r>
              <w:t>schemas/problem-details-v1.json</w:t>
            </w:r>
          </w:p>
        </w:tc>
        <w:tc>
          <w:tcPr>
            <w:tcW w:type="dxa" w:w="2592"/>
            <w:vAlign w:val="top"/>
          </w:tcPr>
          <w:p>
            <w:r>
              <w:t>OUF common profile</w:t>
            </w:r>
          </w:p>
        </w:tc>
        <w:tc>
          <w:tcPr>
            <w:tcW w:type="dxa" w:w="3600"/>
            <w:vAlign w:val="top"/>
          </w:tcPr>
          <w:p>
            <w:r>
              <w:t>Admin API consumer</w:t>
            </w:r>
          </w:p>
        </w:tc>
        <w:tc>
          <w:tcPr>
            <w:tcW w:type="dxa" w:w="3312"/>
            <w:vAlign w:val="top"/>
          </w:tcPr>
          <w:p>
            <w:r>
              <w:t>Reason codes stable within major.</w:t>
            </w:r>
          </w:p>
        </w:tc>
      </w:tr>
    </w:tbl>
    <w:p>
      <w:pPr>
        <w:pStyle w:val="ListBullet"/>
      </w:pPr>
      <w:r>
        <w:t>OpenAPI/JSON Schema/examples sono repository artifacts e validati in CI; il PET non è l’unica definizione dei payload.</w:t>
      </w:r>
    </w:p>
    <w:p>
      <w:pPr>
        <w:pStyle w:val="ListBullet"/>
      </w:pPr>
      <w:r>
        <w:t>Fixture obbligatorie: allow, deny, unknown capability, stale/missing bundle, actor type mismatch, tenant/org mismatch, DataAccessLabel deny, IAM directory unavailable, stale admin ETag.</w:t>
      </w:r>
    </w:p>
    <w:p>
      <w:pPr>
        <w:pStyle w:val="ListBullet"/>
      </w:pPr>
      <w:r>
        <w:t>I moduli consumer non ridefiniscono PrincipalContext o AuthorizationDecision localmente: usano la versione common dichiarata.</w:t>
      </w:r>
    </w:p>
    <w:p>
      <w:pPr>
        <w:pStyle w:val="Heading2"/>
      </w:pPr>
      <w:r>
        <w:t>109.3 Shared Authorization SDK — API/SPI freeze</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5184"/>
            <w:shd w:fill="D9EAF7"/>
            <w:vAlign w:val="center"/>
          </w:tcPr>
          <w:p>
            <w:r>
              <w:rPr>
                <w:b/>
              </w:rPr>
              <w:t>API / type</w:t>
            </w:r>
          </w:p>
        </w:tc>
        <w:tc>
          <w:tcPr>
            <w:tcW w:type="dxa" w:w="7776"/>
            <w:shd w:fill="D9EAF7"/>
            <w:vAlign w:val="center"/>
          </w:tcPr>
          <w:p>
            <w:r>
              <w:rPr>
                <w:b/>
              </w:rPr>
              <w:t>Contratto implementativo</w:t>
            </w:r>
          </w:p>
        </w:tc>
      </w:tr>
      <w:tr>
        <w:tc>
          <w:tcPr>
            <w:tcW w:type="dxa" w:w="5184"/>
            <w:vAlign w:val="top"/>
          </w:tcPr>
          <w:p>
            <w:r>
              <w:t>AuthorizationDecision evaluate(CapabilityId, PrincipalContext, ResourceContext)</w:t>
            </w:r>
          </w:p>
        </w:tc>
        <w:tc>
          <w:tcPr>
            <w:tcW w:type="dxa" w:w="7776"/>
            <w:vAlign w:val="top"/>
          </w:tcPr>
          <w:p>
            <w:r>
              <w:t>Operazione pura/local-first sullo snapshot ACTIVE caricato; no I/O remoto nel normale evaluation path.</w:t>
            </w:r>
          </w:p>
        </w:tc>
      </w:tr>
      <w:tr>
        <w:tc>
          <w:tcPr>
            <w:tcW w:type="dxa" w:w="5184"/>
            <w:vAlign w:val="top"/>
          </w:tcPr>
          <w:p>
            <w:r>
              <w:t>PolicySnapshot currentSnapshot()</w:t>
            </w:r>
          </w:p>
        </w:tc>
        <w:tc>
          <w:tcPr>
            <w:tcW w:type="dxa" w:w="7776"/>
            <w:vAlign w:val="top"/>
          </w:tcPr>
          <w:p>
            <w:r>
              <w:t>Snapshot immutabile con policyVersion, createdAt, source bundle hash/signature e capability catalog version.</w:t>
            </w:r>
          </w:p>
        </w:tc>
      </w:tr>
      <w:tr>
        <w:tc>
          <w:tcPr>
            <w:tcW w:type="dxa" w:w="5184"/>
            <w:vAlign w:val="top"/>
          </w:tcPr>
          <w:p>
            <w:r>
              <w:t>BundleRefreshResult refresh(BundleReference)</w:t>
            </w:r>
          </w:p>
        </w:tc>
        <w:tc>
          <w:tcPr>
            <w:tcW w:type="dxa" w:w="7776"/>
            <w:vAlign w:val="top"/>
          </w:tcPr>
          <w:p>
            <w:r>
              <w:t>Fetch/verify/parse/build fuori dal lock; swap atomico solo dopo validation completa.</w:t>
            </w:r>
          </w:p>
        </w:tc>
      </w:tr>
      <w:tr>
        <w:tc>
          <w:tcPr>
            <w:tcW w:type="dxa" w:w="5184"/>
            <w:vAlign w:val="top"/>
          </w:tcPr>
          <w:p>
            <w:r>
              <w:t>AuthorizationHealth health()</w:t>
            </w:r>
          </w:p>
        </w:tc>
        <w:tc>
          <w:tcPr>
            <w:tcW w:type="dxa" w:w="7776"/>
            <w:vAlign w:val="top"/>
          </w:tcPr>
          <w:p>
            <w:r>
              <w:t>Espone loaded policyVersion, age, refresh status, last error e compatibility state; non espone policy sensibile.</w:t>
            </w:r>
          </w:p>
        </w:tc>
      </w:tr>
      <w:tr>
        <w:tc>
          <w:tcPr>
            <w:tcW w:type="dxa" w:w="5184"/>
            <w:vAlign w:val="top"/>
          </w:tcPr>
          <w:p>
            <w:r>
              <w:t>DecisionReasonCode</w:t>
            </w:r>
          </w:p>
        </w:tc>
        <w:tc>
          <w:tcPr>
            <w:tcW w:type="dxa" w:w="7776"/>
            <w:vAlign w:val="top"/>
          </w:tcPr>
          <w:p>
            <w:r>
              <w:t>Enum/versioned catalog; codici nuovi additivi nella major; significato esistente immutabile.</w:t>
            </w:r>
          </w:p>
        </w:tc>
      </w:tr>
      <w:tr>
        <w:tc>
          <w:tcPr>
            <w:tcW w:type="dxa" w:w="5184"/>
            <w:vAlign w:val="top"/>
          </w:tcPr>
          <w:p>
            <w:r>
              <w:t>IdentityDirectoryPort</w:t>
            </w:r>
          </w:p>
        </w:tc>
        <w:tc>
          <w:tcPr>
            <w:tcW w:type="dxa" w:w="7776"/>
            <w:vAlign w:val="top"/>
          </w:tcPr>
          <w:p>
            <w:r>
              <w:t>Opzionale: lookup solo se la policy necessita attributi non presenti nel trusted token; timeout/cache/fail-closed definiti.</w:t>
            </w:r>
          </w:p>
        </w:tc>
      </w:tr>
      <w:tr>
        <w:tc>
          <w:tcPr>
            <w:tcW w:type="dxa" w:w="5184"/>
            <w:vAlign w:val="top"/>
          </w:tcPr>
          <w:p>
            <w:r>
              <w:t>AuditDecisionPort</w:t>
            </w:r>
          </w:p>
        </w:tc>
        <w:tc>
          <w:tcPr>
            <w:tcW w:type="dxa" w:w="7776"/>
            <w:vAlign w:val="top"/>
          </w:tcPr>
          <w:p>
            <w:r>
              <w:t>Emissione evidence asincrona/non-blocking dove possibile; failure audit non può trasformare DENY in ALLOW.</w:t>
            </w:r>
          </w:p>
        </w:tc>
      </w:tr>
    </w:tbl>
    <w:p>
      <w:r>
        <w:rPr>
          <w:b/>
        </w:rPr>
        <w:t xml:space="preserve">Binary/source compatibility. </w:t>
      </w:r>
      <w:r>
        <w:t>Lo shared SDK è un artifact versionato. Una release N+1 mantiene source/binary compatibility per API pubbliche della stessa major; breaking signature/type changes richiedono nuova major e compatibility matrix con i servizi consumer. Nessun servizio accede direttamente alle tabelle del Policy Registry.</w:t>
      </w:r>
    </w:p>
    <w:p>
      <w:pPr>
        <w:pStyle w:val="Heading2"/>
      </w:pPr>
      <w:r>
        <w:t>109.4 Persistence e migration ownership</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304"/>
            <w:shd w:fill="D9EAF7"/>
            <w:vAlign w:val="center"/>
          </w:tcPr>
          <w:p>
            <w:r>
              <w:rPr>
                <w:b/>
              </w:rPr>
              <w:t>Famiglia</w:t>
            </w:r>
          </w:p>
        </w:tc>
        <w:tc>
          <w:tcPr>
            <w:tcW w:type="dxa" w:w="6336"/>
            <w:shd w:fill="D9EAF7"/>
            <w:vAlign w:val="center"/>
          </w:tcPr>
          <w:p>
            <w:r>
              <w:rPr>
                <w:b/>
              </w:rPr>
              <w:t>Persistenza minima</w:t>
            </w:r>
          </w:p>
        </w:tc>
        <w:tc>
          <w:tcPr>
            <w:tcW w:type="dxa" w:w="4896"/>
            <w:shd w:fill="D9EAF7"/>
            <w:vAlign w:val="center"/>
          </w:tcPr>
          <w:p>
            <w:r>
              <w:rPr>
                <w:b/>
              </w:rPr>
              <w:t>Invarianti</w:t>
            </w:r>
          </w:p>
        </w:tc>
      </w:tr>
      <w:tr>
        <w:tc>
          <w:tcPr>
            <w:tcW w:type="dxa" w:w="2304"/>
            <w:vAlign w:val="top"/>
          </w:tcPr>
          <w:p>
            <w:r>
              <w:t>Policy</w:t>
            </w:r>
          </w:p>
        </w:tc>
        <w:tc>
          <w:tcPr>
            <w:tcW w:type="dxa" w:w="6336"/>
            <w:vAlign w:val="top"/>
          </w:tcPr>
          <w:p>
            <w:r>
              <w:t>authorization_policy, policy_revision, condition/resource scope representation</w:t>
            </w:r>
          </w:p>
        </w:tc>
        <w:tc>
          <w:tcPr>
            <w:tcW w:type="dxa" w:w="4896"/>
            <w:vAlign w:val="top"/>
          </w:tcPr>
          <w:p>
            <w:r>
              <w:t>Revision pubblicata immutabile; optimistic locking in authoring.</w:t>
            </w:r>
          </w:p>
        </w:tc>
      </w:tr>
      <w:tr>
        <w:tc>
          <w:tcPr>
            <w:tcW w:type="dxa" w:w="2304"/>
            <w:vAlign w:val="top"/>
          </w:tcPr>
          <w:p>
            <w:r>
              <w:t>Grant</w:t>
            </w:r>
          </w:p>
        </w:tc>
        <w:tc>
          <w:tcPr>
            <w:tcW w:type="dxa" w:w="6336"/>
            <w:vAlign w:val="top"/>
          </w:tcPr>
          <w:p>
            <w:r>
              <w:t>authorization_grant, subject/role/org refs, validity window, resource scope</w:t>
            </w:r>
          </w:p>
        </w:tc>
        <w:tc>
          <w:tcPr>
            <w:tcW w:type="dxa" w:w="4896"/>
            <w:vAlign w:val="top"/>
          </w:tcPr>
          <w:p>
            <w:r>
              <w:t>Stable external identifiers; revoke non cancella evidence storico.</w:t>
            </w:r>
          </w:p>
        </w:tc>
      </w:tr>
      <w:tr>
        <w:tc>
          <w:tcPr>
            <w:tcW w:type="dxa" w:w="2304"/>
            <w:vAlign w:val="top"/>
          </w:tcPr>
          <w:p>
            <w:r>
              <w:t>Capability</w:t>
            </w:r>
          </w:p>
        </w:tc>
        <w:tc>
          <w:tcPr>
            <w:tcW w:type="dxa" w:w="6336"/>
            <w:vAlign w:val="top"/>
          </w:tcPr>
          <w:p>
            <w:r>
              <w:t>capability_registration / catalog version</w:t>
            </w:r>
          </w:p>
        </w:tc>
        <w:tc>
          <w:tcPr>
            <w:tcW w:type="dxa" w:w="4896"/>
            <w:vAlign w:val="top"/>
          </w:tcPr>
          <w:p>
            <w:r>
              <w:t>Unknown capability = deny; capabilityId non riusato con altra semantica.</w:t>
            </w:r>
          </w:p>
        </w:tc>
      </w:tr>
      <w:tr>
        <w:tc>
          <w:tcPr>
            <w:tcW w:type="dxa" w:w="2304"/>
            <w:vAlign w:val="top"/>
          </w:tcPr>
          <w:p>
            <w:r>
              <w:t>Bundle</w:t>
            </w:r>
          </w:p>
        </w:tc>
        <w:tc>
          <w:tcPr>
            <w:tcW w:type="dxa" w:w="6336"/>
            <w:vAlign w:val="top"/>
          </w:tcPr>
          <w:p>
            <w:r>
              <w:t>authorization_policy_bundle, membership/manifest/hash, ACTIVE pointer</w:t>
            </w:r>
          </w:p>
        </w:tc>
        <w:tc>
          <w:tcPr>
            <w:tcW w:type="dxa" w:w="4896"/>
            <w:vAlign w:val="top"/>
          </w:tcPr>
          <w:p>
            <w:r>
              <w:t>Build+publish validati; ACTIVE pointer switch atomico.</w:t>
            </w:r>
          </w:p>
        </w:tc>
      </w:tr>
      <w:tr>
        <w:tc>
          <w:tcPr>
            <w:tcW w:type="dxa" w:w="2304"/>
            <w:vAlign w:val="top"/>
          </w:tcPr>
          <w:p>
            <w:r>
              <w:t>External mapping</w:t>
            </w:r>
          </w:p>
        </w:tc>
        <w:tc>
          <w:tcPr>
            <w:tcW w:type="dxa" w:w="6336"/>
            <w:vAlign w:val="top"/>
          </w:tcPr>
          <w:p>
            <w:r>
              <w:t>external_role_ref / org mapping refs se usati</w:t>
            </w:r>
          </w:p>
        </w:tc>
        <w:tc>
          <w:tcPr>
            <w:tcW w:type="dxa" w:w="4896"/>
            <w:vAlign w:val="top"/>
          </w:tcPr>
          <w:p>
            <w:r>
              <w:t>Non replicare password/credential; refs/version/provenance espliciti.</w:t>
            </w:r>
          </w:p>
        </w:tc>
      </w:tr>
      <w:tr>
        <w:tc>
          <w:tcPr>
            <w:tcW w:type="dxa" w:w="2304"/>
            <w:vAlign w:val="top"/>
          </w:tcPr>
          <w:p>
            <w:r>
              <w:t>Evidence/audit refs</w:t>
            </w:r>
          </w:p>
        </w:tc>
        <w:tc>
          <w:tcPr>
            <w:tcW w:type="dxa" w:w="6336"/>
            <w:vAlign w:val="top"/>
          </w:tcPr>
          <w:p>
            <w:r>
              <w:t>policyVersion/capability/subject/outcome refs</w:t>
            </w:r>
          </w:p>
        </w:tc>
        <w:tc>
          <w:tcPr>
            <w:tcW w:type="dxa" w:w="4896"/>
            <w:vAlign w:val="top"/>
          </w:tcPr>
          <w:p>
            <w:r>
              <w:t>No bearer token; retention secondo security/audit policy.</w:t>
            </w:r>
          </w:p>
        </w:tc>
      </w:tr>
    </w:tbl>
    <w:p>
      <w:pPr>
        <w:pStyle w:val="ListBullet"/>
      </w:pPr>
      <w:r>
        <w:t>Le migration sono fisicamente nello schema authz del control-plane repository e hanno owner Authorization.</w:t>
      </w:r>
    </w:p>
    <w:p>
      <w:pPr>
        <w:pStyle w:val="ListBullet"/>
      </w:pPr>
      <w:r>
        <w:t>Expand -&gt; rollout N+1 -&gt; backfill/verify -&gt; contract è obbligatorio per rolling compatibility.</w:t>
      </w:r>
    </w:p>
    <w:p>
      <w:pPr>
        <w:pStyle w:val="ListBullet"/>
      </w:pPr>
      <w:r>
        <w:t>Restore/rollback non modifica in-place bundle storico pubblicato: si attiva un pointer/version governato.</w:t>
      </w:r>
    </w:p>
    <w:p>
      <w:pPr>
        <w:pStyle w:val="Heading2"/>
      </w:pPr>
      <w:r>
        <w:t>109.5 M2M/IAM binding — decision gate A/B/C</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880"/>
            <w:shd w:fill="D9EAF7"/>
            <w:vAlign w:val="center"/>
          </w:tcPr>
          <w:p>
            <w:r>
              <w:rPr>
                <w:b/>
              </w:rPr>
              <w:t>Decisione</w:t>
            </w:r>
          </w:p>
        </w:tc>
        <w:tc>
          <w:tcPr>
            <w:tcW w:type="dxa" w:w="7488"/>
            <w:shd w:fill="D9EAF7"/>
            <w:vAlign w:val="center"/>
          </w:tcPr>
          <w:p>
            <w:r>
              <w:rPr>
                <w:b/>
              </w:rPr>
              <w:t>Deve essere valorizzato</w:t>
            </w:r>
          </w:p>
        </w:tc>
        <w:tc>
          <w:tcPr>
            <w:tcW w:type="dxa" w:w="3312"/>
            <w:shd w:fill="D9EAF7"/>
            <w:vAlign w:val="center"/>
          </w:tcPr>
          <w:p>
            <w:r>
              <w:rPr>
                <w:b/>
              </w:rPr>
              <w:t>Gate</w:t>
            </w:r>
          </w:p>
        </w:tc>
      </w:tr>
      <w:tr>
        <w:tc>
          <w:tcPr>
            <w:tcW w:type="dxa" w:w="2880"/>
            <w:vAlign w:val="top"/>
          </w:tcPr>
          <w:p>
            <w:r>
              <w:t>Scenario M2M</w:t>
            </w:r>
          </w:p>
        </w:tc>
        <w:tc>
          <w:tcPr>
            <w:tcW w:type="dxa" w:w="7488"/>
            <w:vAlign w:val="top"/>
          </w:tcPr>
          <w:p>
            <w:r>
              <w:t>A = stesso IAM EVO supporta M2M; B = stessa infrastruttura Keycloak con realm tecnico; C = Technical IAM OUF minimale</w:t>
            </w:r>
          </w:p>
        </w:tc>
        <w:tc>
          <w:tcPr>
            <w:tcW w:type="dxa" w:w="3312"/>
            <w:vAlign w:val="top"/>
          </w:tcPr>
          <w:p>
            <w:r>
              <w:t>P0 prima dell’integrazione reale</w:t>
            </w:r>
          </w:p>
        </w:tc>
      </w:tr>
      <w:tr>
        <w:tc>
          <w:tcPr>
            <w:tcW w:type="dxa" w:w="2880"/>
            <w:vAlign w:val="top"/>
          </w:tcPr>
          <w:p>
            <w:r>
              <w:t>Issuer/JWKS</w:t>
            </w:r>
          </w:p>
        </w:tc>
        <w:tc>
          <w:tcPr>
            <w:tcW w:type="dxa" w:w="7488"/>
            <w:vAlign w:val="top"/>
          </w:tcPr>
          <w:p>
            <w:r>
              <w:t>Issuer URI, JWKS trust/rotation, TLS/CA, accepted algorithms</w:t>
            </w:r>
          </w:p>
        </w:tc>
        <w:tc>
          <w:tcPr>
            <w:tcW w:type="dxa" w:w="3312"/>
            <w:vAlign w:val="top"/>
          </w:tcPr>
          <w:p>
            <w:r>
              <w:t>Security contract test</w:t>
            </w:r>
          </w:p>
        </w:tc>
      </w:tr>
      <w:tr>
        <w:tc>
          <w:tcPr>
            <w:tcW w:type="dxa" w:w="2880"/>
            <w:vAlign w:val="top"/>
          </w:tcPr>
          <w:p>
            <w:r>
              <w:t>Audience</w:t>
            </w:r>
          </w:p>
        </w:tc>
        <w:tc>
          <w:tcPr>
            <w:tcW w:type="dxa" w:w="7488"/>
            <w:vAlign w:val="top"/>
          </w:tcPr>
          <w:p>
            <w:r>
              <w:t>Audience per API/service class; no generic audience permissiva</w:t>
            </w:r>
          </w:p>
        </w:tc>
        <w:tc>
          <w:tcPr>
            <w:tcW w:type="dxa" w:w="3312"/>
            <w:vAlign w:val="top"/>
          </w:tcPr>
          <w:p>
            <w:r>
              <w:t>Token negative-path test</w:t>
            </w:r>
          </w:p>
        </w:tc>
      </w:tr>
      <w:tr>
        <w:tc>
          <w:tcPr>
            <w:tcW w:type="dxa" w:w="2880"/>
            <w:vAlign w:val="top"/>
          </w:tcPr>
          <w:p>
            <w:r>
              <w:t>Principal mapping</w:t>
            </w:r>
          </w:p>
        </w:tc>
        <w:tc>
          <w:tcPr>
            <w:tcW w:type="dxa" w:w="7488"/>
            <w:vAlign w:val="top"/>
          </w:tcPr>
          <w:p>
            <w:r>
              <w:t>sub/client_id/azp -&gt; SERVICE_IDENTITY, MCP_SERVER, EXTERNAL_SYSTEM; HUMAN_USER separato</w:t>
            </w:r>
          </w:p>
        </w:tc>
        <w:tc>
          <w:tcPr>
            <w:tcW w:type="dxa" w:w="3312"/>
            <w:vAlign w:val="top"/>
          </w:tcPr>
          <w:p>
            <w:r>
              <w:t>Actor-type conformance test</w:t>
            </w:r>
          </w:p>
        </w:tc>
      </w:tr>
      <w:tr>
        <w:tc>
          <w:tcPr>
            <w:tcW w:type="dxa" w:w="2880"/>
            <w:vAlign w:val="top"/>
          </w:tcPr>
          <w:p>
            <w:r>
              <w:t>Claims / directory</w:t>
            </w:r>
          </w:p>
        </w:tc>
        <w:tc>
          <w:tcPr>
            <w:tcW w:type="dxa" w:w="7488"/>
            <w:vAlign w:val="top"/>
          </w:tcPr>
          <w:p>
            <w:r>
              <w:t>Role/group/org claims oppure lookup API + freshness/revocation semantics</w:t>
            </w:r>
          </w:p>
        </w:tc>
        <w:tc>
          <w:tcPr>
            <w:tcW w:type="dxa" w:w="3312"/>
            <w:vAlign w:val="top"/>
          </w:tcPr>
          <w:p>
            <w:r>
              <w:t>Authorization fixture + outage test</w:t>
            </w:r>
          </w:p>
        </w:tc>
      </w:tr>
      <w:tr>
        <w:tc>
          <w:tcPr>
            <w:tcW w:type="dxa" w:w="2880"/>
            <w:vAlign w:val="top"/>
          </w:tcPr>
          <w:p>
            <w:r>
              <w:t>Client lifecycle</w:t>
            </w:r>
          </w:p>
        </w:tc>
        <w:tc>
          <w:tcPr>
            <w:tcW w:type="dxa" w:w="7488"/>
            <w:vAlign w:val="top"/>
          </w:tcPr>
          <w:p>
            <w:r>
              <w:t>Provisioning, rotation, revoke, TTL, secret/workload identity, test realm</w:t>
            </w:r>
          </w:p>
        </w:tc>
        <w:tc>
          <w:tcPr>
            <w:tcW w:type="dxa" w:w="3312"/>
            <w:vAlign w:val="top"/>
          </w:tcPr>
          <w:p>
            <w:r>
              <w:t>Operational/security acceptance</w:t>
            </w:r>
          </w:p>
        </w:tc>
      </w:tr>
    </w:tbl>
    <w:p>
      <w:r>
        <w:rPr>
          <w:b/>
        </w:rPr>
        <w:t xml:space="preserve">Norma. </w:t>
      </w:r>
      <w:r>
        <w:t>Lo sviluppo del motore policy e dello SDK può procedere contro fixture conformi al claim contract. La release non è dichiarata integrata finché A/B/C e tutti i binding sopra non sono formalmente configurati e testati. Nessun codice applicativo contiene branch architetturali specifici per A/B/C oltre agli adapter/configuration binding.</w:t>
      </w:r>
    </w:p>
    <w:p>
      <w:pPr>
        <w:pStyle w:val="Heading2"/>
      </w:pPr>
      <w:r>
        <w:t>109.6 Failure taxonomy, cache e retry semantics</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456"/>
            <w:shd w:fill="D9EAF7"/>
            <w:vAlign w:val="center"/>
          </w:tcPr>
          <w:p>
            <w:r>
              <w:rPr>
                <w:b/>
              </w:rPr>
              <w:t>Failure</w:t>
            </w:r>
          </w:p>
        </w:tc>
        <w:tc>
          <w:tcPr>
            <w:tcW w:type="dxa" w:w="6480"/>
            <w:shd w:fill="D9EAF7"/>
            <w:vAlign w:val="center"/>
          </w:tcPr>
          <w:p>
            <w:r>
              <w:rPr>
                <w:b/>
              </w:rPr>
              <w:t>Decision semantics</w:t>
            </w:r>
          </w:p>
        </w:tc>
        <w:tc>
          <w:tcPr>
            <w:tcW w:type="dxa" w:w="4032"/>
            <w:shd w:fill="D9EAF7"/>
            <w:vAlign w:val="center"/>
          </w:tcPr>
          <w:p>
            <w:r>
              <w:rPr>
                <w:b/>
              </w:rPr>
              <w:t>Recovery</w:t>
            </w:r>
          </w:p>
        </w:tc>
      </w:tr>
      <w:tr>
        <w:tc>
          <w:tcPr>
            <w:tcW w:type="dxa" w:w="3456"/>
            <w:vAlign w:val="top"/>
          </w:tcPr>
          <w:p>
            <w:r>
              <w:t>NO_POLICY_BUNDLE</w:t>
            </w:r>
          </w:p>
        </w:tc>
        <w:tc>
          <w:tcPr>
            <w:tcW w:type="dxa" w:w="6480"/>
            <w:vAlign w:val="top"/>
          </w:tcPr>
          <w:p>
            <w:r>
              <w:t>DENY / capability unavailable; mai allow by default</w:t>
            </w:r>
          </w:p>
        </w:tc>
        <w:tc>
          <w:tcPr>
            <w:tcW w:type="dxa" w:w="4032"/>
            <w:vAlign w:val="top"/>
          </w:tcPr>
          <w:p>
            <w:r>
              <w:t>Load last-known-good solo se ancora compatible/within policy; altrimenti fail closed.</w:t>
            </w:r>
          </w:p>
        </w:tc>
      </w:tr>
      <w:tr>
        <w:tc>
          <w:tcPr>
            <w:tcW w:type="dxa" w:w="3456"/>
            <w:vAlign w:val="top"/>
          </w:tcPr>
          <w:p>
            <w:r>
              <w:t>INCOMPATIBLE_POLICY_BUNDLE</w:t>
            </w:r>
          </w:p>
        </w:tc>
        <w:tc>
          <w:tcPr>
            <w:tcW w:type="dxa" w:w="6480"/>
            <w:vAlign w:val="top"/>
          </w:tcPr>
          <w:p>
            <w:r>
              <w:t>DENY + health NOT_READY for protected capability</w:t>
            </w:r>
          </w:p>
        </w:tc>
        <w:tc>
          <w:tcPr>
            <w:tcW w:type="dxa" w:w="4032"/>
            <w:vAlign w:val="top"/>
          </w:tcPr>
          <w:p>
            <w:r>
              <w:t>Fetch compatible bundle; deployment gate blocks release.</w:t>
            </w:r>
          </w:p>
        </w:tc>
      </w:tr>
      <w:tr>
        <w:tc>
          <w:tcPr>
            <w:tcW w:type="dxa" w:w="3456"/>
            <w:vAlign w:val="top"/>
          </w:tcPr>
          <w:p>
            <w:r>
              <w:t>UNKNOWN_CAPABILITY</w:t>
            </w:r>
          </w:p>
        </w:tc>
        <w:tc>
          <w:tcPr>
            <w:tcW w:type="dxa" w:w="6480"/>
            <w:vAlign w:val="top"/>
          </w:tcPr>
          <w:p>
            <w:r>
              <w:t>DENY</w:t>
            </w:r>
          </w:p>
        </w:tc>
        <w:tc>
          <w:tcPr>
            <w:tcW w:type="dxa" w:w="4032"/>
            <w:vAlign w:val="top"/>
          </w:tcPr>
          <w:p>
            <w:r>
              <w:t>Capability registration/publication required.</w:t>
            </w:r>
          </w:p>
        </w:tc>
      </w:tr>
      <w:tr>
        <w:tc>
          <w:tcPr>
            <w:tcW w:type="dxa" w:w="3456"/>
            <w:vAlign w:val="top"/>
          </w:tcPr>
          <w:p>
            <w:r>
              <w:t>JWT_INVALID / ISSUER / AUDIENCE mismatch</w:t>
            </w:r>
          </w:p>
        </w:tc>
        <w:tc>
          <w:tcPr>
            <w:tcW w:type="dxa" w:w="6480"/>
            <w:vAlign w:val="top"/>
          </w:tcPr>
          <w:p>
            <w:r>
              <w:t>Authentication reject before SDK</w:t>
            </w:r>
          </w:p>
        </w:tc>
        <w:tc>
          <w:tcPr>
            <w:tcW w:type="dxa" w:w="4032"/>
            <w:vAlign w:val="top"/>
          </w:tcPr>
          <w:p>
            <w:r>
              <w:t>No retry applicativo.</w:t>
            </w:r>
          </w:p>
        </w:tc>
      </w:tr>
      <w:tr>
        <w:tc>
          <w:tcPr>
            <w:tcW w:type="dxa" w:w="3456"/>
            <w:vAlign w:val="top"/>
          </w:tcPr>
          <w:p>
            <w:r>
              <w:t>DIRECTORY_TIMEOUT</w:t>
            </w:r>
          </w:p>
        </w:tc>
        <w:tc>
          <w:tcPr>
            <w:tcW w:type="dxa" w:w="6480"/>
            <w:vAlign w:val="top"/>
          </w:tcPr>
          <w:p>
            <w:r>
              <w:t>DENY se attribute lookup è necessario; altrimenti evaluation solo con trusted token claims</w:t>
            </w:r>
          </w:p>
        </w:tc>
        <w:tc>
          <w:tcPr>
            <w:tcW w:type="dxa" w:w="4032"/>
            <w:vAlign w:val="top"/>
          </w:tcPr>
          <w:p>
            <w:r>
              <w:t>Bounded retry/circuit/cache secondo §109.9.</w:t>
            </w:r>
          </w:p>
        </w:tc>
      </w:tr>
      <w:tr>
        <w:tc>
          <w:tcPr>
            <w:tcW w:type="dxa" w:w="3456"/>
            <w:vAlign w:val="top"/>
          </w:tcPr>
          <w:p>
            <w:r>
              <w:t>JWKS_REFRESH_FAILURE</w:t>
            </w:r>
          </w:p>
        </w:tc>
        <w:tc>
          <w:tcPr>
            <w:tcW w:type="dxa" w:w="6480"/>
            <w:vAlign w:val="top"/>
          </w:tcPr>
          <w:p>
            <w:r>
              <w:t>Nuovi token non verificabili secondo cache/freshness policy; mai skip signature validation</w:t>
            </w:r>
          </w:p>
        </w:tc>
        <w:tc>
          <w:tcPr>
            <w:tcW w:type="dxa" w:w="4032"/>
            <w:vAlign w:val="top"/>
          </w:tcPr>
          <w:p>
            <w:r>
              <w:t>Use valid cached keys within configured freshness; alert.</w:t>
            </w:r>
          </w:p>
        </w:tc>
      </w:tr>
      <w:tr>
        <w:tc>
          <w:tcPr>
            <w:tcW w:type="dxa" w:w="3456"/>
            <w:vAlign w:val="top"/>
          </w:tcPr>
          <w:p>
            <w:r>
              <w:t>POLICY_REFRESH_FAILURE</w:t>
            </w:r>
          </w:p>
        </w:tc>
        <w:tc>
          <w:tcPr>
            <w:tcW w:type="dxa" w:w="6480"/>
            <w:vAlign w:val="top"/>
          </w:tcPr>
          <w:p>
            <w:r>
              <w:t>Continua last-known-good solo se compatible e non oltre max-staleness</w:t>
            </w:r>
          </w:p>
        </w:tc>
        <w:tc>
          <w:tcPr>
            <w:tcW w:type="dxa" w:w="4032"/>
            <w:vAlign w:val="top"/>
          </w:tcPr>
          <w:p>
            <w:r>
              <w:t>Retry bounded; alert; readiness degraded/blocked by capability class.</w:t>
            </w:r>
          </w:p>
        </w:tc>
      </w:tr>
      <w:tr>
        <w:tc>
          <w:tcPr>
            <w:tcW w:type="dxa" w:w="3456"/>
            <w:vAlign w:val="top"/>
          </w:tcPr>
          <w:p>
            <w:r>
              <w:t>AUDIT_SINK_FAILURE</w:t>
            </w:r>
          </w:p>
        </w:tc>
        <w:tc>
          <w:tcPr>
            <w:tcW w:type="dxa" w:w="6480"/>
            <w:vAlign w:val="top"/>
          </w:tcPr>
          <w:p>
            <w:r>
              <w:t>Decision resta quella calcolata; security-critical write può fail closed se audit mandatory by capability</w:t>
            </w:r>
          </w:p>
        </w:tc>
        <w:tc>
          <w:tcPr>
            <w:tcW w:type="dxa" w:w="4032"/>
            <w:vAlign w:val="top"/>
          </w:tcPr>
          <w:p>
            <w:r>
              <w:t>Buffered bounded retry; no unbounded queue.</w:t>
            </w:r>
          </w:p>
        </w:tc>
      </w:tr>
      <w:tr>
        <w:tc>
          <w:tcPr>
            <w:tcW w:type="dxa" w:w="3456"/>
            <w:vAlign w:val="top"/>
          </w:tcPr>
          <w:p>
            <w:r>
              <w:t>ADMIN_CONCURRENT_UPDATE</w:t>
            </w:r>
          </w:p>
        </w:tc>
        <w:tc>
          <w:tcPr>
            <w:tcW w:type="dxa" w:w="6480"/>
            <w:vAlign w:val="top"/>
          </w:tcPr>
          <w:p>
            <w:r>
              <w:t>409/412 stale ETag</w:t>
            </w:r>
          </w:p>
        </w:tc>
        <w:tc>
          <w:tcPr>
            <w:tcW w:type="dxa" w:w="4032"/>
            <w:vAlign w:val="top"/>
          </w:tcPr>
          <w:p>
            <w:r>
              <w:t>Reload revision; human re-review.</w:t>
            </w:r>
          </w:p>
        </w:tc>
      </w:tr>
    </w:tbl>
    <w:p>
      <w:pPr>
        <w:pStyle w:val="Heading2"/>
      </w:pPr>
      <w:r>
        <w:t>109.7 Compatibility e support window</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736"/>
            <w:shd w:fill="D9EAF7"/>
            <w:vAlign w:val="center"/>
          </w:tcPr>
          <w:p>
            <w:r>
              <w:rPr>
                <w:b/>
              </w:rPr>
              <w:t>Dimensione</w:t>
            </w:r>
          </w:p>
        </w:tc>
        <w:tc>
          <w:tcPr>
            <w:tcW w:type="dxa" w:w="6336"/>
            <w:shd w:fill="D9EAF7"/>
            <w:vAlign w:val="center"/>
          </w:tcPr>
          <w:p>
            <w:r>
              <w:rPr>
                <w:b/>
              </w:rPr>
              <w:t>Regola v1.4</w:t>
            </w:r>
          </w:p>
        </w:tc>
        <w:tc>
          <w:tcPr>
            <w:tcW w:type="dxa" w:w="4320"/>
            <w:shd w:fill="D9EAF7"/>
            <w:vAlign w:val="center"/>
          </w:tcPr>
          <w:p>
            <w:r>
              <w:rPr>
                <w:b/>
              </w:rPr>
              <w:t>Breaking/removal</w:t>
            </w:r>
          </w:p>
        </w:tc>
      </w:tr>
      <w:tr>
        <w:tc>
          <w:tcPr>
            <w:tcW w:type="dxa" w:w="2736"/>
            <w:vAlign w:val="top"/>
          </w:tcPr>
          <w:p>
            <w:r>
              <w:t>Authorization SDK</w:t>
            </w:r>
          </w:p>
        </w:tc>
        <w:tc>
          <w:tcPr>
            <w:tcW w:type="dxa" w:w="6336"/>
            <w:vAlign w:val="top"/>
          </w:tcPr>
          <w:p>
            <w:r>
              <w:t>N e N+1 stessa major supportati durante rolling upgrade dei servizi.</w:t>
            </w:r>
          </w:p>
        </w:tc>
        <w:tc>
          <w:tcPr>
            <w:tcW w:type="dxa" w:w="4320"/>
            <w:vAlign w:val="top"/>
          </w:tcPr>
          <w:p>
            <w:r>
              <w:t>Breaking API/SPI = nuova major.</w:t>
            </w:r>
          </w:p>
        </w:tc>
      </w:tr>
      <w:tr>
        <w:tc>
          <w:tcPr>
            <w:tcW w:type="dxa" w:w="2736"/>
            <w:vAlign w:val="top"/>
          </w:tcPr>
          <w:p>
            <w:r>
              <w:t>Policy bundle</w:t>
            </w:r>
          </w:p>
        </w:tc>
        <w:tc>
          <w:tcPr>
            <w:tcW w:type="dxa" w:w="6336"/>
            <w:vAlign w:val="top"/>
          </w:tcPr>
          <w:p>
            <w:r>
              <w:t>Consumer dichiara bundle schema major accettata; minor/additive compatible.</w:t>
            </w:r>
          </w:p>
        </w:tc>
        <w:tc>
          <w:tcPr>
            <w:tcW w:type="dxa" w:w="4320"/>
            <w:vAlign w:val="top"/>
          </w:tcPr>
          <w:p>
            <w:r>
              <w:t>Unknown/new mandatory condition not understood =&gt; reject bundle, mai ignore.</w:t>
            </w:r>
          </w:p>
        </w:tc>
      </w:tr>
      <w:tr>
        <w:tc>
          <w:tcPr>
            <w:tcW w:type="dxa" w:w="2736"/>
            <w:vAlign w:val="top"/>
          </w:tcPr>
          <w:p>
            <w:r>
              <w:t>Capability catalog</w:t>
            </w:r>
          </w:p>
        </w:tc>
        <w:tc>
          <w:tcPr>
            <w:tcW w:type="dxa" w:w="6336"/>
            <w:vAlign w:val="top"/>
          </w:tcPr>
          <w:p>
            <w:r>
              <w:t>Nuove capability default-deny; existing capability semantics immutable.</w:t>
            </w:r>
          </w:p>
        </w:tc>
        <w:tc>
          <w:tcPr>
            <w:tcW w:type="dxa" w:w="4320"/>
            <w:vAlign w:val="top"/>
          </w:tcPr>
          <w:p>
            <w:r>
              <w:t>Rename/removal/semantic repurpose = breaking.</w:t>
            </w:r>
          </w:p>
        </w:tc>
      </w:tr>
      <w:tr>
        <w:tc>
          <w:tcPr>
            <w:tcW w:type="dxa" w:w="2736"/>
            <w:vAlign w:val="top"/>
          </w:tcPr>
          <w:p>
            <w:r>
              <w:t>Decision reason codes</w:t>
            </w:r>
          </w:p>
        </w:tc>
        <w:tc>
          <w:tcPr>
            <w:tcW w:type="dxa" w:w="6336"/>
            <w:vAlign w:val="top"/>
          </w:tcPr>
          <w:p>
            <w:r>
              <w:t>Nuovi codici additivi; consumer deve gestire UNKNOWN_GENERIC safely.</w:t>
            </w:r>
          </w:p>
        </w:tc>
        <w:tc>
          <w:tcPr>
            <w:tcW w:type="dxa" w:w="4320"/>
            <w:vAlign w:val="top"/>
          </w:tcPr>
          <w:p>
            <w:r>
              <w:t>Cambio significato = breaking.</w:t>
            </w:r>
          </w:p>
        </w:tc>
      </w:tr>
      <w:tr>
        <w:tc>
          <w:tcPr>
            <w:tcW w:type="dxa" w:w="2736"/>
            <w:vAlign w:val="top"/>
          </w:tcPr>
          <w:p>
            <w:r>
              <w:t>DB schema</w:t>
            </w:r>
          </w:p>
        </w:tc>
        <w:tc>
          <w:tcPr>
            <w:tcW w:type="dxa" w:w="6336"/>
            <w:vAlign w:val="top"/>
          </w:tcPr>
          <w:p>
            <w:r>
              <w:t>Expand-compatible finché control-plane N è attivo.</w:t>
            </w:r>
          </w:p>
        </w:tc>
        <w:tc>
          <w:tcPr>
            <w:tcW w:type="dxa" w:w="4320"/>
            <w:vAlign w:val="top"/>
          </w:tcPr>
          <w:p>
            <w:r>
              <w:t>Contract solo dopo rollout completo.</w:t>
            </w:r>
          </w:p>
        </w:tc>
      </w:tr>
      <w:tr>
        <w:tc>
          <w:tcPr>
            <w:tcW w:type="dxa" w:w="2736"/>
            <w:vAlign w:val="top"/>
          </w:tcPr>
          <w:p>
            <w:r>
              <w:t>Identity claims</w:t>
            </w:r>
          </w:p>
        </w:tc>
        <w:tc>
          <w:tcPr>
            <w:tcW w:type="dxa" w:w="6336"/>
            <w:vAlign w:val="top"/>
          </w:tcPr>
          <w:p>
            <w:r>
              <w:t>Claim contract versionato; additive optional claims compatibili.</w:t>
            </w:r>
          </w:p>
        </w:tc>
        <w:tc>
          <w:tcPr>
            <w:tcW w:type="dxa" w:w="4320"/>
            <w:vAlign w:val="top"/>
          </w:tcPr>
          <w:p>
            <w:r>
              <w:t>Issuer/audience/actor mapping change richiede integration/security acceptance.</w:t>
            </w:r>
          </w:p>
        </w:tc>
      </w:tr>
    </w:tbl>
    <w:p>
      <w:pPr>
        <w:pStyle w:val="Heading2"/>
      </w:pPr>
      <w:r>
        <w:t>109.8 Network, trust e input hardening</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3888"/>
            <w:shd w:fill="D9EAF7"/>
            <w:vAlign w:val="center"/>
          </w:tcPr>
          <w:p>
            <w:r>
              <w:rPr>
                <w:b/>
              </w:rPr>
              <w:t>Flusso</w:t>
            </w:r>
          </w:p>
        </w:tc>
        <w:tc>
          <w:tcPr>
            <w:tcW w:type="dxa" w:w="9648"/>
            <w:shd w:fill="D9EAF7"/>
            <w:vAlign w:val="center"/>
          </w:tcPr>
          <w:p>
            <w:r>
              <w:rPr>
                <w:b/>
              </w:rPr>
              <w:t>Regola</w:t>
            </w:r>
          </w:p>
        </w:tc>
      </w:tr>
      <w:tr>
        <w:tc>
          <w:tcPr>
            <w:tcW w:type="dxa" w:w="3888"/>
            <w:vAlign w:val="top"/>
          </w:tcPr>
          <w:p>
            <w:r>
              <w:t>Gateway -&gt; service</w:t>
            </w:r>
          </w:p>
        </w:tc>
        <w:tc>
          <w:tcPr>
            <w:tcW w:type="dxa" w:w="9648"/>
            <w:vAlign w:val="top"/>
          </w:tcPr>
          <w:p>
            <w:r>
              <w:t>Validated token/context; il service revalida authorization localmente. Gateway coarse scope non equivale ad allow business.</w:t>
            </w:r>
          </w:p>
        </w:tc>
      </w:tr>
      <w:tr>
        <w:tc>
          <w:tcPr>
            <w:tcW w:type="dxa" w:w="3888"/>
            <w:vAlign w:val="top"/>
          </w:tcPr>
          <w:p>
            <w:r>
              <w:t>Service -&gt; Policy Registry</w:t>
            </w:r>
          </w:p>
        </w:tc>
        <w:tc>
          <w:tcPr>
            <w:tcW w:type="dxa" w:w="9648"/>
            <w:vAlign w:val="top"/>
          </w:tcPr>
          <w:p>
            <w:r>
              <w:t>Solo refresh/config path governato; non per ogni business request.</w:t>
            </w:r>
          </w:p>
        </w:tc>
      </w:tr>
      <w:tr>
        <w:tc>
          <w:tcPr>
            <w:tcW w:type="dxa" w:w="3888"/>
            <w:vAlign w:val="top"/>
          </w:tcPr>
          <w:p>
            <w:r>
              <w:t>Service -&gt; IAM directory</w:t>
            </w:r>
          </w:p>
        </w:tc>
        <w:tc>
          <w:tcPr>
            <w:tcW w:type="dxa" w:w="9648"/>
            <w:vAlign w:val="top"/>
          </w:tcPr>
          <w:p>
            <w:r>
              <w:t>Solo se policy richiede attributi assenti dal token; egress allowlist, timeout, circuit e cache.</w:t>
            </w:r>
          </w:p>
        </w:tc>
      </w:tr>
      <w:tr>
        <w:tc>
          <w:tcPr>
            <w:tcW w:type="dxa" w:w="3888"/>
            <w:vAlign w:val="top"/>
          </w:tcPr>
          <w:p>
            <w:r>
              <w:t>Policy Registry -&gt; IAM</w:t>
            </w:r>
          </w:p>
        </w:tc>
        <w:tc>
          <w:tcPr>
            <w:tcW w:type="dxa" w:w="9648"/>
            <w:vAlign w:val="top"/>
          </w:tcPr>
          <w:p>
            <w:r>
              <w:t>Solo admin/reference validation se necessaria; nessuna credential directory persistita.</w:t>
            </w:r>
          </w:p>
        </w:tc>
      </w:tr>
      <w:tr>
        <w:tc>
          <w:tcPr>
            <w:tcW w:type="dxa" w:w="3888"/>
            <w:vAlign w:val="top"/>
          </w:tcPr>
          <w:p>
            <w:r>
              <w:t>Browser/admin -&gt; Policy Registry</w:t>
            </w:r>
          </w:p>
        </w:tc>
        <w:tc>
          <w:tcPr>
            <w:tcW w:type="dxa" w:w="9648"/>
            <w:vAlign w:val="top"/>
          </w:tcPr>
          <w:p>
            <w:r>
              <w:t>Solo via Gateway; HUMAN_USER capability; CSRF/ETag/validation per write.</w:t>
            </w:r>
          </w:p>
        </w:tc>
      </w:tr>
      <w:tr>
        <w:tc>
          <w:tcPr>
            <w:tcW w:type="dxa" w:w="3888"/>
            <w:vAlign w:val="top"/>
          </w:tcPr>
          <w:p>
            <w:r>
              <w:t>MCP Server</w:t>
            </w:r>
          </w:p>
        </w:tc>
        <w:tc>
          <w:tcPr>
            <w:tcW w:type="dxa" w:w="9648"/>
            <w:vAlign w:val="top"/>
          </w:tcPr>
          <w:p>
            <w:r>
              <w:t>Actor MCP_SERVER/AI_AGENT non può acquisire capability TRUSTED_HUMAN_ONLY; actorType da token.</w:t>
            </w:r>
          </w:p>
        </w:tc>
      </w:tr>
    </w:tbl>
    <w:p>
      <w:pPr>
        <w:pStyle w:val="ListBullet"/>
      </w:pPr>
      <w:r>
        <w:t>Policy/grant payload hanno limiti su cardinalità, nesting, string length, scope cardinality e bundle size; expression language arbitrario non è ammesso se non formalmente specificato e sandboxed.</w:t>
      </w:r>
    </w:p>
    <w:p>
      <w:pPr>
        <w:pStyle w:val="ListBullet"/>
      </w:pPr>
      <w:r>
        <w:t>ResourceContext è DTO tipizzato per dominio/capability: nessun SQL/query predicate o serialized executable condition proveniente dal client.</w:t>
      </w:r>
    </w:p>
    <w:p>
      <w:pPr>
        <w:pStyle w:val="ListBullet"/>
      </w:pPr>
      <w:r>
        <w:t>Log di authorization non includono bearer token, client secret, full sensitive resource payload o claim non necessari alla decisione.</w:t>
      </w:r>
    </w:p>
    <w:p>
      <w:pPr>
        <w:pStyle w:val="Heading2"/>
      </w:pPr>
      <w:r>
        <w:t>109.9 Configuration Catalog v1</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160"/>
            <w:shd w:fill="D9EAF7"/>
            <w:vAlign w:val="center"/>
          </w:tcPr>
          <w:p>
            <w:r>
              <w:rPr>
                <w:b/>
              </w:rPr>
              <w:t>Famiglia</w:t>
            </w:r>
          </w:p>
        </w:tc>
        <w:tc>
          <w:tcPr>
            <w:tcW w:type="dxa" w:w="5904"/>
            <w:shd w:fill="D9EAF7"/>
            <w:vAlign w:val="center"/>
          </w:tcPr>
          <w:p>
            <w:r>
              <w:rPr>
                <w:b/>
              </w:rPr>
              <w:t>Property / gruppo</w:t>
            </w:r>
          </w:p>
        </w:tc>
        <w:tc>
          <w:tcPr>
            <w:tcW w:type="dxa" w:w="5472"/>
            <w:shd w:fill="D9EAF7"/>
            <w:vAlign w:val="center"/>
          </w:tcPr>
          <w:p>
            <w:r>
              <w:rPr>
                <w:b/>
              </w:rPr>
              <w:t>Regola</w:t>
            </w:r>
          </w:p>
        </w:tc>
      </w:tr>
      <w:tr>
        <w:tc>
          <w:tcPr>
            <w:tcW w:type="dxa" w:w="2160"/>
            <w:vAlign w:val="top"/>
          </w:tcPr>
          <w:p>
            <w:r>
              <w:t>Identity</w:t>
            </w:r>
          </w:p>
        </w:tc>
        <w:tc>
          <w:tcPr>
            <w:tcW w:type="dxa" w:w="5904"/>
            <w:vAlign w:val="top"/>
          </w:tcPr>
          <w:p>
            <w:r>
              <w:t>issuer, audience, allowed-algorithms, jwks-cache-ttl/max-stale</w:t>
            </w:r>
          </w:p>
        </w:tc>
        <w:tc>
          <w:tcPr>
            <w:tcW w:type="dxa" w:w="5472"/>
            <w:vAlign w:val="top"/>
          </w:tcPr>
          <w:p>
            <w:r>
              <w:t>Security-critical; valori mancanti bloccano startup/integration.</w:t>
            </w:r>
          </w:p>
        </w:tc>
      </w:tr>
      <w:tr>
        <w:tc>
          <w:tcPr>
            <w:tcW w:type="dxa" w:w="2160"/>
            <w:vAlign w:val="top"/>
          </w:tcPr>
          <w:p>
            <w:r>
              <w:t>Directory</w:t>
            </w:r>
          </w:p>
        </w:tc>
        <w:tc>
          <w:tcPr>
            <w:tcW w:type="dxa" w:w="5904"/>
            <w:vAlign w:val="top"/>
          </w:tcPr>
          <w:p>
            <w:r>
              <w:t>lookup-timeout, cache-ttl, negative-cache-ttl, max-concurrency, circuit threshold/open duration</w:t>
            </w:r>
          </w:p>
        </w:tc>
        <w:tc>
          <w:tcPr>
            <w:tcW w:type="dxa" w:w="5472"/>
            <w:vAlign w:val="top"/>
          </w:tcPr>
          <w:p>
            <w:r>
              <w:t>Fail closed quando attributo required non disponibile.</w:t>
            </w:r>
          </w:p>
        </w:tc>
      </w:tr>
      <w:tr>
        <w:tc>
          <w:tcPr>
            <w:tcW w:type="dxa" w:w="2160"/>
            <w:vAlign w:val="top"/>
          </w:tcPr>
          <w:p>
            <w:r>
              <w:t>Policy bundle</w:t>
            </w:r>
          </w:p>
        </w:tc>
        <w:tc>
          <w:tcPr>
            <w:tcW w:type="dxa" w:w="5904"/>
            <w:vAlign w:val="top"/>
          </w:tcPr>
          <w:p>
            <w:r>
              <w:t>refresh-interval, max-staleness, max-bytes, signature/hash requirements</w:t>
            </w:r>
          </w:p>
        </w:tc>
        <w:tc>
          <w:tcPr>
            <w:tcW w:type="dxa" w:w="5472"/>
            <w:vAlign w:val="top"/>
          </w:tcPr>
          <w:p>
            <w:r>
              <w:t>Atomic swap; invalid bundle mai ACTIVE.</w:t>
            </w:r>
          </w:p>
        </w:tc>
      </w:tr>
      <w:tr>
        <w:tc>
          <w:tcPr>
            <w:tcW w:type="dxa" w:w="2160"/>
            <w:vAlign w:val="top"/>
          </w:tcPr>
          <w:p>
            <w:r>
              <w:t>Evaluator</w:t>
            </w:r>
          </w:p>
        </w:tc>
        <w:tc>
          <w:tcPr>
            <w:tcW w:type="dxa" w:w="5904"/>
            <w:vAlign w:val="top"/>
          </w:tcPr>
          <w:p>
            <w:r>
              <w:t>max-grants, max-conditions, max-resource-scope-size, evaluation-time-budget</w:t>
            </w:r>
          </w:p>
        </w:tc>
        <w:tc>
          <w:tcPr>
            <w:tcW w:type="dxa" w:w="5472"/>
            <w:vAlign w:val="top"/>
          </w:tcPr>
          <w:p>
            <w:r>
              <w:t>Hard maxima; no unbounded evaluation.</w:t>
            </w:r>
          </w:p>
        </w:tc>
      </w:tr>
      <w:tr>
        <w:tc>
          <w:tcPr>
            <w:tcW w:type="dxa" w:w="2160"/>
            <w:vAlign w:val="top"/>
          </w:tcPr>
          <w:p>
            <w:r>
              <w:t>Admin API</w:t>
            </w:r>
          </w:p>
        </w:tc>
        <w:tc>
          <w:tcPr>
            <w:tcW w:type="dxa" w:w="5904"/>
            <w:vAlign w:val="top"/>
          </w:tcPr>
          <w:p>
            <w:r>
              <w:t>max-page-size, max-request-bytes, idempotency/ETag requirements</w:t>
            </w:r>
          </w:p>
        </w:tc>
        <w:tc>
          <w:tcPr>
            <w:tcW w:type="dxa" w:w="5472"/>
            <w:vAlign w:val="top"/>
          </w:tcPr>
          <w:p>
            <w:r>
              <w:t>Bounded; stale update reject.</w:t>
            </w:r>
          </w:p>
        </w:tc>
      </w:tr>
      <w:tr>
        <w:tc>
          <w:tcPr>
            <w:tcW w:type="dxa" w:w="2160"/>
            <w:vAlign w:val="top"/>
          </w:tcPr>
          <w:p>
            <w:r>
              <w:t>Audit</w:t>
            </w:r>
          </w:p>
        </w:tc>
        <w:tc>
          <w:tcPr>
            <w:tcW w:type="dxa" w:w="5904"/>
            <w:vAlign w:val="top"/>
          </w:tcPr>
          <w:p>
            <w:r>
              <w:t>decision-log-mode, buffer-size, retry/max-age, mandatory-capability classes</w:t>
            </w:r>
          </w:p>
        </w:tc>
        <w:tc>
          <w:tcPr>
            <w:tcW w:type="dxa" w:w="5472"/>
            <w:vAlign w:val="top"/>
          </w:tcPr>
          <w:p>
            <w:r>
              <w:t>No unbounded buffer; privacy minimization.</w:t>
            </w:r>
          </w:p>
        </w:tc>
      </w:tr>
      <w:tr>
        <w:tc>
          <w:tcPr>
            <w:tcW w:type="dxa" w:w="2160"/>
            <w:vAlign w:val="top"/>
          </w:tcPr>
          <w:p>
            <w:r>
              <w:t>Health</w:t>
            </w:r>
          </w:p>
        </w:tc>
        <w:tc>
          <w:tcPr>
            <w:tcW w:type="dxa" w:w="5904"/>
            <w:vAlign w:val="top"/>
          </w:tcPr>
          <w:p>
            <w:r>
              <w:t>bundle-ready threshold, directory dependency class, startup policy</w:t>
            </w:r>
          </w:p>
        </w:tc>
        <w:tc>
          <w:tcPr>
            <w:tcW w:type="dxa" w:w="5472"/>
            <w:vAlign w:val="top"/>
          </w:tcPr>
          <w:p>
            <w:r>
              <w:t>Readiness distingue local evaluator da optional remote lookup.</w:t>
            </w:r>
          </w:p>
        </w:tc>
      </w:tr>
      <w:tr>
        <w:tc>
          <w:tcPr>
            <w:tcW w:type="dxa" w:w="2160"/>
            <w:vAlign w:val="top"/>
          </w:tcPr>
          <w:p>
            <w:r>
              <w:t>Shutdown</w:t>
            </w:r>
          </w:p>
        </w:tc>
        <w:tc>
          <w:tcPr>
            <w:tcW w:type="dxa" w:w="5904"/>
            <w:vAlign w:val="top"/>
          </w:tcPr>
          <w:p>
            <w:r>
              <w:t>termination-grace, audit-flush-timeout</w:t>
            </w:r>
          </w:p>
        </w:tc>
        <w:tc>
          <w:tcPr>
            <w:tcW w:type="dxa" w:w="5472"/>
            <w:vAlign w:val="top"/>
          </w:tcPr>
          <w:p>
            <w:r>
              <w:t>No accept new admin writes; bounded flush.</w:t>
            </w:r>
          </w:p>
        </w:tc>
      </w:tr>
    </w:tbl>
    <w:p>
      <w:pPr>
        <w:pStyle w:val="ListBullet"/>
      </w:pPr>
      <w:r>
        <w:t>Ogni property ha tipo, unità, default, min/max, startup-only/reloadable e owner operativo nel configuration-reference.</w:t>
      </w:r>
    </w:p>
    <w:p>
      <w:pPr>
        <w:pStyle w:val="ListBullet"/>
      </w:pPr>
      <w:r>
        <w:t>Secret/client credential non sono property plaintext: secretRef/workload identity only.</w:t>
      </w:r>
    </w:p>
    <w:p>
      <w:pPr>
        <w:pStyle w:val="ListBullet"/>
      </w:pPr>
      <w:r>
        <w:t>Nessun default permissivo per issuer, audience, signature, unknown capability o bundle validation.</w:t>
      </w:r>
    </w:p>
    <w:p>
      <w:pPr>
        <w:pStyle w:val="Heading2"/>
      </w:pPr>
      <w:r>
        <w:t>109.10 Technology BOM e artifact packaging</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448"/>
            <w:shd w:fill="D9EAF7"/>
            <w:vAlign w:val="center"/>
          </w:tcPr>
          <w:p>
            <w:r>
              <w:rPr>
                <w:b/>
              </w:rPr>
              <w:t>Layer</w:t>
            </w:r>
          </w:p>
        </w:tc>
        <w:tc>
          <w:tcPr>
            <w:tcW w:type="dxa" w:w="4608"/>
            <w:shd w:fill="D9EAF7"/>
            <w:vAlign w:val="center"/>
          </w:tcPr>
          <w:p>
            <w:r>
              <w:rPr>
                <w:b/>
              </w:rPr>
              <w:t>Baseline</w:t>
            </w:r>
          </w:p>
        </w:tc>
        <w:tc>
          <w:tcPr>
            <w:tcW w:type="dxa" w:w="6624"/>
            <w:shd w:fill="D9EAF7"/>
            <w:vAlign w:val="center"/>
          </w:tcPr>
          <w:p>
            <w:r>
              <w:rPr>
                <w:b/>
              </w:rPr>
              <w:t>Regola di release</w:t>
            </w:r>
          </w:p>
        </w:tc>
      </w:tr>
      <w:tr>
        <w:tc>
          <w:tcPr>
            <w:tcW w:type="dxa" w:w="2448"/>
            <w:vAlign w:val="top"/>
          </w:tcPr>
          <w:p>
            <w:r>
              <w:t>Runtime control plane</w:t>
            </w:r>
          </w:p>
        </w:tc>
        <w:tc>
          <w:tcPr>
            <w:tcW w:type="dxa" w:w="4608"/>
            <w:vAlign w:val="top"/>
          </w:tcPr>
          <w:p>
            <w:r>
              <w:t>Java 21 LTS + Spring Boot 3.x</w:t>
            </w:r>
          </w:p>
        </w:tc>
        <w:tc>
          <w:tcPr>
            <w:tcW w:type="dxa" w:w="6624"/>
            <w:vAlign w:val="top"/>
          </w:tcPr>
          <w:p>
            <w:r>
              <w:t>Patch/minor pin-nate nel build descriptor.</w:t>
            </w:r>
          </w:p>
        </w:tc>
      </w:tr>
      <w:tr>
        <w:tc>
          <w:tcPr>
            <w:tcW w:type="dxa" w:w="2448"/>
            <w:vAlign w:val="top"/>
          </w:tcPr>
          <w:p>
            <w:r>
              <w:t>Security</w:t>
            </w:r>
          </w:p>
        </w:tc>
        <w:tc>
          <w:tcPr>
            <w:tcW w:type="dxa" w:w="4608"/>
            <w:vAlign w:val="top"/>
          </w:tcPr>
          <w:p>
            <w:r>
              <w:t>Spring Security OAuth2 Resource Server / JOSE</w:t>
            </w:r>
          </w:p>
        </w:tc>
        <w:tc>
          <w:tcPr>
            <w:tcW w:type="dxa" w:w="6624"/>
            <w:vAlign w:val="top"/>
          </w:tcPr>
          <w:p>
            <w:r>
              <w:t>Versione pin-nata; CVE/high severity gate.</w:t>
            </w:r>
          </w:p>
        </w:tc>
      </w:tr>
      <w:tr>
        <w:tc>
          <w:tcPr>
            <w:tcW w:type="dxa" w:w="2448"/>
            <w:vAlign w:val="top"/>
          </w:tcPr>
          <w:p>
            <w:r>
              <w:t>Shared SDK</w:t>
            </w:r>
          </w:p>
        </w:tc>
        <w:tc>
          <w:tcPr>
            <w:tcW w:type="dxa" w:w="4608"/>
            <w:vAlign w:val="top"/>
          </w:tcPr>
          <w:p>
            <w:r>
              <w:t>ouf-authorization-sdk artifact Java</w:t>
            </w:r>
          </w:p>
        </w:tc>
        <w:tc>
          <w:tcPr>
            <w:tcW w:type="dxa" w:w="6624"/>
            <w:vAlign w:val="top"/>
          </w:tcPr>
          <w:p>
            <w:r>
              <w:t>Versione/coordinates immutabili per release; compatibility tests.</w:t>
            </w:r>
          </w:p>
        </w:tc>
      </w:tr>
      <w:tr>
        <w:tc>
          <w:tcPr>
            <w:tcW w:type="dxa" w:w="2448"/>
            <w:vAlign w:val="top"/>
          </w:tcPr>
          <w:p>
            <w:r>
              <w:t>Persistence</w:t>
            </w:r>
          </w:p>
        </w:tc>
        <w:tc>
          <w:tcPr>
            <w:tcW w:type="dxa" w:w="4608"/>
            <w:vAlign w:val="top"/>
          </w:tcPr>
          <w:p>
            <w:r>
              <w:t>PostgreSQL 17.x + Flyway</w:t>
            </w:r>
          </w:p>
        </w:tc>
        <w:tc>
          <w:tcPr>
            <w:tcW w:type="dxa" w:w="6624"/>
            <w:vAlign w:val="top"/>
          </w:tcPr>
          <w:p>
            <w:r>
              <w:t>Clean install + upgrade N/N+1 in CI.</w:t>
            </w:r>
          </w:p>
        </w:tc>
      </w:tr>
      <w:tr>
        <w:tc>
          <w:tcPr>
            <w:tcW w:type="dxa" w:w="2448"/>
            <w:vAlign w:val="top"/>
          </w:tcPr>
          <w:p>
            <w:r>
              <w:t>Caching</w:t>
            </w:r>
          </w:p>
        </w:tc>
        <w:tc>
          <w:tcPr>
            <w:tcW w:type="dxa" w:w="4608"/>
            <w:vAlign w:val="top"/>
          </w:tcPr>
          <w:p>
            <w:r>
              <w:t>In-process immutable snapshot; optional bounded directory cache</w:t>
            </w:r>
          </w:p>
        </w:tc>
        <w:tc>
          <w:tcPr>
            <w:tcW w:type="dxa" w:w="6624"/>
            <w:vAlign w:val="top"/>
          </w:tcPr>
          <w:p>
            <w:r>
              <w:t>Nessun Redis/remote cache obbligatorio nella baseline.</w:t>
            </w:r>
          </w:p>
        </w:tc>
      </w:tr>
      <w:tr>
        <w:tc>
          <w:tcPr>
            <w:tcW w:type="dxa" w:w="2448"/>
            <w:vAlign w:val="top"/>
          </w:tcPr>
          <w:p>
            <w:r>
              <w:t>API/schema</w:t>
            </w:r>
          </w:p>
        </w:tc>
        <w:tc>
          <w:tcPr>
            <w:tcW w:type="dxa" w:w="4608"/>
            <w:vAlign w:val="top"/>
          </w:tcPr>
          <w:p>
            <w:r>
              <w:t>OpenAPI 3.1 + JSON Schema</w:t>
            </w:r>
          </w:p>
        </w:tc>
        <w:tc>
          <w:tcPr>
            <w:tcW w:type="dxa" w:w="6624"/>
            <w:vAlign w:val="top"/>
          </w:tcPr>
          <w:p>
            <w:r>
              <w:t>Artifacts versionati/validated.</w:t>
            </w:r>
          </w:p>
        </w:tc>
      </w:tr>
      <w:tr>
        <w:tc>
          <w:tcPr>
            <w:tcW w:type="dxa" w:w="2448"/>
            <w:vAlign w:val="top"/>
          </w:tcPr>
          <w:p>
            <w:r>
              <w:t>Telemetry</w:t>
            </w:r>
          </w:p>
        </w:tc>
        <w:tc>
          <w:tcPr>
            <w:tcW w:type="dxa" w:w="4608"/>
            <w:vAlign w:val="top"/>
          </w:tcPr>
          <w:p>
            <w:r>
              <w:t>Micrometer/OpenTelemetry platform integration</w:t>
            </w:r>
          </w:p>
        </w:tc>
        <w:tc>
          <w:tcPr>
            <w:tcW w:type="dxa" w:w="6624"/>
            <w:vAlign w:val="top"/>
          </w:tcPr>
          <w:p>
            <w:r>
              <w:t>Metric names/dashboard versionati.</w:t>
            </w:r>
          </w:p>
        </w:tc>
      </w:tr>
    </w:tbl>
    <w:p>
      <w:r>
        <w:rPr>
          <w:b/>
        </w:rPr>
        <w:t xml:space="preserve">Repository normativo minimo: </w:t>
      </w:r>
      <w:r>
        <w:t>src/policy-registry/, sdk/authorization-sdk/, db/migration/authz/, openapi/, schemas/, examples/, helm-or-control-plane-manifests/, docs/runbook/, tests/{unit,contract,integration,e2e,security,performance,compatibility}/, dashboards/, alerts/, sbom/.</w:t>
      </w:r>
    </w:p>
    <w:p>
      <w:pPr>
        <w:pStyle w:val="Heading2"/>
      </w:pPr>
      <w:r>
        <w:t>109.11 Deployment/readiness e policy bundle gate</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024"/>
            <w:shd w:fill="D9EAF7"/>
            <w:vAlign w:val="center"/>
          </w:tcPr>
          <w:p>
            <w:r>
              <w:rPr>
                <w:b/>
              </w:rPr>
              <w:t>Gate</w:t>
            </w:r>
          </w:p>
        </w:tc>
        <w:tc>
          <w:tcPr>
            <w:tcW w:type="dxa" w:w="6912"/>
            <w:shd w:fill="D9EAF7"/>
            <w:vAlign w:val="center"/>
          </w:tcPr>
          <w:p>
            <w:r>
              <w:rPr>
                <w:b/>
              </w:rPr>
              <w:t>Verifica</w:t>
            </w:r>
          </w:p>
        </w:tc>
        <w:tc>
          <w:tcPr>
            <w:tcW w:type="dxa" w:w="3600"/>
            <w:shd w:fill="D9EAF7"/>
            <w:vAlign w:val="center"/>
          </w:tcPr>
          <w:p>
            <w:r>
              <w:rPr>
                <w:b/>
              </w:rPr>
              <w:t>Failure semantics</w:t>
            </w:r>
          </w:p>
        </w:tc>
      </w:tr>
      <w:tr>
        <w:tc>
          <w:tcPr>
            <w:tcW w:type="dxa" w:w="3024"/>
            <w:vAlign w:val="top"/>
          </w:tcPr>
          <w:p>
            <w:r>
              <w:t>CONTROL-PLANE LOCAL-READY</w:t>
            </w:r>
          </w:p>
        </w:tc>
        <w:tc>
          <w:tcPr>
            <w:tcW w:type="dxa" w:w="6912"/>
            <w:vAlign w:val="top"/>
          </w:tcPr>
          <w:p>
            <w:r>
              <w:t>DB/migration/config locale e admin API security initialized</w:t>
            </w:r>
          </w:p>
        </w:tc>
        <w:tc>
          <w:tcPr>
            <w:tcW w:type="dxa" w:w="3600"/>
            <w:vAlign w:val="top"/>
          </w:tcPr>
          <w:p>
            <w:r>
              <w:t>Control-plane Pod non READY se local state unsafe.</w:t>
            </w:r>
          </w:p>
        </w:tc>
      </w:tr>
      <w:tr>
        <w:tc>
          <w:tcPr>
            <w:tcW w:type="dxa" w:w="3024"/>
            <w:vAlign w:val="top"/>
          </w:tcPr>
          <w:p>
            <w:r>
              <w:t>SDK LOCAL-READY</w:t>
            </w:r>
          </w:p>
        </w:tc>
        <w:tc>
          <w:tcPr>
            <w:tcW w:type="dxa" w:w="6912"/>
            <w:vAlign w:val="top"/>
          </w:tcPr>
          <w:p>
            <w:r>
              <w:t>SDK initialized, supported schema/capability catalog loaded</w:t>
            </w:r>
          </w:p>
        </w:tc>
        <w:tc>
          <w:tcPr>
            <w:tcW w:type="dxa" w:w="3600"/>
            <w:vAlign w:val="top"/>
          </w:tcPr>
          <w:p>
            <w:r>
              <w:t>Protected capability non servibile.</w:t>
            </w:r>
          </w:p>
        </w:tc>
      </w:tr>
      <w:tr>
        <w:tc>
          <w:tcPr>
            <w:tcW w:type="dxa" w:w="3024"/>
            <w:vAlign w:val="top"/>
          </w:tcPr>
          <w:p>
            <w:r>
              <w:t>POLICY-BUNDLE READY</w:t>
            </w:r>
          </w:p>
        </w:tc>
        <w:tc>
          <w:tcPr>
            <w:tcW w:type="dxa" w:w="6912"/>
            <w:vAlign w:val="top"/>
          </w:tcPr>
          <w:p>
            <w:r>
              <w:t>Bundle hash/signature/schema/capability refs validi e policyVersion loaded atomically</w:t>
            </w:r>
          </w:p>
        </w:tc>
        <w:tc>
          <w:tcPr>
            <w:tcW w:type="dxa" w:w="3600"/>
            <w:vAlign w:val="top"/>
          </w:tcPr>
          <w:p>
            <w:r>
              <w:t>Fail closed; no mixed/partial snapshot.</w:t>
            </w:r>
          </w:p>
        </w:tc>
      </w:tr>
      <w:tr>
        <w:tc>
          <w:tcPr>
            <w:tcW w:type="dxa" w:w="3024"/>
            <w:vAlign w:val="top"/>
          </w:tcPr>
          <w:p>
            <w:r>
              <w:t>IDENTITY READY</w:t>
            </w:r>
          </w:p>
        </w:tc>
        <w:tc>
          <w:tcPr>
            <w:tcW w:type="dxa" w:w="6912"/>
            <w:vAlign w:val="top"/>
          </w:tcPr>
          <w:p>
            <w:r>
              <w:t>Issuer/JWKS/audience config valida; cached key freshness entro policy</w:t>
            </w:r>
          </w:p>
        </w:tc>
        <w:tc>
          <w:tcPr>
            <w:tcW w:type="dxa" w:w="3600"/>
            <w:vAlign w:val="top"/>
          </w:tcPr>
          <w:p>
            <w:r>
              <w:t>Authentication path fail closed.</w:t>
            </w:r>
          </w:p>
        </w:tc>
      </w:tr>
      <w:tr>
        <w:tc>
          <w:tcPr>
            <w:tcW w:type="dxa" w:w="3024"/>
            <w:vAlign w:val="top"/>
          </w:tcPr>
          <w:p>
            <w:r>
              <w:t>DIRECTORY DEPENDENCY</w:t>
            </w:r>
          </w:p>
        </w:tc>
        <w:tc>
          <w:tcPr>
            <w:tcW w:type="dxa" w:w="6912"/>
            <w:vAlign w:val="top"/>
          </w:tcPr>
          <w:p>
            <w:r>
              <w:t>Reachability solo per policies che richiedono lookup</w:t>
            </w:r>
          </w:p>
        </w:tc>
        <w:tc>
          <w:tcPr>
            <w:tcW w:type="dxa" w:w="3600"/>
            <w:vAlign w:val="top"/>
          </w:tcPr>
          <w:p>
            <w:r>
              <w:t>Non rende globalmente down capability indipendenti; quelle dipendenti deny/degrade.</w:t>
            </w:r>
          </w:p>
        </w:tc>
      </w:tr>
      <w:tr>
        <w:tc>
          <w:tcPr>
            <w:tcW w:type="dxa" w:w="3024"/>
            <w:vAlign w:val="top"/>
          </w:tcPr>
          <w:p>
            <w:r>
              <w:t>CROSS-MODULE CAPABILITY</w:t>
            </w:r>
          </w:p>
        </w:tc>
        <w:tc>
          <w:tcPr>
            <w:tcW w:type="dxa" w:w="6912"/>
            <w:vAlign w:val="top"/>
          </w:tcPr>
          <w:p>
            <w:r>
              <w:t>Ogni capabilityId richiesto da modulo consumer esiste nel catalog/versione compatibile</w:t>
            </w:r>
          </w:p>
        </w:tc>
        <w:tc>
          <w:tcPr>
            <w:tcW w:type="dxa" w:w="3600"/>
            <w:vAlign w:val="top"/>
          </w:tcPr>
          <w:p>
            <w:r>
              <w:t>Release/integration gate fallisce.</w:t>
            </w:r>
          </w:p>
        </w:tc>
      </w:tr>
    </w:tbl>
    <w:p>
      <w:r>
        <w:rPr>
          <w:b/>
        </w:rPr>
        <w:t xml:space="preserve">Readiness principle. </w:t>
      </w:r>
      <w:r>
        <w:t>La health non deve eseguire un round-trip sincrono verso IAM/directory per ogni probe. Lo stato local evaluator/bundle è deterministico; le dipendenze remote sono diagnostiche e applicate al path che le richiede.</w:t>
      </w:r>
    </w:p>
    <w:p>
      <w:pPr>
        <w:pStyle w:val="Heading2"/>
      </w:pPr>
      <w:r>
        <w:t>109.12 Observability, SLO e capacity acceptance</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448"/>
            <w:shd w:fill="D9EAF7"/>
            <w:vAlign w:val="center"/>
          </w:tcPr>
          <w:p>
            <w:r>
              <w:rPr>
                <w:b/>
              </w:rPr>
              <w:t>Area</w:t>
            </w:r>
          </w:p>
        </w:tc>
        <w:tc>
          <w:tcPr>
            <w:tcW w:type="dxa" w:w="6912"/>
            <w:shd w:fill="D9EAF7"/>
            <w:vAlign w:val="center"/>
          </w:tcPr>
          <w:p>
            <w:r>
              <w:rPr>
                <w:b/>
              </w:rPr>
              <w:t>Metriche/evidence minime</w:t>
            </w:r>
          </w:p>
        </w:tc>
        <w:tc>
          <w:tcPr>
            <w:tcW w:type="dxa" w:w="4032"/>
            <w:shd w:fill="D9EAF7"/>
            <w:vAlign w:val="center"/>
          </w:tcPr>
          <w:p>
            <w:r>
              <w:rPr>
                <w:b/>
              </w:rPr>
              <w:t>Acceptance</w:t>
            </w:r>
          </w:p>
        </w:tc>
      </w:tr>
      <w:tr>
        <w:tc>
          <w:tcPr>
            <w:tcW w:type="dxa" w:w="2448"/>
            <w:vAlign w:val="top"/>
          </w:tcPr>
          <w:p>
            <w:r>
              <w:t>Evaluator</w:t>
            </w:r>
          </w:p>
        </w:tc>
        <w:tc>
          <w:tcPr>
            <w:tcW w:type="dxa" w:w="6912"/>
            <w:vAlign w:val="top"/>
          </w:tcPr>
          <w:p>
            <w:r>
              <w:t>evaluation count, allow/deny/error, p50/p95/p99, capability class, reasonCode bounded</w:t>
            </w:r>
          </w:p>
        </w:tc>
        <w:tc>
          <w:tcPr>
            <w:tcW w:type="dxa" w:w="4032"/>
            <w:vAlign w:val="top"/>
          </w:tcPr>
          <w:p>
            <w:r>
              <w:t>&gt;= 1.000 eval/s per instance profile e p95 pure evaluator &lt;5 ms sul fixture dichiarato.</w:t>
            </w:r>
          </w:p>
        </w:tc>
      </w:tr>
      <w:tr>
        <w:tc>
          <w:tcPr>
            <w:tcW w:type="dxa" w:w="2448"/>
            <w:vAlign w:val="top"/>
          </w:tcPr>
          <w:p>
            <w:r>
              <w:t>Bundle</w:t>
            </w:r>
          </w:p>
        </w:tc>
        <w:tc>
          <w:tcPr>
            <w:tcW w:type="dxa" w:w="6912"/>
            <w:vAlign w:val="top"/>
          </w:tcPr>
          <w:p>
            <w:r>
              <w:t>loaded policyVersion, age, refresh success/failure, validation/signature error, swap duration</w:t>
            </w:r>
          </w:p>
        </w:tc>
        <w:tc>
          <w:tcPr>
            <w:tcW w:type="dxa" w:w="4032"/>
            <w:vAlign w:val="top"/>
          </w:tcPr>
          <w:p>
            <w:r>
              <w:t>Concurrent refresh/read no mixed version.</w:t>
            </w:r>
          </w:p>
        </w:tc>
      </w:tr>
      <w:tr>
        <w:tc>
          <w:tcPr>
            <w:tcW w:type="dxa" w:w="2448"/>
            <w:vAlign w:val="top"/>
          </w:tcPr>
          <w:p>
            <w:r>
              <w:t>Directory</w:t>
            </w:r>
          </w:p>
        </w:tc>
        <w:tc>
          <w:tcPr>
            <w:tcW w:type="dxa" w:w="6912"/>
            <w:vAlign w:val="top"/>
          </w:tcPr>
          <w:p>
            <w:r>
              <w:t>lookup latency/error/cache hit/miss/circuit state/concurrency</w:t>
            </w:r>
          </w:p>
        </w:tc>
        <w:tc>
          <w:tcPr>
            <w:tcW w:type="dxa" w:w="4032"/>
            <w:vAlign w:val="top"/>
          </w:tcPr>
          <w:p>
            <w:r>
              <w:t>Outage test dimostra fail-closed solo per capability dipendenti.</w:t>
            </w:r>
          </w:p>
        </w:tc>
      </w:tr>
      <w:tr>
        <w:tc>
          <w:tcPr>
            <w:tcW w:type="dxa" w:w="2448"/>
            <w:vAlign w:val="top"/>
          </w:tcPr>
          <w:p>
            <w:r>
              <w:t>Admin</w:t>
            </w:r>
          </w:p>
        </w:tc>
        <w:tc>
          <w:tcPr>
            <w:tcW w:type="dxa" w:w="6912"/>
            <w:vAlign w:val="top"/>
          </w:tcPr>
          <w:p>
            <w:r>
              <w:t>RPS, p95, ETag conflicts, publication duration, grant/policy count</w:t>
            </w:r>
          </w:p>
        </w:tc>
        <w:tc>
          <w:tcPr>
            <w:tcW w:type="dxa" w:w="4032"/>
            <w:vAlign w:val="top"/>
          </w:tcPr>
          <w:p>
            <w:r>
              <w:t>Fixture fino a 10k grants / policy bundle &lt;=5MB iniziale come già previsto.</w:t>
            </w:r>
          </w:p>
        </w:tc>
      </w:tr>
      <w:tr>
        <w:tc>
          <w:tcPr>
            <w:tcW w:type="dxa" w:w="2448"/>
            <w:vAlign w:val="top"/>
          </w:tcPr>
          <w:p>
            <w:r>
              <w:t>Security</w:t>
            </w:r>
          </w:p>
        </w:tc>
        <w:tc>
          <w:tcPr>
            <w:tcW w:type="dxa" w:w="6912"/>
            <w:vAlign w:val="top"/>
          </w:tcPr>
          <w:p>
            <w:r>
              <w:t>JWT rejects, issuer/audience mismatch, unknown capability, actor mismatch, stale bundle</w:t>
            </w:r>
          </w:p>
        </w:tc>
        <w:tc>
          <w:tcPr>
            <w:tcW w:type="dxa" w:w="4032"/>
            <w:vAlign w:val="top"/>
          </w:tcPr>
          <w:p>
            <w:r>
              <w:t>Negative test coverage obbligatoria.</w:t>
            </w:r>
          </w:p>
        </w:tc>
      </w:tr>
      <w:tr>
        <w:tc>
          <w:tcPr>
            <w:tcW w:type="dxa" w:w="2448"/>
            <w:vAlign w:val="top"/>
          </w:tcPr>
          <w:p>
            <w:r>
              <w:t>Audit</w:t>
            </w:r>
          </w:p>
        </w:tc>
        <w:tc>
          <w:tcPr>
            <w:tcW w:type="dxa" w:w="6912"/>
            <w:vAlign w:val="top"/>
          </w:tcPr>
          <w:p>
            <w:r>
              <w:t>decision events emitted/dropped/retry queue age</w:t>
            </w:r>
          </w:p>
        </w:tc>
        <w:tc>
          <w:tcPr>
            <w:tcW w:type="dxa" w:w="4032"/>
            <w:vAlign w:val="top"/>
          </w:tcPr>
          <w:p>
            <w:r>
              <w:t>Nessuna perdita silenziosa oltre policy; PII minimization review.</w:t>
            </w:r>
          </w:p>
        </w:tc>
      </w:tr>
    </w:tbl>
    <w:p>
      <w:r>
        <w:rPr>
          <w:b/>
        </w:rPr>
        <w:t xml:space="preserve">Capacity fixture. </w:t>
      </w:r>
      <w:r>
        <w:t>Il performance report dichiara numero capability, policy, grant, tenant/org/role cardinality, bundle bytes, resource-context size, cache settings, CPU/RAM e JVM. I target non sono validati su fixture vuote o triviali.</w:t>
      </w:r>
    </w:p>
    <w:p>
      <w:pPr>
        <w:pStyle w:val="Heading2"/>
      </w:pPr>
      <w:r>
        <w:t>109.13 Recovery, rollback e runbook</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312"/>
            <w:shd w:fill="D9EAF7"/>
            <w:vAlign w:val="center"/>
          </w:tcPr>
          <w:p>
            <w:r>
              <w:rPr>
                <w:b/>
              </w:rPr>
              <w:t>Scenario</w:t>
            </w:r>
          </w:p>
        </w:tc>
        <w:tc>
          <w:tcPr>
            <w:tcW w:type="dxa" w:w="4320"/>
            <w:shd w:fill="D9EAF7"/>
            <w:vAlign w:val="center"/>
          </w:tcPr>
          <w:p>
            <w:r>
              <w:rPr>
                <w:b/>
              </w:rPr>
              <w:t>Diagnosi</w:t>
            </w:r>
          </w:p>
        </w:tc>
        <w:tc>
          <w:tcPr>
            <w:tcW w:type="dxa" w:w="5760"/>
            <w:shd w:fill="D9EAF7"/>
            <w:vAlign w:val="center"/>
          </w:tcPr>
          <w:p>
            <w:r>
              <w:rPr>
                <w:b/>
              </w:rPr>
              <w:t>Azione standard</w:t>
            </w:r>
          </w:p>
        </w:tc>
      </w:tr>
      <w:tr>
        <w:tc>
          <w:tcPr>
            <w:tcW w:type="dxa" w:w="3312"/>
            <w:vAlign w:val="top"/>
          </w:tcPr>
          <w:p>
            <w:r>
              <w:t>Bad policy publication</w:t>
            </w:r>
          </w:p>
        </w:tc>
        <w:tc>
          <w:tcPr>
            <w:tcW w:type="dxa" w:w="4320"/>
            <w:vAlign w:val="top"/>
          </w:tcPr>
          <w:p>
            <w:r>
              <w:t>bundle hash/version, validation result, active pointer</w:t>
            </w:r>
          </w:p>
        </w:tc>
        <w:tc>
          <w:tcPr>
            <w:tcW w:type="dxa" w:w="5760"/>
            <w:vAlign w:val="top"/>
          </w:tcPr>
          <w:p>
            <w:r>
              <w:t>Non attivare; mantenere last-known-good. Se già attivata tramite errore operativo, publish nuova corrective version/controlled pointer rollback con audit.</w:t>
            </w:r>
          </w:p>
        </w:tc>
      </w:tr>
      <w:tr>
        <w:tc>
          <w:tcPr>
            <w:tcW w:type="dxa" w:w="3312"/>
            <w:vAlign w:val="top"/>
          </w:tcPr>
          <w:p>
            <w:r>
              <w:t>Stale/incompatible bundle</w:t>
            </w:r>
          </w:p>
        </w:tc>
        <w:tc>
          <w:tcPr>
            <w:tcW w:type="dxa" w:w="4320"/>
            <w:vAlign w:val="top"/>
          </w:tcPr>
          <w:p>
            <w:r>
              <w:t>SDK health, schema/capability version, age</w:t>
            </w:r>
          </w:p>
        </w:tc>
        <w:tc>
          <w:tcPr>
            <w:tcW w:type="dxa" w:w="5760"/>
            <w:vAlign w:val="top"/>
          </w:tcPr>
          <w:p>
            <w:r>
              <w:t>Fail closed per capability non safely evaluable; fetch compatible bundle; block rollout.</w:t>
            </w:r>
          </w:p>
        </w:tc>
      </w:tr>
      <w:tr>
        <w:tc>
          <w:tcPr>
            <w:tcW w:type="dxa" w:w="3312"/>
            <w:vAlign w:val="top"/>
          </w:tcPr>
          <w:p>
            <w:r>
              <w:t>IAM/JWKS outage</w:t>
            </w:r>
          </w:p>
        </w:tc>
        <w:tc>
          <w:tcPr>
            <w:tcW w:type="dxa" w:w="4320"/>
            <w:vAlign w:val="top"/>
          </w:tcPr>
          <w:p>
            <w:r>
              <w:t>issuer/JWKS metrics, key cache age</w:t>
            </w:r>
          </w:p>
        </w:tc>
        <w:tc>
          <w:tcPr>
            <w:tcW w:type="dxa" w:w="5760"/>
            <w:vAlign w:val="top"/>
          </w:tcPr>
          <w:p>
            <w:r>
              <w:t>Use cached valid keys entro freshness policy; oltre soglia reject nuovi auth flows; alert.</w:t>
            </w:r>
          </w:p>
        </w:tc>
      </w:tr>
      <w:tr>
        <w:tc>
          <w:tcPr>
            <w:tcW w:type="dxa" w:w="3312"/>
            <w:vAlign w:val="top"/>
          </w:tcPr>
          <w:p>
            <w:r>
              <w:t>Directory outage</w:t>
            </w:r>
          </w:p>
        </w:tc>
        <w:tc>
          <w:tcPr>
            <w:tcW w:type="dxa" w:w="4320"/>
            <w:vAlign w:val="top"/>
          </w:tcPr>
          <w:p>
            <w:r>
              <w:t>lookup/circuit/cache metrics</w:t>
            </w:r>
          </w:p>
        </w:tc>
        <w:tc>
          <w:tcPr>
            <w:tcW w:type="dxa" w:w="5760"/>
            <w:vAlign w:val="top"/>
          </w:tcPr>
          <w:p>
            <w:r>
              <w:t>Capability che non richiedono lookup continuano; required lookup =&gt; deny.</w:t>
            </w:r>
          </w:p>
        </w:tc>
      </w:tr>
      <w:tr>
        <w:tc>
          <w:tcPr>
            <w:tcW w:type="dxa" w:w="3312"/>
            <w:vAlign w:val="top"/>
          </w:tcPr>
          <w:p>
            <w:r>
              <w:t>SDK cache corruption/parse error</w:t>
            </w:r>
          </w:p>
        </w:tc>
        <w:tc>
          <w:tcPr>
            <w:tcW w:type="dxa" w:w="4320"/>
            <w:vAlign w:val="top"/>
          </w:tcPr>
          <w:p>
            <w:r>
              <w:t>bundle validation/hash</w:t>
            </w:r>
          </w:p>
        </w:tc>
        <w:tc>
          <w:tcPr>
            <w:tcW w:type="dxa" w:w="5760"/>
            <w:vAlign w:val="top"/>
          </w:tcPr>
          <w:p>
            <w:r>
              <w:t>Discard candidate; keep immutable last-known-good only if valid/compatible.</w:t>
            </w:r>
          </w:p>
        </w:tc>
      </w:tr>
      <w:tr>
        <w:tc>
          <w:tcPr>
            <w:tcW w:type="dxa" w:w="3312"/>
            <w:vAlign w:val="top"/>
          </w:tcPr>
          <w:p>
            <w:r>
              <w:t>Policy Registry DB failure</w:t>
            </w:r>
          </w:p>
        </w:tc>
        <w:tc>
          <w:tcPr>
            <w:tcW w:type="dxa" w:w="4320"/>
            <w:vAlign w:val="top"/>
          </w:tcPr>
          <w:p>
            <w:r>
              <w:t>DB/Flyway/pool</w:t>
            </w:r>
          </w:p>
        </w:tc>
        <w:tc>
          <w:tcPr>
            <w:tcW w:type="dxa" w:w="5760"/>
            <w:vAlign w:val="top"/>
          </w:tcPr>
          <w:p>
            <w:r>
              <w:t>Admin publication unavailable; runtime services continuano su local snapshot entro max-staleness policy.</w:t>
            </w:r>
          </w:p>
        </w:tc>
      </w:tr>
      <w:tr>
        <w:tc>
          <w:tcPr>
            <w:tcW w:type="dxa" w:w="3312"/>
            <w:vAlign w:val="top"/>
          </w:tcPr>
          <w:p>
            <w:r>
              <w:t>Emergency revoke</w:t>
            </w:r>
          </w:p>
        </w:tc>
        <w:tc>
          <w:tcPr>
            <w:tcW w:type="dxa" w:w="4320"/>
            <w:vAlign w:val="top"/>
          </w:tcPr>
          <w:p>
            <w:r>
              <w:t>subject/client/policy refs</w:t>
            </w:r>
          </w:p>
        </w:tc>
        <w:tc>
          <w:tcPr>
            <w:tcW w:type="dxa" w:w="5760"/>
            <w:vAlign w:val="top"/>
          </w:tcPr>
          <w:p>
            <w:r>
              <w:t>Revoca in IAM per credential compromise + policy/grant revocation; refresh/propagation evidence misurata.</w:t>
            </w:r>
          </w:p>
        </w:tc>
      </w:tr>
      <w:tr>
        <w:tc>
          <w:tcPr>
            <w:tcW w:type="dxa" w:w="3312"/>
            <w:vAlign w:val="top"/>
          </w:tcPr>
          <w:p>
            <w:r>
              <w:t>Restore</w:t>
            </w:r>
          </w:p>
        </w:tc>
        <w:tc>
          <w:tcPr>
            <w:tcW w:type="dxa" w:w="4320"/>
            <w:vAlign w:val="top"/>
          </w:tcPr>
          <w:p>
            <w:r>
              <w:t>DB backup, ACTIVE bundle pointer, manifest/hash</w:t>
            </w:r>
          </w:p>
        </w:tc>
        <w:tc>
          <w:tcPr>
            <w:tcW w:type="dxa" w:w="5760"/>
            <w:vAlign w:val="top"/>
          </w:tcPr>
          <w:p>
            <w:r>
              <w:t>Restore isolato -&gt; Flyway validate -&gt; bundle rebuild/verify -&gt; admin smoke -&gt; controlled cut-over.</w:t>
            </w:r>
          </w:p>
        </w:tc>
      </w:tr>
    </w:tbl>
    <w:p>
      <w:pPr>
        <w:pStyle w:val="Heading2"/>
      </w:pPr>
      <w:r>
        <w:t>109.14 CI/CD, Secure SDLC, compatibility ed evidence</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2448"/>
            <w:shd w:fill="D9EAF7"/>
            <w:vAlign w:val="center"/>
          </w:tcPr>
          <w:p>
            <w:r>
              <w:rPr>
                <w:b/>
              </w:rPr>
              <w:t>Stage</w:t>
            </w:r>
          </w:p>
        </w:tc>
        <w:tc>
          <w:tcPr>
            <w:tcW w:type="dxa" w:w="11088"/>
            <w:shd w:fill="D9EAF7"/>
            <w:vAlign w:val="center"/>
          </w:tcPr>
          <w:p>
            <w:r>
              <w:rPr>
                <w:b/>
              </w:rPr>
              <w:t>Blocking checks</w:t>
            </w:r>
          </w:p>
        </w:tc>
      </w:tr>
      <w:tr>
        <w:tc>
          <w:tcPr>
            <w:tcW w:type="dxa" w:w="2448"/>
            <w:vAlign w:val="top"/>
          </w:tcPr>
          <w:p>
            <w:r>
              <w:t>Compile/unit</w:t>
            </w:r>
          </w:p>
        </w:tc>
        <w:tc>
          <w:tcPr>
            <w:tcW w:type="dxa" w:w="11088"/>
            <w:vAlign w:val="top"/>
          </w:tcPr>
          <w:p>
            <w:r>
              <w:t>Control-plane + SDK build, unit tests, static analysis.</w:t>
            </w:r>
          </w:p>
        </w:tc>
      </w:tr>
      <w:tr>
        <w:tc>
          <w:tcPr>
            <w:tcW w:type="dxa" w:w="2448"/>
            <w:vAlign w:val="top"/>
          </w:tcPr>
          <w:p>
            <w:r>
              <w:t>Contract</w:t>
            </w:r>
          </w:p>
        </w:tc>
        <w:tc>
          <w:tcPr>
            <w:tcW w:type="dxa" w:w="11088"/>
            <w:vAlign w:val="top"/>
          </w:tcPr>
          <w:p>
            <w:r>
              <w:t>OpenAPI/JSON Schema/examples + capability/reason-code catalog lint.</w:t>
            </w:r>
          </w:p>
        </w:tc>
      </w:tr>
      <w:tr>
        <w:tc>
          <w:tcPr>
            <w:tcW w:type="dxa" w:w="2448"/>
            <w:vAlign w:val="top"/>
          </w:tcPr>
          <w:p>
            <w:r>
              <w:t>SDK compatibility</w:t>
            </w:r>
          </w:p>
        </w:tc>
        <w:tc>
          <w:tcPr>
            <w:tcW w:type="dxa" w:w="11088"/>
            <w:vAlign w:val="top"/>
          </w:tcPr>
          <w:p>
            <w:r>
              <w:t>Binary/source API check same major + fixtures against N and N+1 policy bundle schemas.</w:t>
            </w:r>
          </w:p>
        </w:tc>
      </w:tr>
      <w:tr>
        <w:tc>
          <w:tcPr>
            <w:tcW w:type="dxa" w:w="2448"/>
            <w:vAlign w:val="top"/>
          </w:tcPr>
          <w:p>
            <w:r>
              <w:t>DB</w:t>
            </w:r>
          </w:p>
        </w:tc>
        <w:tc>
          <w:tcPr>
            <w:tcW w:type="dxa" w:w="11088"/>
            <w:vAlign w:val="top"/>
          </w:tcPr>
          <w:p>
            <w:r>
              <w:t>Flyway clean install + N/N+1 upgrade + expand/contract check.</w:t>
            </w:r>
          </w:p>
        </w:tc>
      </w:tr>
      <w:tr>
        <w:tc>
          <w:tcPr>
            <w:tcW w:type="dxa" w:w="2448"/>
            <w:vAlign w:val="top"/>
          </w:tcPr>
          <w:p>
            <w:r>
              <w:t>Integration</w:t>
            </w:r>
          </w:p>
        </w:tc>
        <w:tc>
          <w:tcPr>
            <w:tcW w:type="dxa" w:w="11088"/>
            <w:vAlign w:val="top"/>
          </w:tcPr>
          <w:p>
            <w:r>
              <w:t>PostgreSQL + OIDC/JWKS + directory fault profiles + consumer service fixture.</w:t>
            </w:r>
          </w:p>
        </w:tc>
      </w:tr>
      <w:tr>
        <w:tc>
          <w:tcPr>
            <w:tcW w:type="dxa" w:w="2448"/>
            <w:vAlign w:val="top"/>
          </w:tcPr>
          <w:p>
            <w:r>
              <w:t>Security</w:t>
            </w:r>
          </w:p>
        </w:tc>
        <w:tc>
          <w:tcPr>
            <w:tcW w:type="dxa" w:w="11088"/>
            <w:vAlign w:val="top"/>
          </w:tcPr>
          <w:p>
            <w:r>
              <w:t>SAST/SCA/container/secret scan; JWT negative cases, actor spoof, unknown capability, privilege escalation, bundle tamper/signature/hash.</w:t>
            </w:r>
          </w:p>
        </w:tc>
      </w:tr>
      <w:tr>
        <w:tc>
          <w:tcPr>
            <w:tcW w:type="dxa" w:w="2448"/>
            <w:vAlign w:val="top"/>
          </w:tcPr>
          <w:p>
            <w:r>
              <w:t>Concurrency</w:t>
            </w:r>
          </w:p>
        </w:tc>
        <w:tc>
          <w:tcPr>
            <w:tcW w:type="dxa" w:w="11088"/>
            <w:vAlign w:val="top"/>
          </w:tcPr>
          <w:p>
            <w:r>
              <w:t>Atomic bundle swap, simultaneous refresh/evaluate, admin ETag race, multi-service version mix.</w:t>
            </w:r>
          </w:p>
        </w:tc>
      </w:tr>
      <w:tr>
        <w:tc>
          <w:tcPr>
            <w:tcW w:type="dxa" w:w="2448"/>
            <w:vAlign w:val="top"/>
          </w:tcPr>
          <w:p>
            <w:r>
              <w:t>E2E</w:t>
            </w:r>
          </w:p>
        </w:tc>
        <w:tc>
          <w:tcPr>
            <w:tcW w:type="dxa" w:w="11088"/>
            <w:vAlign w:val="top"/>
          </w:tcPr>
          <w:p>
            <w:r>
              <w:t>Gateway token -&gt; service security filter -&gt; SDK -&gt; domain guard -&gt; audit; human admin policy publication; M2M actor tests.</w:t>
            </w:r>
          </w:p>
        </w:tc>
      </w:tr>
      <w:tr>
        <w:tc>
          <w:tcPr>
            <w:tcW w:type="dxa" w:w="2448"/>
            <w:vAlign w:val="top"/>
          </w:tcPr>
          <w:p>
            <w:r>
              <w:t>Recovery</w:t>
            </w:r>
          </w:p>
        </w:tc>
        <w:tc>
          <w:tcPr>
            <w:tcW w:type="dxa" w:w="11088"/>
            <w:vAlign w:val="top"/>
          </w:tcPr>
          <w:p>
            <w:r>
              <w:t>IAM outage, directory outage, bad bundle, DB outage, restore, emergency revoke propagation.</w:t>
            </w:r>
          </w:p>
        </w:tc>
      </w:tr>
      <w:tr>
        <w:tc>
          <w:tcPr>
            <w:tcW w:type="dxa" w:w="2448"/>
            <w:vAlign w:val="top"/>
          </w:tcPr>
          <w:p>
            <w:r>
              <w:t>Performance</w:t>
            </w:r>
          </w:p>
        </w:tc>
        <w:tc>
          <w:tcPr>
            <w:tcW w:type="dxa" w:w="11088"/>
            <w:vAlign w:val="top"/>
          </w:tcPr>
          <w:p>
            <w:r>
              <w:t>1k eval/s target, p95 pure evaluator target, 10k grant/5MB bundle fixture, refresh under load.</w:t>
            </w:r>
          </w:p>
        </w:tc>
      </w:tr>
      <w:tr>
        <w:tc>
          <w:tcPr>
            <w:tcW w:type="dxa" w:w="2448"/>
            <w:vAlign w:val="top"/>
          </w:tcPr>
          <w:p>
            <w:r>
              <w:t>Package</w:t>
            </w:r>
          </w:p>
        </w:tc>
        <w:tc>
          <w:tcPr>
            <w:tcW w:type="dxa" w:w="11088"/>
            <w:vAlign w:val="top"/>
          </w:tcPr>
          <w:p>
            <w:r>
              <w:t>SDK artifact, OCI/control-plane package, migrations, OpenAPI/schemas/examples, dashboards/alerts, runbook, SBOM/provenance.</w:t>
            </w:r>
          </w:p>
        </w:tc>
      </w:tr>
    </w:tbl>
    <w:p>
      <w:pPr>
        <w:pStyle w:val="ListBullet"/>
      </w:pPr>
      <w:r>
        <w:t>Ogni AUTH-I/A requirement è tracciato verso test executable o evidence manuale nominata.</w:t>
      </w:r>
    </w:p>
    <w:p>
      <w:pPr>
        <w:pStyle w:val="ListBullet"/>
      </w:pPr>
      <w:r>
        <w:t>L’evidence package include versioni reali di IAM test realm/scenario, Gateway, Policy Registry, SDK e almeno un consumer service.</w:t>
      </w:r>
    </w:p>
    <w:p>
      <w:pPr>
        <w:pStyle w:val="ListBullet"/>
      </w:pPr>
      <w:r>
        <w:t>La release è bloccata se il consumer usa capabilityId assente, schema bundle incompatibile o SDK fuori support window.</w:t>
      </w:r>
    </w:p>
    <w:p>
      <w:pPr>
        <w:pStyle w:val="Heading2"/>
      </w:pPr>
      <w:r>
        <w:t>109.15 Gap closure register rispetto al gold standard Ingestion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440"/>
            <w:shd w:fill="D9EAF7"/>
            <w:vAlign w:val="center"/>
          </w:tcPr>
          <w:p>
            <w:r>
              <w:rPr>
                <w:b/>
              </w:rPr>
              <w:t>GS ID</w:t>
            </w:r>
          </w:p>
        </w:tc>
        <w:tc>
          <w:tcPr>
            <w:tcW w:type="dxa" w:w="6480"/>
            <w:shd w:fill="D9EAF7"/>
            <w:vAlign w:val="center"/>
          </w:tcPr>
          <w:p>
            <w:r>
              <w:rPr>
                <w:b/>
              </w:rPr>
              <w:t>Gap precedente</w:t>
            </w:r>
          </w:p>
        </w:tc>
        <w:tc>
          <w:tcPr>
            <w:tcW w:type="dxa" w:w="5760"/>
            <w:shd w:fill="D9EAF7"/>
            <w:vAlign w:val="center"/>
          </w:tcPr>
          <w:p>
            <w:r>
              <w:rPr>
                <w:b/>
              </w:rPr>
              <w:t>Esito v1.4</w:t>
            </w:r>
          </w:p>
        </w:tc>
      </w:tr>
      <w:tr>
        <w:tc>
          <w:tcPr>
            <w:tcW w:type="dxa" w:w="1440"/>
            <w:vAlign w:val="top"/>
          </w:tcPr>
          <w:p>
            <w:r>
              <w:t>GS-06</w:t>
            </w:r>
          </w:p>
        </w:tc>
        <w:tc>
          <w:tcPr>
            <w:tcW w:type="dxa" w:w="6480"/>
            <w:vAlign w:val="top"/>
          </w:tcPr>
          <w:p>
            <w:r>
              <w:t>PrincipalContext/Decision/Bundle schema non completamente formalizzati</w:t>
            </w:r>
          </w:p>
        </w:tc>
        <w:tc>
          <w:tcPr>
            <w:tcW w:type="dxa" w:w="5760"/>
            <w:vAlign w:val="top"/>
          </w:tcPr>
          <w:p>
            <w:r>
              <w:t>CHIUSO — §109.2</w:t>
            </w:r>
          </w:p>
        </w:tc>
      </w:tr>
      <w:tr>
        <w:tc>
          <w:tcPr>
            <w:tcW w:type="dxa" w:w="1440"/>
            <w:vAlign w:val="top"/>
          </w:tcPr>
          <w:p>
            <w:r>
              <w:t>GS-07</w:t>
            </w:r>
          </w:p>
        </w:tc>
        <w:tc>
          <w:tcPr>
            <w:tcW w:type="dxa" w:w="6480"/>
            <w:vAlign w:val="top"/>
          </w:tcPr>
          <w:p>
            <w:r>
              <w:t>Persistence authz dispersa nel deployable Onboarding</w:t>
            </w:r>
          </w:p>
        </w:tc>
        <w:tc>
          <w:tcPr>
            <w:tcW w:type="dxa" w:w="5760"/>
            <w:vAlign w:val="top"/>
          </w:tcPr>
          <w:p>
            <w:r>
              <w:t>CHIUSO — §109.4</w:t>
            </w:r>
          </w:p>
        </w:tc>
      </w:tr>
      <w:tr>
        <w:tc>
          <w:tcPr>
            <w:tcW w:type="dxa" w:w="1440"/>
            <w:vAlign w:val="top"/>
          </w:tcPr>
          <w:p>
            <w:r>
              <w:t>GS-09</w:t>
            </w:r>
          </w:p>
        </w:tc>
        <w:tc>
          <w:tcPr>
            <w:tcW w:type="dxa" w:w="6480"/>
            <w:vAlign w:val="top"/>
          </w:tcPr>
          <w:p>
            <w:r>
              <w:t>Idempotency admin non esplicita</w:t>
            </w:r>
          </w:p>
        </w:tc>
        <w:tc>
          <w:tcPr>
            <w:tcW w:type="dxa" w:w="5760"/>
            <w:vAlign w:val="top"/>
          </w:tcPr>
          <w:p>
            <w:r>
              <w:t>CHIUSO tramite ETag/versioned publish/immutable bundle — §§109.2, 109.4</w:t>
            </w:r>
          </w:p>
        </w:tc>
      </w:tr>
      <w:tr>
        <w:tc>
          <w:tcPr>
            <w:tcW w:type="dxa" w:w="1440"/>
            <w:vAlign w:val="top"/>
          </w:tcPr>
          <w:p>
            <w:r>
              <w:t>GS-10</w:t>
            </w:r>
          </w:p>
        </w:tc>
        <w:tc>
          <w:tcPr>
            <w:tcW w:type="dxa" w:w="6480"/>
            <w:vAlign w:val="top"/>
          </w:tcPr>
          <w:p>
            <w:r>
              <w:t>Async model ambiguo</w:t>
            </w:r>
          </w:p>
        </w:tc>
        <w:tc>
          <w:tcPr>
            <w:tcW w:type="dxa" w:w="5760"/>
            <w:vAlign w:val="top"/>
          </w:tcPr>
          <w:p>
            <w:r>
              <w:t>CHIUSO COME N.A./LIMITATO — runtime evaluator sync/local; refresh/publication governati</w:t>
            </w:r>
          </w:p>
        </w:tc>
      </w:tr>
      <w:tr>
        <w:tc>
          <w:tcPr>
            <w:tcW w:type="dxa" w:w="1440"/>
            <w:vAlign w:val="top"/>
          </w:tcPr>
          <w:p>
            <w:r>
              <w:t>GS-11/12</w:t>
            </w:r>
          </w:p>
        </w:tc>
        <w:tc>
          <w:tcPr>
            <w:tcW w:type="dxa" w:w="6480"/>
            <w:vAlign w:val="top"/>
          </w:tcPr>
          <w:p>
            <w:r>
              <w:t>Failure/retry/circuit non sistematici</w:t>
            </w:r>
          </w:p>
        </w:tc>
        <w:tc>
          <w:tcPr>
            <w:tcW w:type="dxa" w:w="5760"/>
            <w:vAlign w:val="top"/>
          </w:tcPr>
          <w:p>
            <w:r>
              <w:t>CHIUSO — §109.6</w:t>
            </w:r>
          </w:p>
        </w:tc>
      </w:tr>
      <w:tr>
        <w:tc>
          <w:tcPr>
            <w:tcW w:type="dxa" w:w="1440"/>
            <w:vAlign w:val="top"/>
          </w:tcPr>
          <w:p>
            <w:r>
              <w:t>GS-14</w:t>
            </w:r>
          </w:p>
        </w:tc>
        <w:tc>
          <w:tcPr>
            <w:tcW w:type="dxa" w:w="6480"/>
            <w:vAlign w:val="top"/>
          </w:tcPr>
          <w:p>
            <w:r>
              <w:t>Rollback/recovery operativo incompleto</w:t>
            </w:r>
          </w:p>
        </w:tc>
        <w:tc>
          <w:tcPr>
            <w:tcW w:type="dxa" w:w="5760"/>
            <w:vAlign w:val="top"/>
          </w:tcPr>
          <w:p>
            <w:r>
              <w:t>CHIUSO — §109.13</w:t>
            </w:r>
          </w:p>
        </w:tc>
      </w:tr>
      <w:tr>
        <w:tc>
          <w:tcPr>
            <w:tcW w:type="dxa" w:w="1440"/>
            <w:vAlign w:val="top"/>
          </w:tcPr>
          <w:p>
            <w:r>
              <w:t>GS-16</w:t>
            </w:r>
          </w:p>
        </w:tc>
        <w:tc>
          <w:tcPr>
            <w:tcW w:type="dxa" w:w="6480"/>
            <w:vAlign w:val="top"/>
          </w:tcPr>
          <w:p>
            <w:r>
              <w:t>SDK/bundle/capability support window non esplicita</w:t>
            </w:r>
          </w:p>
        </w:tc>
        <w:tc>
          <w:tcPr>
            <w:tcW w:type="dxa" w:w="5760"/>
            <w:vAlign w:val="top"/>
          </w:tcPr>
          <w:p>
            <w:r>
              <w:t>CHIUSO — §109.7</w:t>
            </w:r>
          </w:p>
        </w:tc>
      </w:tr>
      <w:tr>
        <w:tc>
          <w:tcPr>
            <w:tcW w:type="dxa" w:w="1440"/>
            <w:vAlign w:val="top"/>
          </w:tcPr>
          <w:p>
            <w:r>
              <w:t>GS-18</w:t>
            </w:r>
          </w:p>
        </w:tc>
        <w:tc>
          <w:tcPr>
            <w:tcW w:type="dxa" w:w="6480"/>
            <w:vAlign w:val="top"/>
          </w:tcPr>
          <w:p>
            <w:r>
              <w:t>M2M A/B/C irrisolto</w:t>
            </w:r>
          </w:p>
        </w:tc>
        <w:tc>
          <w:tcPr>
            <w:tcW w:type="dxa" w:w="5760"/>
            <w:vAlign w:val="top"/>
          </w:tcPr>
          <w:p>
            <w:r>
              <w:t>ESTERNO MA GOVERNATO — §109.5; P0 integration gate</w:t>
            </w:r>
          </w:p>
        </w:tc>
      </w:tr>
      <w:tr>
        <w:tc>
          <w:tcPr>
            <w:tcW w:type="dxa" w:w="1440"/>
            <w:vAlign w:val="top"/>
          </w:tcPr>
          <w:p>
            <w:r>
              <w:t>GS-19/20</w:t>
            </w:r>
          </w:p>
        </w:tc>
        <w:tc>
          <w:tcPr>
            <w:tcW w:type="dxa" w:w="6480"/>
            <w:vAlign w:val="top"/>
          </w:tcPr>
          <w:p>
            <w:r>
              <w:t>Network/input bounds non consolidati</w:t>
            </w:r>
          </w:p>
        </w:tc>
        <w:tc>
          <w:tcPr>
            <w:tcW w:type="dxa" w:w="5760"/>
            <w:vAlign w:val="top"/>
          </w:tcPr>
          <w:p>
            <w:r>
              <w:t>CHIUSO — §109.8</w:t>
            </w:r>
          </w:p>
        </w:tc>
      </w:tr>
      <w:tr>
        <w:tc>
          <w:tcPr>
            <w:tcW w:type="dxa" w:w="1440"/>
            <w:vAlign w:val="top"/>
          </w:tcPr>
          <w:p>
            <w:r>
              <w:t>GS-22</w:t>
            </w:r>
          </w:p>
        </w:tc>
        <w:tc>
          <w:tcPr>
            <w:tcW w:type="dxa" w:w="6480"/>
            <w:vAlign w:val="top"/>
          </w:tcPr>
          <w:p>
            <w:r>
              <w:t>Metric/dashboard catalog incompleto</w:t>
            </w:r>
          </w:p>
        </w:tc>
        <w:tc>
          <w:tcPr>
            <w:tcW w:type="dxa" w:w="5760"/>
            <w:vAlign w:val="top"/>
          </w:tcPr>
          <w:p>
            <w:r>
              <w:t>CHIUSO — §109.12 + repository artifacts</w:t>
            </w:r>
          </w:p>
        </w:tc>
      </w:tr>
      <w:tr>
        <w:tc>
          <w:tcPr>
            <w:tcW w:type="dxa" w:w="1440"/>
            <w:vAlign w:val="top"/>
          </w:tcPr>
          <w:p>
            <w:r>
              <w:t>GS-24/25</w:t>
            </w:r>
          </w:p>
        </w:tc>
        <w:tc>
          <w:tcPr>
            <w:tcW w:type="dxa" w:w="6480"/>
            <w:vAlign w:val="top"/>
          </w:tcPr>
          <w:p>
            <w:r>
              <w:t>Admission/capacity poco sviluppati</w:t>
            </w:r>
          </w:p>
        </w:tc>
        <w:tc>
          <w:tcPr>
            <w:tcW w:type="dxa" w:w="5760"/>
            <w:vAlign w:val="top"/>
          </w:tcPr>
          <w:p>
            <w:r>
              <w:t>CHIUSO per evaluator/admin/directory — §§109.9, 109.12</w:t>
            </w:r>
          </w:p>
        </w:tc>
      </w:tr>
      <w:tr>
        <w:tc>
          <w:tcPr>
            <w:tcW w:type="dxa" w:w="1440"/>
            <w:vAlign w:val="top"/>
          </w:tcPr>
          <w:p>
            <w:r>
              <w:t>GS-27/28</w:t>
            </w:r>
          </w:p>
        </w:tc>
        <w:tc>
          <w:tcPr>
            <w:tcW w:type="dxa" w:w="6480"/>
            <w:vAlign w:val="top"/>
          </w:tcPr>
          <w:p>
            <w:r>
              <w:t>BOM/runtime configuration non consolidati</w:t>
            </w:r>
          </w:p>
        </w:tc>
        <w:tc>
          <w:tcPr>
            <w:tcW w:type="dxa" w:w="5760"/>
            <w:vAlign w:val="top"/>
          </w:tcPr>
          <w:p>
            <w:r>
              <w:t>CHIUSO — §§109.9-109.10</w:t>
            </w:r>
          </w:p>
        </w:tc>
      </w:tr>
      <w:tr>
        <w:tc>
          <w:tcPr>
            <w:tcW w:type="dxa" w:w="1440"/>
            <w:vAlign w:val="top"/>
          </w:tcPr>
          <w:p>
            <w:r>
              <w:t>GS-30</w:t>
            </w:r>
          </w:p>
        </w:tc>
        <w:tc>
          <w:tcPr>
            <w:tcW w:type="dxa" w:w="6480"/>
            <w:vAlign w:val="top"/>
          </w:tcPr>
          <w:p>
            <w:r>
              <w:t>Shared SDK API/SPI non congelata</w:t>
            </w:r>
          </w:p>
        </w:tc>
        <w:tc>
          <w:tcPr>
            <w:tcW w:type="dxa" w:w="5760"/>
            <w:vAlign w:val="top"/>
          </w:tcPr>
          <w:p>
            <w:r>
              <w:t>CHIUSO — §109.3</w:t>
            </w:r>
          </w:p>
        </w:tc>
      </w:tr>
      <w:tr>
        <w:tc>
          <w:tcPr>
            <w:tcW w:type="dxa" w:w="1440"/>
            <w:vAlign w:val="top"/>
          </w:tcPr>
          <w:p>
            <w:r>
              <w:t>GS-31</w:t>
            </w:r>
          </w:p>
        </w:tc>
        <w:tc>
          <w:tcPr>
            <w:tcW w:type="dxa" w:w="6480"/>
            <w:vAlign w:val="top"/>
          </w:tcPr>
          <w:p>
            <w:r>
              <w:t>Restore authz specifico incompleto</w:t>
            </w:r>
          </w:p>
        </w:tc>
        <w:tc>
          <w:tcPr>
            <w:tcW w:type="dxa" w:w="5760"/>
            <w:vAlign w:val="top"/>
          </w:tcPr>
          <w:p>
            <w:r>
              <w:t>CHIUSO — §109.13</w:t>
            </w:r>
          </w:p>
        </w:tc>
      </w:tr>
      <w:tr>
        <w:tc>
          <w:tcPr>
            <w:tcW w:type="dxa" w:w="1440"/>
            <w:vAlign w:val="top"/>
          </w:tcPr>
          <w:p>
            <w:r>
              <w:t>GS-33</w:t>
            </w:r>
          </w:p>
        </w:tc>
        <w:tc>
          <w:tcPr>
            <w:tcW w:type="dxa" w:w="6480"/>
            <w:vAlign w:val="top"/>
          </w:tcPr>
          <w:p>
            <w:r>
              <w:t>Runbook assente/concentrato in altri moduli</w:t>
            </w:r>
          </w:p>
        </w:tc>
        <w:tc>
          <w:tcPr>
            <w:tcW w:type="dxa" w:w="5760"/>
            <w:vAlign w:val="top"/>
          </w:tcPr>
          <w:p>
            <w:r>
              <w:t>CHIUSO — §109.13</w:t>
            </w:r>
          </w:p>
        </w:tc>
      </w:tr>
      <w:tr>
        <w:tc>
          <w:tcPr>
            <w:tcW w:type="dxa" w:w="1440"/>
            <w:vAlign w:val="top"/>
          </w:tcPr>
          <w:p>
            <w:r>
              <w:t>GS-34</w:t>
            </w:r>
          </w:p>
        </w:tc>
        <w:tc>
          <w:tcPr>
            <w:tcW w:type="dxa" w:w="6480"/>
            <w:vAlign w:val="top"/>
          </w:tcPr>
          <w:p>
            <w:r>
              <w:t>Supplier evidence non formalizzata</w:t>
            </w:r>
          </w:p>
        </w:tc>
        <w:tc>
          <w:tcPr>
            <w:tcW w:type="dxa" w:w="5760"/>
            <w:vAlign w:val="top"/>
          </w:tcPr>
          <w:p>
            <w:r>
              <w:t>CHIUSO — §109.14</w:t>
            </w:r>
          </w:p>
        </w:tc>
      </w:tr>
      <w:tr>
        <w:tc>
          <w:tcPr>
            <w:tcW w:type="dxa" w:w="1440"/>
            <w:vAlign w:val="top"/>
          </w:tcPr>
          <w:p>
            <w:r>
              <w:t>GS-36</w:t>
            </w:r>
          </w:p>
        </w:tc>
        <w:tc>
          <w:tcPr>
            <w:tcW w:type="dxa" w:w="6480"/>
            <w:vAlign w:val="top"/>
          </w:tcPr>
          <w:p>
            <w:r>
              <w:t>Policy bundle/capability readiness gate non eseguibile</w:t>
            </w:r>
          </w:p>
        </w:tc>
        <w:tc>
          <w:tcPr>
            <w:tcW w:type="dxa" w:w="5760"/>
            <w:vAlign w:val="top"/>
          </w:tcPr>
          <w:p>
            <w:r>
              <w:t>CHIUSO — §109.11</w:t>
            </w:r>
          </w:p>
        </w:tc>
      </w:tr>
    </w:tbl>
    <w:p>
      <w:pPr>
        <w:pStyle w:val="Heading2"/>
      </w:pPr>
      <w:r>
        <w:t>109.16 Definition of Done v1.4 — handoff allo sviluppo</w:t>
      </w:r>
    </w:p>
    <w:p>
      <w:pPr>
        <w:pStyle w:val="ListBullet"/>
      </w:pPr>
      <w:r>
        <w:t>Il shared Authorization SDK possiede API/SPI Java versionate, artifact coordinates, compatibility policy e consumer fixtures.</w:t>
      </w:r>
    </w:p>
    <w:p>
      <w:pPr>
        <w:pStyle w:val="ListBullet"/>
      </w:pPr>
      <w:r>
        <w:t>PrincipalContext, ResourceContext, AuthorizationDecision, AuthorizationPolicyBundle, CapabilityDescriptor e Grant sono JSON Schema canonici nel repository.</w:t>
      </w:r>
    </w:p>
    <w:p>
      <w:pPr>
        <w:pStyle w:val="ListBullet"/>
      </w:pPr>
      <w:r>
        <w:t>Policy/grant/bundle persistence e Flyway ownership sono implementabili senza inferire DDL dal testo del PET.</w:t>
      </w:r>
    </w:p>
    <w:p>
      <w:pPr>
        <w:pStyle w:val="ListBullet"/>
      </w:pPr>
      <w:r>
        <w:t>Unknown capability, stale/missing/incompatible bundle, IAM/JWKS failure e required-directory failure sono fail-closed e coperti da test.</w:t>
      </w:r>
    </w:p>
    <w:p>
      <w:pPr>
        <w:pStyle w:val="ListBullet"/>
      </w:pPr>
      <w:r>
        <w:t>Bundle refresh è validate-then-atomic-swap; una request usa una sola policyVersion coerente.</w:t>
      </w:r>
    </w:p>
    <w:p>
      <w:pPr>
        <w:pStyle w:val="ListBullet"/>
      </w:pPr>
      <w:r>
        <w:t>Gateway coarse authorization non bypassa l’enforcement locale e ogni modulo mantiene il proprio domain guard.</w:t>
      </w:r>
    </w:p>
    <w:p>
      <w:pPr>
        <w:pStyle w:val="ListBullet"/>
      </w:pPr>
      <w:r>
        <w:t>Runtime properties, BOM, metric/alert catalog, runbook, restore e supplier evidence sono parte della release.</w:t>
      </w:r>
    </w:p>
    <w:p>
      <w:pPr>
        <w:pStyle w:val="ListBullet"/>
      </w:pPr>
      <w:r>
        <w:t>La pipeline dimostra SDK compatibility, policy bundle compatibility, security negative paths, concurrency, recovery e target performance.</w:t>
      </w:r>
    </w:p>
    <w:p>
      <w:pPr>
        <w:pStyle w:val="ListBullet"/>
      </w:pPr>
      <w:r>
        <w:t>Prima dell’integrazione reale, scenario M2M A/B/C, issuer, audience, claim/directory mapping e client lifecycle sono valorizzati e verificati. Questi sono gli unici blocker esterni residui, non decisioni implementative interne all’Authorization.</w:t>
      </w:r>
    </w:p>
    <w:p/>
    <w:p>
      <w:r>
        <w:rPr>
          <w:b/>
        </w:rPr>
        <w:t xml:space="preserve">Stato reale della specifica v1.4: </w:t>
      </w:r>
      <w:r>
        <w:t>development-ready per Policy Registry, shared Authorization SDK e integrazione dei domain service OUF. La specifica rimane intenzionalmente priva di un central authorization microservice sul critical path e non introduce un secondo IAM. L’unica dipendenza architetturale ancora esterna è la selezione/configurazione dello scenario M2M A/B/C, ora esplicitamente trattata come integration gate.</w:t>
      </w:r>
    </w:p>
    <w:p>
      <w:r>
        <w:br w:type="page"/>
      </w:r>
    </w:p>
    <w:p>
      <w:pPr>
        <w:pStyle w:val="Heading1"/>
      </w:pPr>
      <w:r>
        <w:t>34. Authorization model for Operational Awareness</w:t>
      </w:r>
    </w:p>
    <w:p>
      <w:pPr>
        <w:pStyle w:val="Heading2"/>
      </w:pPr>
      <w:r>
        <w:t>34.1 Capability set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Capability</w:t>
            </w:r>
          </w:p>
        </w:tc>
        <w:tc>
          <w:tcPr>
            <w:tcW w:type="dxa" w:w="3135"/>
          </w:tcPr>
          <w:p>
            <w:r>
              <w:rPr>
                <w:b/>
              </w:rPr>
              <w:t>Default actor</w:t>
            </w:r>
          </w:p>
        </w:tc>
        <w:tc>
          <w:tcPr>
            <w:tcW w:type="dxa" w:w="3135"/>
          </w:tcPr>
          <w:p>
            <w:r>
              <w:rPr>
                <w:b/>
              </w:rPr>
              <w:t>Note</w:t>
            </w:r>
          </w:p>
        </w:tc>
      </w:tr>
      <w:tr>
        <w:tc>
          <w:tcPr>
            <w:tcW w:type="dxa" w:w="3135"/>
          </w:tcPr>
          <w:p>
            <w:r>
              <w:t>operations.status.read</w:t>
            </w:r>
          </w:p>
        </w:tc>
        <w:tc>
          <w:tcPr>
            <w:tcW w:type="dxa" w:w="3135"/>
          </w:tcPr>
          <w:p>
            <w:r>
              <w:t>HUMAN_USER, MCP_SERVER on-behalf-of</w:t>
            </w:r>
          </w:p>
        </w:tc>
        <w:tc>
          <w:tcPr>
            <w:tcW w:type="dxa" w:w="3135"/>
          </w:tcPr>
          <w:p>
            <w:r>
              <w:t>Stato aggregato safe-for-user</w:t>
            </w:r>
          </w:p>
        </w:tc>
      </w:tr>
      <w:tr>
        <w:tc>
          <w:tcPr>
            <w:tcW w:type="dxa" w:w="3135"/>
          </w:tcPr>
          <w:p>
            <w:r>
              <w:t>operations.incident.read</w:t>
            </w:r>
          </w:p>
        </w:tc>
        <w:tc>
          <w:tcPr>
            <w:tcW w:type="dxa" w:w="3135"/>
          </w:tcPr>
          <w:p>
            <w:r>
              <w:t>HUMAN_USER, MCP_SERVER on-behalf-of</w:t>
            </w:r>
          </w:p>
        </w:tc>
        <w:tc>
          <w:tcPr>
            <w:tcW w:type="dxa" w:w="3135"/>
          </w:tcPr>
          <w:p>
            <w:r>
              <w:t>Incidenti nel perimetro tenant/source autorizzato</w:t>
            </w:r>
          </w:p>
        </w:tc>
      </w:tr>
      <w:tr>
        <w:tc>
          <w:tcPr>
            <w:tcW w:type="dxa" w:w="3135"/>
          </w:tcPr>
          <w:p>
            <w:r>
              <w:t>operations.incident.explain</w:t>
            </w:r>
          </w:p>
        </w:tc>
        <w:tc>
          <w:tcPr>
            <w:tcW w:type="dxa" w:w="3135"/>
          </w:tcPr>
          <w:p>
            <w:r>
              <w:t>HUMAN_USER, MCP_SERVER on-behalf-of</w:t>
            </w:r>
          </w:p>
        </w:tc>
        <w:tc>
          <w:tcPr>
            <w:tcW w:type="dxa" w:w="3135"/>
          </w:tcPr>
          <w:p>
            <w:r>
              <w:t>Timeline/evidence redatta</w:t>
            </w:r>
          </w:p>
        </w:tc>
      </w:tr>
      <w:tr>
        <w:tc>
          <w:tcPr>
            <w:tcW w:type="dxa" w:w="3135"/>
          </w:tcPr>
          <w:p>
            <w:r>
              <w:t>operations.security.read</w:t>
            </w:r>
          </w:p>
        </w:tc>
        <w:tc>
          <w:tcPr>
            <w:tcW w:type="dxa" w:w="3135"/>
          </w:tcPr>
          <w:p>
            <w:r>
              <w:t>Privileged HUMAN_USER only</w:t>
            </w:r>
          </w:p>
        </w:tc>
        <w:tc>
          <w:tcPr>
            <w:tcW w:type="dxa" w:w="3135"/>
          </w:tcPr>
          <w:p>
            <w:r>
              <w:t>Dettagli security-sensitive; mai AI_AGENT autonomo</w:t>
            </w:r>
          </w:p>
        </w:tc>
      </w:tr>
      <w:tr>
        <w:tc>
          <w:tcPr>
            <w:tcW w:type="dxa" w:w="3135"/>
          </w:tcPr>
          <w:p>
            <w:r>
              <w:t>ingestion.operations.read</w:t>
            </w:r>
          </w:p>
        </w:tc>
        <w:tc>
          <w:tcPr>
            <w:tcW w:type="dxa" w:w="3135"/>
          </w:tcPr>
          <w:p>
            <w:r>
              <w:t>HUMAN_USER, MCP_SERVER on-behalf-of</w:t>
            </w:r>
          </w:p>
        </w:tc>
        <w:tc>
          <w:tcPr>
            <w:tcW w:type="dxa" w:w="3135"/>
          </w:tcPr>
          <w:p>
            <w:r>
              <w:t>Job/source status e history</w:t>
            </w:r>
          </w:p>
        </w:tc>
      </w:tr>
      <w:tr>
        <w:tc>
          <w:tcPr>
            <w:tcW w:type="dxa" w:w="3135"/>
          </w:tcPr>
          <w:p>
            <w:r>
              <w:t>operations.protected-evidence.read</w:t>
            </w:r>
          </w:p>
        </w:tc>
        <w:tc>
          <w:tcPr>
            <w:tcW w:type="dxa" w:w="3135"/>
          </w:tcPr>
          <w:p>
            <w:r>
              <w:t>Privileged HUMAN_USER / THS</w:t>
            </w:r>
          </w:p>
        </w:tc>
        <w:tc>
          <w:tcPr>
            <w:tcW w:type="dxa" w:w="3135"/>
          </w:tcPr>
          <w:p>
            <w:r>
              <w:t>Dereference di evidence protetta, se policy consente</w:t>
            </w:r>
          </w:p>
        </w:tc>
      </w:tr>
    </w:tbl>
    <w:p>
      <w:pPr>
        <w:pStyle w:val="Heading2"/>
      </w:pPr>
      <w:r>
        <w:t>34.2 Visibility and non-disclosure semantics</w:t>
      </w:r>
    </w:p>
    <w:p>
      <w:pPr>
        <w:pStyle w:val="ListBullet"/>
      </w:pPr>
      <w:r>
        <w:t>Authorization decision DEVE includere resource scope (tenant, module, sourceRef/jobRef quando applicabile) e permitted detail level.</w:t>
      </w:r>
    </w:p>
    <w:p>
      <w:pPr>
        <w:pStyle w:val="ListBullet"/>
      </w:pPr>
      <w:r>
        <w:t>Una denial non può essere trasformata dal MCP in “nessun incidente”: il protocollo deve preservare NOT_AUTHORIZED/REDACTED semantics.</w:t>
      </w:r>
    </w:p>
    <w:p>
      <w:pPr>
        <w:pStyle w:val="ListBullet"/>
      </w:pPr>
      <w:r>
        <w:t>visibilityClass minima: PUBLIC_OPERATIONAL, TENANT_OPERATIONAL, RESTRICTED_OPERATIONAL, SECURITY_SENSITIVE.</w:t>
      </w:r>
    </w:p>
    <w:p>
      <w:pPr>
        <w:pStyle w:val="ListBullet"/>
      </w:pPr>
      <w:r>
        <w:t>SECURITY_SENSITIVE richiede policy esplicita e, quando contiene dati personali o operazioni protette, accesso THS/HUMAN_USER conforme al PET.</w:t>
      </w:r>
    </w:p>
    <w:p>
      <w:pPr>
        <w:pStyle w:val="ListBullet"/>
      </w:pPr>
      <w:r>
        <w:t>Nessuna capability operational-awareness consente secret material, token, password, private key o raw credential disclosure.</w:t>
      </w:r>
    </w:p>
    <w:p>
      <w:pPr>
        <w:pStyle w:val="Heading2"/>
      </w:pPr>
      <w:r>
        <w:t>34.3 Authorization evidence</w:t>
      </w:r>
    </w:p>
    <w:p>
      <w:pPr>
        <w:pStyle w:val="ListBullet"/>
      </w:pPr>
      <w:r>
        <w:t>Ogni query MCP operational-awareness deve essere correlabile a authentication_context_ref e authorization_decision_ref.</w:t>
      </w:r>
    </w:p>
    <w:p>
      <w:pPr>
        <w:pStyle w:val="ListBullet"/>
      </w:pPr>
      <w:r>
        <w:t>Il producer può filtrare ulteriormente i dati sulla base del backend owner enforcement; Gateway coarse authorization non sostituisce il controllo fine-grained.</w:t>
      </w:r>
    </w:p>
    <w:p>
      <w:pPr>
        <w:pStyle w:val="ListBullet"/>
      </w:pPr>
      <w:r>
        <w:t>La redaction decision deve essere auditabile senza registrare il dato segreto rimosso.</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17" w:right="1417" w:bottom="1247" w:left="141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Comune di Trieste — Open Urban Framework | Authorization &amp; Access Control | v1.5</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494"/>
      <w:gridCol w:w="4082"/>
      <w:gridCol w:w="2494"/>
    </w:tblGrid>
    <w:tr>
      <w:tc>
        <w:tcPr>
          <w:tcW w:type="dxa" w:w="3024"/>
          <w:tcBorders>
            <w:bottom w:val="single" w:sz="8" w:color="0B4F6C"/>
          </w:tcBorders>
        </w:tcPr>
        <w:p>
          <w:pPr>
            <w:jc w:val="left"/>
          </w:pPr>
          <w:r>
            <w:rPr>
              <w:rFonts w:ascii="Noto Sans" w:hAnsi="Noto Sans" w:eastAsia="Noto Sans"/>
            </w:rPr>
          </w:r>
        </w:p>
      </w:tc>
      <w:tc>
        <w:tcPr>
          <w:tcW w:type="dxa" w:w="3024"/>
          <w:tcBorders>
            <w:bottom w:val="single" w:sz="8" w:color="0B4F6C"/>
          </w:tcBorders>
        </w:tcPr>
        <w:p>
          <w:r>
            <w:t>AUTHORIZATION &amp; ACCESS CONTROL</w:t>
            <w:br/>
            <w:t>v1.5 — Settembre 2026</w:t>
          </w:r>
        </w:p>
      </w:tc>
      <w:tc>
        <w:tcPr>
          <w:tcW w:type="dxa" w:w="3024"/>
          <w:tcBorders>
            <w:bottom w:val="single" w:sz="8" w:color="0B4F6C"/>
          </w:tcBorders>
        </w:tcPr>
        <w:p>
          <w:r>
            <w:t>Versione: 1.5</w:t>
            <w:br/>
            <w:t>Data: Settembre 2026</w:t>
            <w:br/>
            <w:t xml:space="preserve">Pagina: </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oto Sans" w:hAnsi="Noto Sans" w:eastAsia="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w:hAnsi="Noto Sans" w:eastAsia="Noto San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w:hAnsi="Noto Sans" w:eastAsia="Noto San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Noto Sans" w:hAnsi="Noto Sans" w:eastAsia="Noto Sans"/>
      <w:b/>
      <w:bCs/>
      <w:color w:val="0B4F6C"/>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w:hAnsi="Noto Sans" w:eastAsia="Noto Sans"/>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w:hAnsi="Noto Sans" w:eastAsia="Noto Sans"/>
      <w:b/>
      <w:bCs/>
      <w:color w:val="0B4F6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w:hAnsi="Noto Sans" w:eastAsia="Not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w:hAnsi="Noto Sans" w:eastAsia="Not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w:hAnsi="Noto Sans" w:eastAsia="Not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w:hAnsi="Noto Sans" w:eastAsia="Not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w:hAnsi="Noto Sans" w:eastAsia="Not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w:hAnsi="Noto Sans" w:eastAsia="Noto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w:hAnsi="Noto Sans" w:eastAsia="Not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w:hAnsi="Noto Sans" w:eastAsia="Noto Sans"/>
    </w:rPr>
  </w:style>
  <w:style w:type="paragraph" w:styleId="BodyText">
    <w:name w:val="Body Text"/>
    <w:basedOn w:val="Normal"/>
    <w:link w:val="BodyTextChar"/>
    <w:uiPriority w:val="99"/>
    <w:unhideWhenUsed/>
    <w:rsid w:val="00AA1D8D"/>
    <w:pPr>
      <w:spacing w:after="120"/>
    </w:pPr>
    <w:rPr>
      <w:rFonts w:ascii="Noto Sans" w:hAnsi="Noto Sans" w:eastAsia="Noto San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oto Sans" w:hAnsi="Noto Sans" w:eastAsia="Noto San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Noto Sans" w:hAnsi="Noto Sans" w:eastAsia="Noto San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Noto Sans" w:hAnsi="Noto Sans" w:eastAsia="Noto Sans"/>
    </w:rPr>
  </w:style>
  <w:style w:type="paragraph" w:styleId="List2">
    <w:name w:val="List 2"/>
    <w:basedOn w:val="Normal"/>
    <w:uiPriority w:val="99"/>
    <w:unhideWhenUsed/>
    <w:rsid w:val="00326F90"/>
    <w:pPr>
      <w:ind w:left="720" w:hanging="360"/>
      <w:contextualSpacing/>
    </w:pPr>
    <w:rPr>
      <w:rFonts w:ascii="Noto Sans" w:hAnsi="Noto Sans" w:eastAsia="Noto Sans"/>
    </w:rPr>
  </w:style>
  <w:style w:type="paragraph" w:styleId="List3">
    <w:name w:val="List 3"/>
    <w:basedOn w:val="Normal"/>
    <w:uiPriority w:val="99"/>
    <w:unhideWhenUsed/>
    <w:rsid w:val="00326F90"/>
    <w:pPr>
      <w:ind w:left="1080" w:hanging="360"/>
      <w:contextualSpacing/>
    </w:pPr>
    <w:rPr>
      <w:rFonts w:ascii="Noto Sans" w:hAnsi="Noto Sans" w:eastAsia="Noto Sans"/>
    </w:rPr>
  </w:style>
  <w:style w:type="paragraph" w:styleId="ListBullet">
    <w:name w:val="List Bullet"/>
    <w:basedOn w:val="Normal"/>
    <w:uiPriority w:val="99"/>
    <w:unhideWhenUsed/>
    <w:rsid w:val="00326F90"/>
    <w:pPr>
      <w:numPr>
        <w:numId w:val="1"/>
      </w:numPr>
      <w:contextualSpacing/>
    </w:pPr>
    <w:rPr>
      <w:rFonts w:ascii="Noto Sans" w:hAnsi="Noto Sans" w:eastAsia="Noto Sans"/>
    </w:rPr>
  </w:style>
  <w:style w:type="paragraph" w:styleId="ListBullet2">
    <w:name w:val="List Bullet 2"/>
    <w:basedOn w:val="Normal"/>
    <w:uiPriority w:val="99"/>
    <w:unhideWhenUsed/>
    <w:rsid w:val="00326F90"/>
    <w:pPr>
      <w:numPr>
        <w:numId w:val="2"/>
      </w:numPr>
      <w:contextualSpacing/>
    </w:pPr>
    <w:rPr>
      <w:rFonts w:ascii="Noto Sans" w:hAnsi="Noto Sans" w:eastAsia="Noto Sans"/>
    </w:rPr>
  </w:style>
  <w:style w:type="paragraph" w:styleId="ListBullet3">
    <w:name w:val="List Bullet 3"/>
    <w:basedOn w:val="Normal"/>
    <w:uiPriority w:val="99"/>
    <w:unhideWhenUsed/>
    <w:rsid w:val="00326F90"/>
    <w:pPr>
      <w:numPr>
        <w:numId w:val="3"/>
      </w:numPr>
      <w:contextualSpacing/>
    </w:pPr>
    <w:rPr>
      <w:rFonts w:ascii="Noto Sans" w:hAnsi="Noto Sans" w:eastAsia="Noto Sans"/>
    </w:rPr>
  </w:style>
  <w:style w:type="paragraph" w:styleId="ListNumber">
    <w:name w:val="List Number"/>
    <w:basedOn w:val="Normal"/>
    <w:uiPriority w:val="99"/>
    <w:unhideWhenUsed/>
    <w:rsid w:val="00326F90"/>
    <w:pPr>
      <w:numPr>
        <w:numId w:val="5"/>
      </w:numPr>
      <w:contextualSpacing/>
    </w:pPr>
    <w:rPr>
      <w:rFonts w:ascii="Noto Sans" w:hAnsi="Noto Sans" w:eastAsia="Noto Sans"/>
    </w:rPr>
  </w:style>
  <w:style w:type="paragraph" w:styleId="ListNumber2">
    <w:name w:val="List Number 2"/>
    <w:basedOn w:val="Normal"/>
    <w:uiPriority w:val="99"/>
    <w:unhideWhenUsed/>
    <w:rsid w:val="0029639D"/>
    <w:pPr>
      <w:numPr>
        <w:numId w:val="6"/>
      </w:numPr>
      <w:contextualSpacing/>
    </w:pPr>
    <w:rPr>
      <w:rFonts w:ascii="Noto Sans" w:hAnsi="Noto Sans" w:eastAsia="Noto Sans"/>
    </w:rPr>
  </w:style>
  <w:style w:type="paragraph" w:styleId="ListNumber3">
    <w:name w:val="List Number 3"/>
    <w:basedOn w:val="Normal"/>
    <w:uiPriority w:val="99"/>
    <w:unhideWhenUsed/>
    <w:rsid w:val="0029639D"/>
    <w:pPr>
      <w:numPr>
        <w:numId w:val="7"/>
      </w:numPr>
      <w:contextualSpacing/>
    </w:pPr>
    <w:rPr>
      <w:rFonts w:ascii="Noto Sans" w:hAnsi="Noto Sans" w:eastAsia="Noto Sans"/>
    </w:rPr>
  </w:style>
  <w:style w:type="paragraph" w:styleId="ListContinue">
    <w:name w:val="List Continue"/>
    <w:basedOn w:val="Normal"/>
    <w:uiPriority w:val="99"/>
    <w:unhideWhenUsed/>
    <w:rsid w:val="0029639D"/>
    <w:pPr>
      <w:spacing w:after="120"/>
      <w:ind w:left="360"/>
      <w:contextualSpacing/>
    </w:pPr>
    <w:rPr>
      <w:rFonts w:ascii="Noto Sans" w:hAnsi="Noto Sans" w:eastAsia="Noto Sans"/>
    </w:rPr>
  </w:style>
  <w:style w:type="paragraph" w:styleId="ListContinue2">
    <w:name w:val="List Continue 2"/>
    <w:basedOn w:val="Normal"/>
    <w:uiPriority w:val="99"/>
    <w:unhideWhenUsed/>
    <w:rsid w:val="0029639D"/>
    <w:pPr>
      <w:spacing w:after="120"/>
      <w:ind w:left="720"/>
      <w:contextualSpacing/>
    </w:pPr>
    <w:rPr>
      <w:rFonts w:ascii="Noto Sans" w:hAnsi="Noto Sans" w:eastAsia="Noto Sans"/>
    </w:rPr>
  </w:style>
  <w:style w:type="paragraph" w:styleId="ListContinue3">
    <w:name w:val="List Continue 3"/>
    <w:basedOn w:val="Normal"/>
    <w:uiPriority w:val="99"/>
    <w:unhideWhenUsed/>
    <w:rsid w:val="0029639D"/>
    <w:pPr>
      <w:spacing w:after="120"/>
      <w:ind w:left="1080"/>
      <w:contextualSpacing/>
    </w:pPr>
    <w:rPr>
      <w:rFonts w:ascii="Noto Sans" w:hAnsi="Noto Sans" w:eastAsia="Not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w:hAnsi="Noto Sans" w:eastAsia="Noto San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w:hAnsi="Noto Sans" w:eastAsia="Noto San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eastAsia="Noto San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w:hAnsi="Noto Sans" w:eastAsia="Noto San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w:hAnsi="Noto Sans" w:eastAsia="Noto San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227" w:right="227"/>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OUF — Authorization &amp; Access Control Specification v1.2</dc:title>
  <dc:subject>Implementation readiness alignment using OUF Ingestion Runtime as gold standard</dc:subject>
  <dc:creator>Comune di Trieste — Open Urban Framework</dc:creator>
  <cp:keywords>OUF, Authorization, Access Control, IAM, Keycloak, EVO, RBAC, ABAC, MCP, AI, governance</cp:keywords>
  <dc:description>generated by python-docx</dc:description>
  <cp:lastModifiedBy/>
  <cp:revision>1</cp:revision>
  <dcterms:created xsi:type="dcterms:W3CDTF">2013-12-23T23:15:00Z</dcterms:created>
  <dcterms:modified xsi:type="dcterms:W3CDTF">2013-12-23T23:15:00Z</dcterms:modified>
  <cp:category/>
</cp:coreProperties>
</file>