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" w:hAnsi="Noto Sans" w:eastAsia="Noto Sans"/>
          <w:b/>
          <w:color w:val="16324F"/>
          <w:sz w:val="22"/>
        </w:rPr>
        <w:t>OPEN URBAN FRAMEWORK (OUF)</w:t>
      </w:r>
    </w:p>
    <w:p>
      <w:pPr>
        <w:jc w:val="center"/>
      </w:pPr>
      <w:r>
        <w:rPr>
          <w:rFonts w:ascii="Noto Sans" w:hAnsi="Noto Sans" w:eastAsia="Noto Sans"/>
          <w:b/>
          <w:color w:val="16324F"/>
          <w:sz w:val="38"/>
        </w:rPr>
        <w:t>NORMATIVE TERMINOLOGY &amp; SUPERSESSION NOTICE</w:t>
      </w:r>
    </w:p>
    <w:p>
      <w:pPr>
        <w:jc w:val="center"/>
      </w:pPr>
      <w:r>
        <w:rPr>
          <w:rFonts w:ascii="Noto Sans" w:hAnsi="Noto Sans" w:eastAsia="Noto Sans"/>
          <w:b w:val="0"/>
          <w:color w:val="486581"/>
          <w:sz w:val="20"/>
        </w:rPr>
        <w:t>Cross-document terminology authority for the coherence-aligned baseline</w:t>
      </w:r>
    </w:p>
    <w:p>
      <w:pPr>
        <w:jc w:val="center"/>
      </w:pPr>
      <w:r>
        <w:rPr>
          <w:rFonts w:ascii="Noto Sans" w:hAnsi="Noto Sans" w:eastAsia="Noto Sans"/>
          <w:b/>
          <w:color w:val="6B1F1F"/>
          <w:sz w:val="18"/>
        </w:rPr>
        <w:t>Versione 1.1 — Settembre 2026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tblHeader w:val="true"/>
        </w:trPr>
        <w:tc>
          <w:tcPr>
            <w:tcW w:type="dxa" w:w="10086"/>
            <w:shd w:fill="EAF2F8"/>
          </w:tcPr>
          <w:p>
            <w:r>
              <w:rPr>
                <w:rFonts w:ascii="Noto Sans" w:hAnsi="Noto Sans" w:eastAsia="Noto Sans"/>
                <w:b/>
                <w:color w:val="16324F"/>
                <w:sz w:val="18"/>
              </w:rPr>
              <w:t>This notice is normative for terminology only. It does not change bounded-context ownership or contract semantics.</w:t>
            </w:r>
          </w:p>
        </w:tc>
      </w:tr>
    </w:tbl>
    <w:p>
      <w:pPr>
        <w:pStyle w:val="Heading1"/>
      </w:pPr>
      <w:r>
        <w:rPr>
          <w:rFonts w:ascii="Noto Sans" w:hAnsi="Noto Sans" w:eastAsia="Noto Sans"/>
        </w:rPr>
        <w:t>1. Canonical terminology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2F5D7E"/>
            <w:vAlign w:val="center"/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Canonical term</w:t>
            </w:r>
          </w:p>
        </w:tc>
        <w:tc>
          <w:tcPr>
            <w:tcW w:type="dxa" w:w="3362"/>
            <w:shd w:fill="2F5D7E"/>
            <w:vAlign w:val="center"/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362"/>
            <w:shd w:fill="2F5D7E"/>
            <w:vAlign w:val="center"/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Deprecated/legacy term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Noto Sans" w:hAnsi="Noto Sans" w:eastAsia="Noto Sans"/>
                <w:b w:val="0"/>
                <w:sz w:val="16"/>
              </w:rPr>
              <w:t>Trusted Human Surface (THS)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Noto Sans" w:hAnsi="Noto Sans" w:eastAsia="Noto Sans"/>
                <w:b w:val="0"/>
                <w:sz w:val="16"/>
              </w:rPr>
              <w:t>Logical common OUF human trust boundary co-located in the Source Onboarding/Configuration physical deployable.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Noto Sans" w:hAnsi="Noto Sans" w:eastAsia="Noto Sans"/>
                <w:b w:val="0"/>
                <w:sz w:val="16"/>
              </w:rPr>
              <w:t>Trusted Approval Surface (when used as umbrella term)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Noto Sans" w:hAnsi="Noto Sans" w:eastAsia="Noto Sans"/>
                <w:b w:val="0"/>
                <w:sz w:val="16"/>
              </w:rPr>
              <w:t>Trusted Approval Workspace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Noto Sans" w:hAnsi="Noto Sans" w:eastAsia="Noto Sans"/>
                <w:b w:val="0"/>
                <w:sz w:val="16"/>
              </w:rPr>
              <w:t>THS bounded context for HUMAN_REQUIRED authoritative decisions.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Noto Sans" w:hAnsi="Noto Sans" w:eastAsia="Noto Sans"/>
                <w:b w:val="0"/>
                <w:sz w:val="16"/>
              </w:rPr>
              <w:t>Trusted Approval Surface / TAS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Noto Sans" w:hAnsi="Noto Sans" w:eastAsia="Noto Sans"/>
                <w:b w:val="0"/>
                <w:sz w:val="16"/>
              </w:rPr>
              <w:t>Protected Operations Workspace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Noto Sans" w:hAnsi="Noto Sans" w:eastAsia="Noto Sans"/>
                <w:b w:val="0"/>
                <w:sz w:val="16"/>
              </w:rPr>
              <w:t>THS bounded context for protected log/data operations performed only with HUMAN_USER.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Noto Sans" w:hAnsi="Noto Sans" w:eastAsia="Noto Sans"/>
                <w:b w:val="0"/>
                <w:sz w:val="16"/>
              </w:rPr>
              <w:t>No MCP equivalent; no fourth mcpClass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Noto Sans" w:hAnsi="Noto Sans" w:eastAsia="Noto Sans"/>
                <w:b w:val="0"/>
                <w:sz w:val="16"/>
              </w:rPr>
              <w:t>MCP Server v1.1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Noto Sans" w:hAnsi="Noto Sans" w:eastAsia="Noto Sans"/>
                <w:b w:val="0"/>
                <w:sz w:val="16"/>
              </w:rPr>
              <w:t>Governed typed capability boundary for external MCP/AI clients.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Noto Sans" w:hAnsi="Noto Sans" w:eastAsia="Noto Sans"/>
                <w:b w:val="0"/>
                <w:sz w:val="16"/>
              </w:rPr>
              <w:t>MCP Server / Agent Host; future Agent Host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Noto Sans" w:hAnsi="Noto Sans" w:eastAsia="Noto Sans"/>
                <w:b w:val="0"/>
                <w:sz w:val="16"/>
              </w:rPr>
              <w:t>External AI Agent / MCP Client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Noto Sans" w:hAnsi="Noto Sans" w:eastAsia="Noto Sans"/>
                <w:b w:val="0"/>
                <w:sz w:val="16"/>
              </w:rPr>
              <w:t>Consumer-side model/agent runtime outside OUF.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Noto Sans" w:hAnsi="Noto Sans" w:eastAsia="Noto Sans"/>
                <w:b w:val="0"/>
                <w:sz w:val="16"/>
              </w:rPr>
              <w:t>Internal Agent Host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Noto Sans" w:hAnsi="Noto Sans" w:eastAsia="Noto Sans"/>
                <w:b w:val="0"/>
                <w:sz w:val="16"/>
              </w:rPr>
              <w:t>OUF-E2E-###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Noto Sans" w:hAnsi="Noto Sans" w:eastAsia="Noto Sans"/>
                <w:b w:val="0"/>
                <w:sz w:val="16"/>
              </w:rPr>
              <w:t>Canonical cross-module acceptance scenario namespace.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Noto Sans" w:hAnsi="Noto Sans" w:eastAsia="Noto Sans"/>
                <w:b w:val="0"/>
                <w:sz w:val="16"/>
              </w:rPr>
              <w:t>Blueprint v0.1 E2E-##; E2E v0.1 E2E-## as new evidence IDs</w:t>
            </w:r>
          </w:p>
        </w:tc>
      </w:tr>
    </w:tbl>
    <w:p>
      <w:pPr>
        <w:pStyle w:val="Heading1"/>
      </w:pPr>
      <w:r>
        <w:rPr>
          <w:rFonts w:ascii="Noto Sans" w:hAnsi="Noto Sans" w:eastAsia="Noto Sans"/>
        </w:rPr>
        <w:t>2. Supersession rules</w:t>
      </w:r>
    </w:p>
    <w:p>
      <w:pPr>
        <w:pStyle w:val="ListBullet"/>
      </w:pPr>
      <w:r>
        <w:rPr>
          <w:rFonts w:ascii="Noto Sans" w:hAnsi="Noto Sans" w:eastAsia="Noto Sans"/>
          <w:b w:val="0"/>
          <w:sz w:val="18"/>
        </w:rPr>
        <w:t>Any remaining phrase “Trusted Approval Surface” in older PETs is interpreted as Trusted Approval Workspace when it denotes HUMAN_REQUIRED approval, unless the local historical context explicitly describes the former umbrella label.</w:t>
      </w:r>
    </w:p>
    <w:p>
      <w:pPr>
        <w:pStyle w:val="ListBullet"/>
      </w:pPr>
      <w:r>
        <w:rPr>
          <w:rFonts w:ascii="Noto Sans" w:hAnsi="Noto Sans" w:eastAsia="Noto Sans"/>
          <w:b w:val="0"/>
          <w:sz w:val="18"/>
        </w:rPr>
        <w:t>Any remaining “Agent Host” wording is historical/deprecated and does not define an OUF runtime component. MCP Server v1.1 is the only OUF MCP capability-boundary deployable; model/agent runtimes are external consumers.</w:t>
      </w:r>
    </w:p>
    <w:p>
      <w:pPr>
        <w:pStyle w:val="ListBullet"/>
      </w:pPr>
      <w:r>
        <w:rPr>
          <w:rFonts w:ascii="Noto Sans" w:hAnsi="Noto Sans" w:eastAsia="Noto Sans"/>
          <w:b w:val="0"/>
          <w:sz w:val="18"/>
        </w:rPr>
        <w:t>Protected Human Operations never become MCP/OUF capabilities and are not represented by a fourth mcpClass.</w:t>
      </w:r>
    </w:p>
    <w:p>
      <w:pPr>
        <w:pStyle w:val="ListBullet"/>
      </w:pPr>
      <w:r>
        <w:rPr>
          <w:rFonts w:ascii="Noto Sans" w:hAnsi="Noto Sans" w:eastAsia="Noto Sans"/>
          <w:b w:val="0"/>
          <w:sz w:val="18"/>
        </w:rPr>
        <w:t>New acceptance evidence must use OUF-E2E-### identifiers and the E2E v0.3 mapping for historical references.</w:t>
      </w:r>
    </w:p>
    <w:p>
      <w:pPr>
        <w:pStyle w:val="ListBullet"/>
      </w:pPr>
      <w:r>
        <w:rPr>
          <w:rFonts w:ascii="Noto Sans" w:hAnsi="Noto Sans" w:eastAsia="Noto Sans"/>
          <w:b w:val="0"/>
          <w:sz w:val="18"/>
        </w:rPr>
        <w:t>This notice has terminology precedence over older narrative text but never over machine-readable contract field semantics.</w:t>
      </w:r>
    </w:p>
    <w:p>
      <w:pPr>
        <w:pStyle w:val="Heading1"/>
        <w:pageBreakBefore/>
      </w:pPr>
      <w:r>
        <w:rPr>
          <w:rFonts w:ascii="Noto Sans" w:hAnsi="Noto Sans" w:eastAsia="Noto Sans"/>
        </w:rPr>
        <w:t>3. Documents affected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2F5D7E"/>
            <w:vAlign w:val="center"/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Document family</w:t>
            </w:r>
          </w:p>
        </w:tc>
        <w:tc>
          <w:tcPr>
            <w:tcW w:type="dxa" w:w="5043"/>
            <w:shd w:fill="2F5D7E"/>
            <w:vAlign w:val="center"/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Treatment</w:t>
            </w:r>
          </w:p>
        </w:tc>
      </w:tr>
      <w:tr>
        <w:tc>
          <w:tcPr>
            <w:tcW w:type="dxa" w:w="5043"/>
            <w:vAlign w:val="top"/>
          </w:tcPr>
          <w:p>
            <w:r>
              <w:rPr>
                <w:rFonts w:ascii="Noto Sans" w:hAnsi="Noto Sans" w:eastAsia="Noto Sans"/>
                <w:b w:val="0"/>
                <w:sz w:val="16"/>
              </w:rPr>
              <w:t>UDP/Ingestion/Semantic/Authorization/Gateway Development Ready PETs</w:t>
            </w:r>
          </w:p>
        </w:tc>
        <w:tc>
          <w:tcPr>
            <w:tcW w:type="dxa" w:w="5043"/>
            <w:vAlign w:val="top"/>
          </w:tcPr>
          <w:p>
            <w:r>
              <w:rPr>
                <w:rFonts w:ascii="Noto Sans" w:hAnsi="Noto Sans" w:eastAsia="Noto Sans"/>
                <w:b w:val="0"/>
                <w:sz w:val="16"/>
              </w:rPr>
              <w:t>Legacy terminology is superseded by this notice; next editorial revision should normalize wording without semantic change.</w:t>
            </w:r>
          </w:p>
        </w:tc>
      </w:tr>
      <w:tr>
        <w:tc>
          <w:tcPr>
            <w:tcW w:type="dxa" w:w="5043"/>
            <w:vAlign w:val="top"/>
          </w:tcPr>
          <w:p>
            <w:r>
              <w:rPr>
                <w:rFonts w:ascii="Noto Sans" w:hAnsi="Noto Sans" w:eastAsia="Noto Sans"/>
              </w:rPr>
              <w:t>Cross-Module Alignment Matrix v1.3</w:t>
            </w:r>
          </w:p>
        </w:tc>
        <w:tc>
          <w:tcPr>
            <w:tcW w:type="dxa" w:w="5043"/>
            <w:vAlign w:val="top"/>
          </w:tcPr>
          <w:p>
            <w:r>
              <w:rPr>
                <w:rFonts w:ascii="Noto Sans" w:hAnsi="Noto Sans" w:eastAsia="Noto Sans"/>
              </w:rPr>
              <w:t>Superseded on execution-artifact references by Matrix v1.4; terminology and E2E semantics are unchanged.</w:t>
            </w:r>
          </w:p>
        </w:tc>
      </w:tr>
      <w:tr>
        <w:tc>
          <w:tcPr>
            <w:tcW w:type="dxa" w:w="5043"/>
            <w:vAlign w:val="top"/>
          </w:tcPr>
          <w:p>
            <w:r>
              <w:rPr>
                <w:rFonts w:ascii="Noto Sans" w:hAnsi="Noto Sans" w:eastAsia="Noto Sans"/>
              </w:rPr>
              <w:t>Blueprint v0.2</w:t>
            </w:r>
          </w:p>
        </w:tc>
        <w:tc>
          <w:tcPr>
            <w:tcW w:type="dxa" w:w="5043"/>
            <w:vAlign w:val="top"/>
          </w:tcPr>
          <w:p>
            <w:r>
              <w:rPr>
                <w:rFonts w:ascii="Noto Sans" w:hAnsi="Noto Sans" w:eastAsia="Noto Sans"/>
              </w:rPr>
              <w:t>Superseded on execution-artifact references by Blueprint v0.3; bounded-context semantics are unchanged.</w:t>
            </w:r>
          </w:p>
        </w:tc>
      </w:tr>
      <w:tr>
        <w:tc>
          <w:tcPr>
            <w:tcW w:type="dxa" w:w="5043"/>
            <w:vAlign w:val="top"/>
          </w:tcPr>
          <w:p>
            <w:r>
              <w:rPr>
                <w:rFonts w:ascii="Noto Sans" w:hAnsi="Noto Sans" w:eastAsia="Noto Sans"/>
              </w:rPr>
              <w:t>Final Readiness Matrix v1.1</w:t>
            </w:r>
          </w:p>
        </w:tc>
        <w:tc>
          <w:tcPr>
            <w:tcW w:type="dxa" w:w="5043"/>
            <w:vAlign w:val="top"/>
          </w:tcPr>
          <w:p>
            <w:r>
              <w:rPr>
                <w:rFonts w:ascii="Noto Sans" w:hAnsi="Noto Sans" w:eastAsia="Noto Sans"/>
              </w:rPr>
              <w:t>Superseded by v1.2.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eastAsia="Noto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" w:hAnsi="Noto Sans" w:eastAsia="Noto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" w:hAnsi="Noto Sans" w:eastAsia="Noto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" w:hAnsi="Noto Sans" w:eastAsia="Noto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" w:hAnsi="Noto Sans" w:eastAsia="Noto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 w:eastAsia="Noto San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 w:eastAsia="Noto San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 w:eastAsia="Noto San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" w:hAnsi="Noto Sans" w:eastAsia="Noto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" w:hAnsi="Noto Sans" w:eastAsia="Noto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" w:hAnsi="Noto Sans" w:eastAsia="Noto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" w:hAnsi="Noto Sans" w:eastAsia="Noto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" w:hAnsi="Noto Sans" w:eastAsia="Noto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" w:hAnsi="Noto Sans" w:eastAsia="Noto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" w:hAnsi="Noto Sans" w:eastAsia="Noto Sans"/>
    </w:rPr>
  </w:style>
  <w:style w:type="table" w:default="1" w:styleId="TableNormal">
    <w:name w:val="Normal Table"/>
    <w:uiPriority w:val="99"/>
    <w:semiHidden/>
    <w:unhideWhenUsed/>
    <w:rPr>
      <w:rFonts w:ascii="Noto Sans" w:hAnsi="Noto Sans" w:eastAsia="Noto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" w:hAnsi="Noto Sans" w:eastAsia="Noto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" w:hAnsi="Noto Sans" w:eastAsia="Noto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" w:hAnsi="Noto Sans" w:eastAsia="Noto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" w:hAnsi="Noto Sans" w:eastAsia="Noto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 w:eastAsia="Noto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" w:hAnsi="Noto Sans" w:eastAsia="Noto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" w:hAnsi="Noto Sans" w:eastAsia="Noto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" w:hAnsi="Noto Sans" w:eastAsia="Noto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" w:hAnsi="Noto Sans" w:eastAsia="Noto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" w:hAnsi="Noto Sans" w:eastAsia="Noto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" w:hAnsi="Noto Sans" w:eastAsia="Noto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" w:hAnsi="Noto Sans" w:eastAsia="Noto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" w:hAnsi="Noto Sans" w:eastAsia="Noto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" w:hAnsi="Noto Sans" w:eastAsia="Noto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" w:hAnsi="Noto Sans" w:eastAsia="Noto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" w:hAnsi="Noto Sans" w:eastAsia="Noto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" w:hAnsi="Noto Sans" w:eastAsia="Noto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" w:hAnsi="Noto Sans" w:eastAsia="Noto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" w:hAnsi="Noto Sans" w:eastAsia="Noto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" w:hAnsi="Noto Sans" w:eastAsia="Noto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" w:hAnsi="Noto Sans" w:eastAsia="Noto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" w:hAnsi="Noto Sans" w:eastAsia="Noto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" w:hAnsi="Noto Sans" w:eastAsia="Noto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" w:hAnsi="Noto Sans" w:eastAsia="Noto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" w:hAnsi="Noto Sans" w:eastAsia="Noto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" w:hAnsi="Noto Sans" w:eastAsia="Noto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" w:hAnsi="Noto Sans" w:eastAsia="Noto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" w:hAnsi="Noto Sans" w:eastAsia="Noto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" w:hAnsi="Noto Sans" w:eastAsia="Noto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" w:hAnsi="Noto Sans" w:eastAsia="Noto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" w:hAnsi="Noto Sans" w:eastAsia="Noto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" w:hAnsi="Noto Sans" w:eastAsia="Noto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" w:hAnsi="Noto Sans" w:eastAsia="Noto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" w:hAnsi="Noto Sans" w:eastAsia="Noto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" w:hAnsi="Noto Sans" w:eastAsia="Noto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" w:hAnsi="Noto Sans" w:eastAsia="Noto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" w:hAnsi="Noto Sans" w:eastAsia="Noto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" w:hAnsi="Noto Sans" w:eastAsia="Noto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" w:hAnsi="Noto Sans" w:eastAsia="Noto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" w:hAnsi="Noto Sans" w:eastAsia="Noto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" w:hAnsi="Noto Sans" w:eastAsia="Noto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" w:hAnsi="Noto Sans" w:eastAsia="Noto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" w:hAnsi="Noto Sans" w:eastAsia="Noto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" w:hAnsi="Noto Sans" w:eastAsia="Noto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" w:hAnsi="Noto Sans" w:eastAsia="Noto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" w:hAnsi="Noto Sans" w:eastAsia="Noto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" w:hAnsi="Noto Sans" w:eastAsia="Noto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" w:hAnsi="Noto Sans" w:eastAsia="Noto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" w:hAnsi="Noto Sans" w:eastAsia="Noto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" w:hAnsi="Noto Sans" w:eastAsia="Noto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" w:hAnsi="Noto Sans" w:eastAsia="Noto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" w:hAnsi="Noto Sans" w:eastAsia="Noto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" w:hAnsi="Noto Sans" w:eastAsia="Noto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" w:hAnsi="Noto Sans" w:eastAsia="Noto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" w:hAnsi="Noto Sans" w:eastAsia="Noto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" w:hAnsi="Noto Sans" w:eastAsia="Noto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" w:hAnsi="Noto Sans" w:eastAsia="Noto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" w:hAnsi="Noto Sans" w:eastAsia="Noto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" w:hAnsi="Noto Sans" w:eastAsia="Noto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" w:hAnsi="Noto Sans" w:eastAsia="Noto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" w:hAnsi="Noto Sans" w:eastAsia="Noto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" w:hAnsi="Noto Sans" w:eastAsia="Noto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" w:hAnsi="Noto Sans" w:eastAsia="Noto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