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" w:hAnsi="Noto Sans" w:eastAsia="Noto Sans"/>
        </w:rPr>
      </w:r>
    </w:p>
    <w:p>
      <w:pPr>
        <w:jc w:val="center"/>
      </w:pPr>
      <w:r>
        <w:rPr>
          <w:rFonts w:ascii="Noto Sans" w:hAnsi="Noto Sans" w:eastAsia="Noto Sans"/>
          <w:b/>
          <w:color w:val="12356B"/>
          <w:sz w:val="48"/>
        </w:rPr>
        <w:t>OPEN URBAN FRAMEWORK (OUF)</w:t>
      </w:r>
    </w:p>
    <w:p>
      <w:pPr>
        <w:jc w:val="center"/>
      </w:pPr>
      <w:r>
        <w:rPr>
          <w:rFonts w:ascii="Noto Sans" w:hAnsi="Noto Sans" w:eastAsia="Noto Sans"/>
          <w:b/>
          <w:color w:val="0B4F6C"/>
          <w:sz w:val="28"/>
        </w:rPr>
        <w:t>PROGETTO ESECUTIVO TECNOLOGICO</w:t>
      </w:r>
    </w:p>
    <w:p>
      <w:pPr>
        <w:jc w:val="center"/>
      </w:pPr>
      <w:r>
        <w:rPr>
          <w:rFonts w:ascii="Noto Sans" w:hAnsi="Noto Sans" w:eastAsia="Noto Sans"/>
          <w:b/>
          <w:color w:val="12356B"/>
          <w:sz w:val="36"/>
        </w:rPr>
        <w:t>DATA LAKE, URBAN DATA PLATFORM &amp; URBAN OBJECT REGISTRY</w:t>
      </w:r>
    </w:p>
    <w:p>
      <w:pPr>
        <w:jc w:val="center"/>
      </w:pPr>
      <w:r>
        <w:t>v1.3 — Implementation Readiness Consolidation / DEVELOPMENT READY</w:t>
      </w:r>
    </w:p>
    <w:p>
      <w:pPr/>
      <w:r>
        <w:rPr>
          <w:rFonts w:ascii="Noto Sans" w:hAnsi="Noto Sans" w:eastAsia="Noto Sans"/>
          <w:sz w:val="18"/>
        </w:rPr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color="D9E2F3"/>
          <w:left w:val="single" w:sz="6" w:color="D9E2F3"/>
          <w:bottom w:val="single" w:sz="6" w:color="D9E2F3"/>
          <w:right w:val="single" w:sz="6" w:color="D9E2F3"/>
          <w:insideH w:val="single" w:sz="6" w:color="D9E2F3"/>
          <w:insideV w:val="single" w:sz="6" w:color="D9E2F3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b/>
                <w:sz w:val="17"/>
              </w:rPr>
              <w:t>Versione documento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r>
              <w:rPr>
                <w:rFonts w:ascii="Noto Sans" w:hAnsi="Noto Sans"/>
                <w:sz w:val="17"/>
              </w:rPr>
              <w:t>1.2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b/>
                <w:sz w:val="17"/>
              </w:rPr>
              <w:t>Data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Settembre 2026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b/>
                <w:sz w:val="17"/>
              </w:rPr>
              <w:t>Stato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EXECUTIVE TECHNOLOGICAL BASELINE — READY FOR IMPLEMENTATION &amp; ACCEPTANCE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b/>
                <w:sz w:val="17"/>
              </w:rPr>
              <w:t>Perimetro fisico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Data Lake + Urban Data Platform + Urban Object Registry in un unico modulo fisico iniziale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b/>
                <w:sz w:val="17"/>
              </w:rPr>
              <w:t>Baseline tecnologica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Java 21 / Spring Boot 3.x; PostgreSQL 17.x + PostGIS; object storage S3-compatible; Kubernetes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b/>
                <w:sz w:val="17"/>
              </w:rPr>
              <w:t>Design constraint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Core OUF complessivo entro il vincolo economico di progetto; evitare componenti non necessari</w:t>
            </w:r>
          </w:p>
        </w:tc>
      </w:tr>
    </w:tbl>
    <w:p>
      <w:pPr/>
      <w:r>
        <w:rPr>
          <w:rFonts w:ascii="Noto Sans" w:hAnsi="Noto Sans" w:eastAsia="Noto Sans"/>
          <w:sz w:val="18"/>
        </w:rPr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color="D9E2F3"/>
          <w:left w:val="single" w:sz="6" w:color="D9E2F3"/>
          <w:bottom w:val="single" w:sz="6" w:color="D9E2F3"/>
          <w:right w:val="single" w:sz="6" w:color="D9E2F3"/>
          <w:insideH w:val="single" w:sz="6" w:color="D9E2F3"/>
          <w:insideV w:val="single" w:sz="6" w:color="D9E2F3"/>
        </w:tblBorders>
      </w:tblPr>
      <w:tblGrid>
        <w:gridCol w:w="9858"/>
      </w:tblGrid>
      <w:tr>
        <w:tc>
          <w:tcPr>
            <w:tcW w:type="dxa" w:w="9858"/>
            <w:shd w:fill="EEF4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Decisione di baseline — Data Lake, Urban Data Platform e Urban Object Registry sono realizzati inizialmente come un unico modulo fisico modulare. PostgreSQL/PostGIS costituisce il system of record operativo degli Urban Object e delle relazioni; l’object storage S3-compatible conserva il patrimonio durevole e replayable. Il modello è a grafo ma non richiede un graph database dedicato nella baseline. La piattaforma è progettata per crescita progressiva del numero di fonti, accesso conversazionale tramite capability governate e futura estensione a dati PERSONAL/SENSITIVE/RESTRICTED.</w:t>
            </w:r>
          </w:p>
        </w:tc>
      </w:tr>
    </w:tbl>
    <w:p>
      <w:r>
        <w:rPr>
          <w:rFonts w:ascii="Noto Sans" w:hAnsi="Noto Sans" w:eastAsia="Noto Sans"/>
        </w:rPr>
      </w:r>
    </w:p>
    <w:p>
      <w:r>
        <w:rPr>
          <w:rFonts w:ascii="Noto Sans" w:hAnsi="Noto Sans" w:eastAsia="Noto Sans"/>
        </w:rPr>
        <w:br/>
      </w:r>
    </w:p>
    <w:p/>
    <w:p>
      <w:pPr>
        <w:pStyle w:val="Heading2"/>
      </w:pPr>
      <w:r>
        <w:t>Executive delta v1.3 — Implementation Readiness</w:t>
      </w:r>
    </w:p>
    <w:p>
      <w:r>
        <w:t>La v1.3 assume l’Ingestion Runtime v1.2 come gold standard di completezza esecutiva. Chiude i gap residui della UDP su inventario dei contratti, support window N/N+1, configuration catalog, BOM e version policy, NetworkPolicy ed egress, input hardening, worker controls, runbook, cross-module readiness/reference-integrity gate, traceability dei test e supplier evidence package. Le decisioni esterne di piattaforma (per esempio issuer IAM/M2M o endpoint fisici gestiti dal Gateway) sono trattate come environment bindings versionati e non come scelte lasciate al codice UDP.</w:t>
      </w:r>
    </w:p>
    <w:p>
      <w:pPr>
        <w:pStyle w:val="Heading2"/>
      </w:pPr>
      <w:r>
        <w:rPr>
          <w:rFonts w:ascii="Noto Sans" w:hAnsi="Noto Sans"/>
        </w:rPr>
        <w:t>Executive delta v1.2</w:t>
      </w:r>
    </w:p>
    <w:p>
      <w:pPr/>
      <w:r>
        <w:rPr>
          <w:rFonts w:ascii="Noto Sans" w:hAnsi="Noto Sans"/>
        </w:rPr>
        <w:t>La v1.2 consolida tre hardening operativi emersi dalla review di produzione: stato distribuito e atomico del Query Complexity Governor in ambiente Kubernetes multi-replica; Change Representation Profile e persistenza delta-aware per evitare CPU/TOAST amplification su sorgenti ad alta frequenza; remediation machine-readable e retry-loop guard per gli errori di Capability Router. Le decisioni non modificano l'ownership dei moduli né la baseline PostgreSQL/PostGIS + object storage, ma rendono espliciti i meccanismi necessari per preservare stabilità, scalabilità e qualità dell'esperienza agentica.</w:t>
      </w:r>
    </w:p>
    <w:p>
      <w:pPr>
        <w:pStyle w:val="Heading1"/>
      </w:pPr>
      <w:r>
        <w:t>1. Scopo, principi e stato del progetto esecutivo v1.3</w:t>
      </w:r>
    </w:p>
    <w:p>
      <w:r>
        <w:t>Il presente documento costituisce il Progetto Esecutivo Tecnologico v1.3 del blocco dati centrale dell’Open Urban Framework: Data Lake, Urban Data Platform e Urban Object Registry. La v1.3 non modifica la baseline architetturale v1.2: consolida invece gli artefatti, i parametri, i contratti di compatibilità, i gate di avvio/integrazione, il runbook e le evidence richieste per consegnare il modulo a un team di sviluppo senza decisioni implementative sostanziali lasciate implicite.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color="D9E2F3"/>
          <w:left w:val="single" w:sz="6" w:color="D9E2F3"/>
          <w:bottom w:val="single" w:sz="6" w:color="D9E2F3"/>
          <w:right w:val="single" w:sz="6" w:color="D9E2F3"/>
          <w:insideH w:val="single" w:sz="6" w:color="D9E2F3"/>
          <w:insideV w:val="single" w:sz="6" w:color="D9E2F3"/>
        </w:tblBorders>
      </w:tblPr>
      <w:tblGrid>
        <w:gridCol w:w="9858"/>
      </w:tblGrid>
      <w:tr>
        <w:tc>
          <w:tcPr>
            <w:tcW w:type="dxa" w:w="9858"/>
            <w:shd w:fill="EEF4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b/>
                <w:sz w:val="17"/>
              </w:rPr>
              <w:t xml:space="preserve">Principio guida — </w:t>
            </w:r>
            <w:r>
              <w:rPr>
                <w:rFonts w:ascii="Noto Sans" w:hAnsi="Noto Sans" w:eastAsia="Noto Sans"/>
                <w:sz w:val="17"/>
              </w:rPr>
              <w:t>Il blocco dati deve preservare il dato sorgente, materializzare una vista canonica interrogabile, mantenere provenance e storico dei contratti, consentire correlazione multi-fonte e geospaziale, applicare policy di accesso prima della restituzione del dato e rimanere economicamente sostenibile.</w:t>
            </w:r>
          </w:p>
        </w:tc>
      </w:tr>
    </w:tbl>
    <w:p>
      <w:pPr>
        <w:pStyle w:val="Heading2"/>
      </w:pPr>
      <w:r>
        <w:rPr>
          <w:rFonts w:ascii="Noto Sans" w:hAnsi="Noto Sans" w:eastAsia="Noto Sans"/>
        </w:rPr>
        <w:t>1.1 Obiettivi</w:t>
      </w:r>
    </w:p>
    <w:p>
      <w:pPr>
        <w:pStyle w:val="ListBullet"/>
      </w:pPr>
      <w:r>
        <w:rPr>
          <w:rFonts w:ascii="Noto Sans" w:hAnsi="Noto Sans" w:eastAsia="Noto Sans"/>
        </w:rPr>
        <w:t>Ricevere HandoffPayload versionati dall’Ingestion Runtime con idempotenza, durable ACK e possibilità di replay.</w:t>
      </w:r>
    </w:p>
    <w:p>
      <w:pPr>
        <w:pStyle w:val="ListBullet"/>
      </w:pPr>
      <w:r>
        <w:rPr>
          <w:rFonts w:ascii="Noto Sans" w:hAnsi="Noto Sans" w:eastAsia="Noto Sans"/>
        </w:rPr>
        <w:t>Conservare il patrimonio sorgente senza obbligare a triplicare fisicamente RAW, NORMALIZED e CURATED.</w:t>
      </w:r>
    </w:p>
    <w:p>
      <w:pPr>
        <w:pStyle w:val="ListBullet"/>
      </w:pPr>
      <w:r>
        <w:rPr>
          <w:rFonts w:ascii="Noto Sans" w:hAnsi="Noto Sans" w:eastAsia="Noto Sans"/>
        </w:rPr>
        <w:t>Materializzare Urban Object canonici con identità stabile, revisioni, temporalità, relazioni e geometrie.</w:t>
      </w:r>
    </w:p>
    <w:p>
      <w:pPr>
        <w:pStyle w:val="ListBullet"/>
      </w:pPr>
      <w:r>
        <w:rPr>
          <w:rFonts w:ascii="Noto Sans" w:hAnsi="Noto Sans" w:eastAsia="Noto Sans"/>
        </w:rPr>
        <w:t>Consentire a più fonti di descrivere lo stesso Urban Object con provenance e authority differenziate per proprietà.</w:t>
      </w:r>
    </w:p>
    <w:p>
      <w:pPr>
        <w:pStyle w:val="ListBullet"/>
      </w:pPr>
      <w:r>
        <w:rPr>
          <w:rFonts w:ascii="Noto Sans" w:hAnsi="Noto Sans" w:eastAsia="Noto Sans"/>
        </w:rPr>
        <w:t>Fornire serving API, graph/spatial navigation e capability MCP/chatbot senza accesso diretto a SQL, Cypher o storage.</w:t>
      </w:r>
    </w:p>
    <w:p>
      <w:pPr>
        <w:pStyle w:val="ListBullet"/>
      </w:pPr>
      <w:r>
        <w:rPr>
          <w:rFonts w:ascii="Noto Sans" w:hAnsi="Noto Sans" w:eastAsia="Noto Sans"/>
        </w:rPr>
        <w:t>Supportare crescita progressiva di fonti e volumi senza introdurre prematuramente graph DB, broker, Redis o lakehouse engine.</w:t>
      </w:r>
    </w:p>
    <w:p>
      <w:pPr>
        <w:pStyle w:val="ListBullet"/>
      </w:pPr>
      <w:r>
        <w:rPr>
          <w:rFonts w:ascii="Noto Sans" w:hAnsi="Noto Sans" w:eastAsia="Noto Sans"/>
        </w:rPr>
        <w:t>Predisporre enforcement RBAC/ABAC e DataAccessLabel per una futura acquisizione di dati personali o sensibili.</w:t>
      </w:r>
    </w:p>
    <w:p>
      <w:pPr>
        <w:pStyle w:val="Heading2"/>
      </w:pPr>
      <w:r>
        <w:rPr>
          <w:rFonts w:ascii="Noto Sans" w:hAnsi="Noto Sans" w:eastAsia="Noto Sans"/>
        </w:rPr>
        <w:t>1.2 Non-obiettivi della baseline</w:t>
      </w:r>
    </w:p>
    <w:p>
      <w:pPr>
        <w:pStyle w:val="ListBullet"/>
      </w:pPr>
      <w:r>
        <w:rPr>
          <w:rFonts w:ascii="Noto Sans" w:hAnsi="Noto Sans" w:eastAsia="Noto Sans"/>
        </w:rPr>
        <w:t>Data warehouse/lakehouse enterprise completo.</w:t>
      </w:r>
    </w:p>
    <w:p>
      <w:pPr>
        <w:pStyle w:val="ListBullet"/>
      </w:pPr>
      <w:r>
        <w:rPr>
          <w:rFonts w:ascii="Noto Sans" w:hAnsi="Noto Sans" w:eastAsia="Noto Sans"/>
        </w:rPr>
        <w:t>Graph database dedicato obbligatorio.</w:t>
      </w:r>
    </w:p>
    <w:p>
      <w:pPr>
        <w:pStyle w:val="ListBullet"/>
      </w:pPr>
      <w:r>
        <w:rPr>
          <w:rFonts w:ascii="Noto Sans" w:hAnsi="Noto Sans" w:eastAsia="Noto Sans"/>
        </w:rPr>
        <w:t>Streaming/event mesh obbligatorio.</w:t>
      </w:r>
    </w:p>
    <w:p>
      <w:pPr>
        <w:pStyle w:val="ListBullet"/>
      </w:pPr>
      <w:r>
        <w:rPr>
          <w:rFonts w:ascii="Noto Sans" w:hAnsi="Noto Sans" w:eastAsia="Noto Sans"/>
        </w:rPr>
        <w:t>ML platform o feature store.</w:t>
      </w:r>
    </w:p>
    <w:p>
      <w:pPr>
        <w:pStyle w:val="ListBullet"/>
      </w:pPr>
      <w:r>
        <w:rPr>
          <w:rFonts w:ascii="Noto Sans" w:hAnsi="Noto Sans" w:eastAsia="Noto Sans"/>
        </w:rPr>
        <w:t>Accesso diretto del chatbot ai database.</w:t>
      </w:r>
    </w:p>
    <w:p>
      <w:pPr>
        <w:pStyle w:val="ListBullet"/>
      </w:pPr>
      <w:r>
        <w:rPr>
          <w:rFonts w:ascii="Noto Sans" w:hAnsi="Noto Sans" w:eastAsia="Noto Sans"/>
        </w:rPr>
        <w:t>Migrazione automatica e retroattiva dei dati storici quando cambia un contratto sorgente o semantico.</w:t>
      </w:r>
    </w:p>
    <w:p>
      <w:pPr>
        <w:pStyle w:val="Heading1"/>
      </w:pPr>
      <w:r>
        <w:rPr>
          <w:rFonts w:ascii="Noto Sans" w:hAnsi="Noto Sans" w:eastAsia="Noto Sans"/>
        </w:rPr>
        <w:t>2. Confini di responsabilità e bounded context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D4DF"/>
          <w:left w:val="single" w:sz="4" w:color="C9D4DF"/>
          <w:bottom w:val="single" w:sz="4" w:color="C9D4DF"/>
          <w:right w:val="single" w:sz="4" w:color="C9D4DF"/>
          <w:insideH w:val="single" w:sz="4" w:color="C9D4DF"/>
          <w:insideV w:val="single" w:sz="4" w:color="C9D4DF"/>
        </w:tblBorders>
      </w:tblPr>
      <w:tblGrid>
        <w:gridCol w:w="3286"/>
        <w:gridCol w:w="3286"/>
        <w:gridCol w:w="3286"/>
      </w:tblGrid>
      <w:tr>
        <w:tc>
          <w:tcPr>
            <w:tcW w:type="dxa" w:w="2324"/>
            <w:shd w:fill="0B4F6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4309"/>
            <w:shd w:fill="0B4F6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Responsabilità primaria</w:t>
            </w:r>
          </w:p>
        </w:tc>
        <w:tc>
          <w:tcPr>
            <w:tcW w:type="dxa" w:w="2835"/>
            <w:shd w:fill="0B4F6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Non deve fare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Ingestion Runtime</w:t>
            </w:r>
          </w:p>
        </w:tc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Parsing, normalizzazione, mapping runtime, envelope/handoff, lineage evidence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Non diventa system of record degli Urban Object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Data Lake</w:t>
            </w:r>
          </w:p>
        </w:tc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Conservazione durevole di RAW/NORMALIZED/CURATED e oggetti binari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Non decide identità canonica né semantica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Urban Object Registry</w:t>
            </w:r>
          </w:p>
        </w:tc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Identità canonica, revisioni, relazioni, provenance, authority history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Non riscrive contratti sorgente o ontologie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Urban Data Platform</w:t>
            </w:r>
          </w:p>
        </w:tc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Capability di query/servizio sui dati e oggetti integrati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Non duplica IAM, Gateway o Semantic Registry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Semantic Model / Registry</w:t>
            </w:r>
          </w:p>
        </w:tc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Classi, proprietà, relazioni e vocabolari autoritativi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Non conserva istanze/ABox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Source Onboarding</w:t>
            </w:r>
          </w:p>
        </w:tc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Contratti sorgente, mapping, extraction profiles e versioni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Non materializza oggetti runtime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Urban API Gateway</w:t>
            </w:r>
          </w:p>
        </w:tc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Esposizione governata, authn/authz coarse, routing, rate limit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Non contiene logica di object resolution o lineage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B4F6C"/>
          <w:left w:val="single" w:sz="8" w:color="0B4F6C"/>
          <w:bottom w:val="single" w:sz="8" w:color="0B4F6C"/>
          <w:right w:val="single" w:sz="8" w:color="0B4F6C"/>
          <w:insideH w:val="single" w:sz="8" w:color="0B4F6C"/>
          <w:insideV w:val="single" w:sz="8" w:color="0B4F6C"/>
        </w:tblBorders>
      </w:tblPr>
      <w:tblGrid>
        <w:gridCol w:w="9858"/>
      </w:tblGrid>
      <w:tr>
        <w:tc>
          <w:tcPr>
            <w:tcW w:type="dxa" w:w="9858"/>
            <w:shd w:fill="EAF4FA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rFonts w:ascii="Noto Sans" w:hAnsi="Noto Sans" w:eastAsia="Noto Sans" w:cs="Noto Sans"/>
                <w:b/>
                <w:color w:val="0B4F6C"/>
                <w:sz w:val="17"/>
              </w:rPr>
              <w:t xml:space="preserve">Regola architetturale — </w:t>
            </w:r>
            <w:r>
              <w:rPr>
                <w:rFonts w:ascii="Noto Sans" w:hAnsi="Noto Sans" w:eastAsia="Noto Sans" w:cs="Noto Sans"/>
                <w:sz w:val="17"/>
              </w:rPr>
              <w:t>La semantica autoritativa vive nel Semantic Model / Registry; le istanze e le relazioni materializzate vivono nella UDP / Urban Object Registry. Il Data Lake conserva evidenze e rappresentazioni dati, non sostituisce il Registry.</w:t>
            </w:r>
          </w:p>
        </w:tc>
      </w:tr>
    </w:tbl>
    <w:p>
      <w:pPr>
        <w:pStyle w:val="Heading1"/>
      </w:pPr>
      <w:r>
        <w:rPr>
          <w:rFonts w:ascii="Noto Sans" w:hAnsi="Noto Sans" w:eastAsia="Noto Sans"/>
        </w:rPr>
        <w:t>3. Architettura logica del blocco dati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>Ingestion Runtime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  |  HandoffPayload v1 + lineage refs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  v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>+-----------------------------------------------------------+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>| DATA LAKE / UDP / URBAN OBJECT REGISTRY                   |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>|-----------------------------------------------------------|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>| Handoff Intake &amp; Validation                               |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>| RAW / NORMALIZED / CURATED Storage                        |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>| Canonical Object Materializer                             |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>| Object Identity &amp; Resolution                              |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>| Relationship &amp; Spatial Resolution                         |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>| Urban Object Registry                                     |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>| Provenance / Lineage / Authority History                  |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>| Query &amp; Capability API                                    |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>+-----------------------------------------------------------+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  |                 |                         |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  v                 v                         v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Applications      Dashboard                 MCP / AI Agent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    \______________ Urban API Gateway _______________/</w:t>
      </w:r>
    </w:p>
    <w:p>
      <w:pPr>
        <w:pStyle w:val="Heading2"/>
      </w:pPr>
      <w:r>
        <w:rPr>
          <w:rFonts w:ascii="Noto Sans" w:hAnsi="Noto Sans" w:eastAsia="Noto Sans"/>
        </w:rPr>
        <w:t>3.1 Deployable baseline</w:t>
      </w:r>
    </w:p>
    <w:p>
      <w:pPr/>
      <w:r>
        <w:rPr>
          <w:rFonts w:ascii="Noto Sans" w:hAnsi="Noto Sans" w:eastAsia="Noto Sans"/>
          <w:sz w:val="18"/>
        </w:rPr>
        <w:t>La baseline usa un solo codebase modulare Spring Boot, distribuibile inizialmente come API workload e worker/materializer workload separabili. I bounded context restano distinti nel codice e nelle tabelle, ma non vengono trasformati prematuramente in microservizi autonomi.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D4DF"/>
          <w:left w:val="single" w:sz="4" w:color="C9D4DF"/>
          <w:bottom w:val="single" w:sz="4" w:color="C9D4DF"/>
          <w:right w:val="single" w:sz="4" w:color="C9D4DF"/>
          <w:insideH w:val="single" w:sz="4" w:color="C9D4DF"/>
          <w:insideV w:val="single" w:sz="4" w:color="C9D4DF"/>
        </w:tblBorders>
      </w:tblPr>
      <w:tblGrid>
        <w:gridCol w:w="3286"/>
        <w:gridCol w:w="3286"/>
        <w:gridCol w:w="3286"/>
      </w:tblGrid>
      <w:tr>
        <w:tc>
          <w:tcPr>
            <w:tcW w:type="dxa" w:w="2551"/>
            <w:shd w:fill="0B4F6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Deployable / servizio</w:t>
            </w:r>
          </w:p>
        </w:tc>
        <w:tc>
          <w:tcPr>
            <w:tcW w:type="dxa" w:w="4535"/>
            <w:shd w:fill="0B4F6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Responsabilità</w:t>
            </w:r>
          </w:p>
        </w:tc>
        <w:tc>
          <w:tcPr>
            <w:tcW w:type="dxa" w:w="1701"/>
            <w:shd w:fill="0B4F6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Replica baseline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udp-api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Query, object read, lineage read, capability endpoints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2+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udp-worker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Handoff intake, materialization, resolution, compaction/maintenance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1-2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PostgreSQL/PostGIS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Registry, revisioni, relazioni, metadati lake, lineage indexes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HA/managed o cluster condiviso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S3-compatible Object Storage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Payload RAW e artefatti NORMALIZED/CURATED di volume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Servizio condiviso/managed</w:t>
            </w:r>
          </w:p>
        </w:tc>
      </w:tr>
    </w:tbl>
    <w:p>
      <w:pPr>
        <w:pStyle w:val="Heading1"/>
      </w:pPr>
      <w:r>
        <w:rPr>
          <w:rFonts w:ascii="Noto Sans" w:hAnsi="Noto Sans" w:eastAsia="Noto Sans"/>
        </w:rPr>
        <w:t>4. Contratto di ingresso, HandoffPayload e Durable ACK</w:t>
      </w:r>
    </w:p>
    <w:p>
      <w:r>
        <w:rPr>
          <w:rFonts w:ascii="Noto Sans" w:hAnsi="Noto Sans" w:eastAsia="Noto Sans"/>
        </w:rPr>
        <w:t>L’Ingestion Runtime consegna un HandoffPayload versionato. Una run pinna PublishedConfigurationBundle, source schema e SemanticPublicationSet; il downstream non deve reinterpretare il payload con una configurazione diversa durante la stessa run.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>HandoffPayload v1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handoffId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sourceId / typeCode / sourceObjectId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sourceSchemaId / sourceSchemaVersion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publishedConfigurationBundleId / version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semanticPublicationSetId / version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ingestionRunId / correlationId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rawObjectRef / contentHash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normalizedPayload?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candidateObjects[]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lineageRefs[]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dataAccessLabels[]</w:t>
      </w:r>
    </w:p>
    <w:p>
      <w:pPr>
        <w:pStyle w:val="Heading2"/>
      </w:pPr>
      <w:r>
        <w:rPr>
          <w:rFonts w:ascii="Noto Sans" w:hAnsi="Noto Sans" w:eastAsia="Noto Sans"/>
        </w:rPr>
        <w:t>4.1 Semantica del Durable ACK</w:t>
      </w:r>
    </w:p>
    <w:p>
      <w:r>
        <w:rPr>
          <w:rFonts w:ascii="Noto Sans" w:hAnsi="Noto Sans" w:eastAsia="Noto Sans"/>
        </w:rPr>
        <w:t>Il durable ACK viene emesso solo quando il payload e le informazioni minime necessarie al recovery sono state rese persistenti su storage durevole. Non implica che object resolution, materializzazione completa o indicizzazione per il serving siano già terminate.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>Handoff ricevuto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 -&gt; validazione minima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 -&gt; RAW/input durevole + handoff record persistito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 -&gt; DURABLE ACK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 -&gt; Ingestion può avanzare il committed watermark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 -&gt; processing/materialization asincroni successivi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color="D9E2F3"/>
          <w:left w:val="single" w:sz="6" w:color="D9E2F3"/>
          <w:bottom w:val="single" w:sz="6" w:color="D9E2F3"/>
          <w:right w:val="single" w:sz="6" w:color="D9E2F3"/>
          <w:insideH w:val="single" w:sz="6" w:color="D9E2F3"/>
          <w:insideV w:val="single" w:sz="6" w:color="D9E2F3"/>
        </w:tblBorders>
      </w:tblPr>
      <w:tblGrid>
        <w:gridCol w:w="9858"/>
      </w:tblGrid>
      <w:tr>
        <w:tc>
          <w:tcPr>
            <w:tcW w:type="dxa" w:w="9858"/>
            <w:shd w:fill="EEF4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b/>
                <w:sz w:val="17"/>
              </w:rPr>
              <w:t xml:space="preserve">Invariante ACK-01 — </w:t>
            </w:r>
            <w:r>
              <w:rPr>
                <w:rFonts w:ascii="Noto Sans" w:hAnsi="Noto Sans" w:eastAsia="Noto Sans"/>
                <w:sz w:val="17"/>
              </w:rPr>
              <w:t>Se il downstream non emette durable ACK, l’Ingestion non avanza il committed watermark e la finestra deve poter essere riletta idempotentemente.</w:t>
            </w:r>
          </w:p>
        </w:tc>
      </w:tr>
    </w:tbl>
    <w:p>
      <w:pPr>
        <w:pStyle w:val="Heading1"/>
      </w:pPr>
      <w:r>
        <w:rPr>
          <w:rFonts w:ascii="Noto Sans" w:hAnsi="Noto Sans" w:eastAsia="Noto Sans"/>
        </w:rPr>
        <w:t>5. Data Lake: RAW, NORMALIZED e CURATED senza triplicazione obbligatoria</w:t>
      </w:r>
    </w:p>
    <w:p>
      <w:r>
        <w:rPr>
          <w:rFonts w:ascii="Noto Sans" w:hAnsi="Noto Sans" w:eastAsia="Noto Sans"/>
        </w:rPr>
        <w:t>RAW, NORMALIZED e CURATED sono livelli logici di maturazione del dato, non tre copie complete obbligatorie. La baseline privilegia persistenza durevole del RAW e materializzazione canonica in PostgreSQL/PostGIS; gli artefatti NORMALIZED/CURATED su object storage sono creati solo quando utili a replay, audit, export, performance o interoperabilità.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color="D9E2F3"/>
          <w:left w:val="single" w:sz="6" w:color="D9E2F3"/>
          <w:bottom w:val="single" w:sz="6" w:color="D9E2F3"/>
          <w:right w:val="single" w:sz="6" w:color="D9E2F3"/>
          <w:insideH w:val="single" w:sz="6" w:color="D9E2F3"/>
          <w:insideV w:val="single" w:sz="6" w:color="D9E2F3"/>
        </w:tblBorders>
      </w:tblPr>
      <w:tblGrid>
        <w:gridCol w:w="2464"/>
        <w:gridCol w:w="2464"/>
        <w:gridCol w:w="2464"/>
        <w:gridCol w:w="2464"/>
      </w:tblGrid>
      <w:tr>
        <w:trPr>
          <w:tblHeader w:val="true"/>
          <w:tblHeader w:val="true"/>
        </w:trPr>
        <w:tc>
          <w:tcPr>
            <w:tcW w:type="dxa" w:w="1701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b/>
                <w:sz w:val="17"/>
              </w:rPr>
              <w:t>Tier</w:t>
            </w:r>
          </w:p>
        </w:tc>
        <w:tc>
          <w:tcPr>
            <w:tcW w:type="dxa" w:w="3402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b/>
                <w:sz w:val="17"/>
              </w:rPr>
              <w:t>Contenuto</w:t>
            </w:r>
          </w:p>
        </w:tc>
        <w:tc>
          <w:tcPr>
            <w:tcW w:type="dxa" w:w="2835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b/>
                <w:sz w:val="17"/>
              </w:rPr>
              <w:t>Persistenza baseline</w:t>
            </w:r>
          </w:p>
        </w:tc>
        <w:tc>
          <w:tcPr>
            <w:tcW w:type="dxa" w:w="2835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b/>
                <w:sz w:val="17"/>
              </w:rPr>
              <w:t>Regola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RAW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Payload così come ricevuto dalla fonte + metadati tecnici minimi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Object storage, durevole e immutable-by-reference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Fonte primaria per replay/reproduce.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NORMALIZED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Rappresentazione tecnica normalizzata, schema refs, conversioni tecniche, metadata di processing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Selettiva: object storage o transient/persisted per policy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Non deve duplicare inutilmente l’intero RAW.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CURATED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Vista canonica, semantic refs, vocabulary mapping, relazioni/authority/lineage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Principalmente PostgreSQL/PostGIS; file curated solo se richiesti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È la serving state, non una terza copia obbligatoria.</w:t>
            </w:r>
          </w:p>
        </w:tc>
      </w:tr>
    </w:tbl>
    <w:p>
      <w:pPr>
        <w:pStyle w:val="Heading2"/>
      </w:pPr>
      <w:r>
        <w:rPr>
          <w:rFonts w:ascii="Noto Sans" w:hAnsi="Noto Sans" w:eastAsia="Noto Sans"/>
        </w:rPr>
        <w:t>5.1 LakeObject e lifecycle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color="D9E2F3"/>
          <w:left w:val="single" w:sz="6" w:color="D9E2F3"/>
          <w:bottom w:val="single" w:sz="6" w:color="D9E2F3"/>
          <w:right w:val="single" w:sz="6" w:color="D9E2F3"/>
          <w:insideH w:val="single" w:sz="6" w:color="D9E2F3"/>
          <w:insideV w:val="single" w:sz="6" w:color="D9E2F3"/>
        </w:tblBorders>
      </w:tblPr>
      <w:tblGrid>
        <w:gridCol w:w="4929"/>
        <w:gridCol w:w="4929"/>
      </w:tblGrid>
      <w:tr>
        <w:trPr>
          <w:tblHeader w:val="true"/>
          <w:tblHeader w:val="true"/>
        </w:trPr>
        <w:tc>
          <w:tcPr>
            <w:tcW w:type="dxa" w:w="2268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b/>
                <w:sz w:val="17"/>
              </w:rPr>
              <w:t>Stato</w:t>
            </w:r>
          </w:p>
        </w:tc>
        <w:tc>
          <w:tcPr>
            <w:tcW w:type="dxa" w:w="7370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b/>
                <w:sz w:val="17"/>
              </w:rPr>
              <w:t>Significato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STAGED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Oggetto ricevuto ma non ancora certificato durevole.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DURABLE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Persistenza completata; eleggibile per durable ACK.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VERIFIED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Checksum/integrità verificati.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COMPACTED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Riorganizzato fisicamente mantenendo manifest e lineage.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COLD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Migrato a storage più economico secondo retention.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DELETION_PENDING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Cancellazione autorizzata ma non ancora finalizzata.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DELETED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Rimozione completata con tombstone/audit secondo policy.</w:t>
            </w:r>
          </w:p>
        </w:tc>
      </w:tr>
    </w:tbl>
    <w:p>
      <w:pPr>
        <w:pStyle w:val="Heading2"/>
      </w:pPr>
      <w:r>
        <w:rPr>
          <w:rFonts w:ascii="Noto Sans" w:hAnsi="Noto Sans" w:eastAsia="Noto Sans"/>
        </w:rPr>
        <w:t>5.2 Retention, compaction e legal hold</w:t>
      </w:r>
    </w:p>
    <w:p>
      <w:pPr>
        <w:pStyle w:val="ListBullet"/>
      </w:pPr>
      <w:r>
        <w:rPr>
          <w:rFonts w:ascii="Noto Sans" w:hAnsi="Noto Sans" w:eastAsia="Noto Sans"/>
        </w:rPr>
        <w:t>Retention differenziata per source/type/classification e finalità.</w:t>
      </w:r>
    </w:p>
    <w:p>
      <w:pPr>
        <w:pStyle w:val="ListBullet"/>
      </w:pPr>
      <w:r>
        <w:rPr>
          <w:rFonts w:ascii="Noto Sans" w:hAnsi="Noto Sans" w:eastAsia="Noto Sans"/>
        </w:rPr>
        <w:t>Legal hold prevale su compaction/deletion ordinaria.</w:t>
      </w:r>
    </w:p>
    <w:p>
      <w:pPr>
        <w:pStyle w:val="ListBullet"/>
      </w:pPr>
      <w:r>
        <w:rPr>
          <w:rFonts w:ascii="Noto Sans" w:hAnsi="Noto Sans" w:eastAsia="Noto Sans"/>
        </w:rPr>
        <w:t>Compaction non cambia identity, content hash logico o lineage; un manifest risolve vecchi riferimenti verso la nuova collocazione.</w:t>
      </w:r>
    </w:p>
    <w:p>
      <w:pPr>
        <w:pStyle w:val="ListBullet"/>
      </w:pPr>
      <w:r>
        <w:rPr>
          <w:rFonts w:ascii="Noto Sans" w:hAnsi="Noto Sans" w:eastAsia="Noto Sans"/>
        </w:rPr>
        <w:t>La cancellazione è a due fasi e deve verificare historical contract references, audit obligations e policy di protezione dati.</w:t>
      </w:r>
    </w:p>
    <w:p>
      <w:pPr>
        <w:pStyle w:val="Heading1"/>
      </w:pPr>
      <w:r>
        <w:rPr>
          <w:rFonts w:ascii="Noto Sans" w:hAnsi="Noto Sans" w:eastAsia="Noto Sans"/>
        </w:rPr>
        <w:t>6. LakeObject e lifecycle durevole</w:t>
      </w:r>
    </w:p>
    <w:p>
      <w:pPr/>
      <w:r>
        <w:rPr>
          <w:rFonts w:ascii="Noto Sans" w:hAnsi="Noto Sans" w:eastAsia="Noto Sans"/>
          <w:sz w:val="18"/>
        </w:rPr>
        <w:t>Ogni payload o artefatto persistito nell’object storage è rappresentato da un LakeObject registrato in PostgreSQL. Il bucket/key fisico è un locator, non l’identità logica. La risorsa logica resta stabile anche in caso di tiering, compaction o rilocazione fisica.</w:t>
      </w: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>LakeObject</w:t>
      </w: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 xml:space="preserve">  lakeObjectId       = "lake-01J..."</w:t>
      </w: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 xml:space="preserve">  tier               = RAW | NORMALIZED | CURATED | EXPORT</w:t>
      </w: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 xml:space="preserve">  contentHash        = "sha256:..."</w:t>
      </w: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 xml:space="preserve">  mediaType          = "application/json"</w:t>
      </w: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 xml:space="preserve">  logicalSizeBytes   = 182744</w:t>
      </w: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 xml:space="preserve">  locator            = "s3://ouf-data/..."</w:t>
      </w: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 xml:space="preserve">  state              = DURABLE</w:t>
      </w: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 xml:space="preserve">  retentionClass     = AUDIT</w:t>
      </w: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 xml:space="preserve">  accessLabel        = OPEN</w:t>
      </w: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 xml:space="preserve">  createdAt          = ...</w:t>
      </w: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 xml:space="preserve">  verifiedAt         = ...</w:t>
      </w: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 xml:space="preserve">  lineageRefs        = [...]</w:t>
      </w:r>
    </w:p>
    <w:p>
      <w:pPr>
        <w:pStyle w:val="Heading2"/>
      </w:pPr>
      <w:r>
        <w:rPr>
          <w:rFonts w:ascii="Noto Sans" w:hAnsi="Noto Sans" w:eastAsia="Noto Sans"/>
        </w:rPr>
        <w:t>6.1 Stati del LakeObject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shd w:fill="0B4F6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Stato</w:t>
            </w:r>
          </w:p>
        </w:tc>
        <w:tc>
          <w:tcPr>
            <w:tcW w:type="dxa" w:w="4819"/>
            <w:shd w:fill="0B4F6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Significato</w:t>
            </w:r>
          </w:p>
        </w:tc>
        <w:tc>
          <w:tcPr>
            <w:tcW w:type="dxa" w:w="2835"/>
            <w:shd w:fill="0B4F6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Transizioni ammesse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STAGED</w:t>
            </w:r>
          </w:p>
        </w:tc>
        <w:tc>
          <w:tcPr>
            <w:tcW w:type="dxa" w:w="481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Scrittura avviata/non ancora assumibile come durevole.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→ DURABLE | FAILED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DURABLE</w:t>
            </w:r>
          </w:p>
        </w:tc>
        <w:tc>
          <w:tcPr>
            <w:tcW w:type="dxa" w:w="481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Oggetto persistito e registrato; checksum noto.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→ VERIFIED | QUARANTINED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VERIFIED</w:t>
            </w:r>
          </w:p>
        </w:tc>
        <w:tc>
          <w:tcPr>
            <w:tcW w:type="dxa" w:w="481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Integrità verificata e utilizzabile da lineage/replay.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→ COMPACTED | COLD | DELETION_PENDING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COMPACTED</w:t>
            </w:r>
          </w:p>
        </w:tc>
        <w:tc>
          <w:tcPr>
            <w:tcW w:type="dxa" w:w="481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Rappresentazione fisica consolidata; locator logico ancora risolvibile.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→ COLD | DELETION_PENDING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COLD</w:t>
            </w:r>
          </w:p>
        </w:tc>
        <w:tc>
          <w:tcPr>
            <w:tcW w:type="dxa" w:w="481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Spostato su storage class meno costosa; accesso più lento ammesso.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→ VERIFIED | DELETION_PENDING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QUARANTINED</w:t>
            </w:r>
          </w:p>
        </w:tc>
        <w:tc>
          <w:tcPr>
            <w:tcW w:type="dxa" w:w="481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Incoerenza di integrità/metadati; non usato per serving normale.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→ VERIFIED | DELETION_PENDING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DELETION_PENDING</w:t>
            </w:r>
          </w:p>
        </w:tc>
        <w:tc>
          <w:tcPr>
            <w:tcW w:type="dxa" w:w="481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Deletion guard superata e purge schedulato.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→ DELETED | VERIFIED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DELETED</w:t>
            </w:r>
          </w:p>
        </w:tc>
        <w:tc>
          <w:tcPr>
            <w:tcW w:type="dxa" w:w="481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Contenuto fisico eliminato secondo policy; tombstone metadata conservato se richiesto.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terminale</w:t>
            </w:r>
          </w:p>
        </w:tc>
      </w:tr>
      <w:tr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FAILED</w:t>
            </w:r>
          </w:p>
        </w:tc>
        <w:tc>
          <w:tcPr>
            <w:tcW w:type="dxa" w:w="481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Scrittura non completata/invalidata.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retry/cleanup</w:t>
            </w:r>
          </w:p>
        </w:tc>
      </w:tr>
    </w:tbl>
    <w:p/>
    <w:p>
      <w:pPr/>
      <w:r>
        <w:rPr>
          <w:rFonts w:ascii="Noto Sans" w:hAnsi="Noto Sans" w:eastAsia="Noto Sans"/>
          <w:sz w:val="18"/>
        </w:rPr>
        <w:t>La transizione verso DELETED non è mai implicita nella sola scadenza temporale: deve essere soddisfatto il deletion guard, che verifica retention, legal hold, riferimenti di lineage, historical contracts e policy applicabili.</w:t>
      </w:r>
    </w:p>
    <w:p>
      <w:pPr>
        <w:pStyle w:val="Heading1"/>
      </w:pPr>
      <w:r>
        <w:rPr>
          <w:rFonts w:ascii="Noto Sans" w:hAnsi="Noto Sans" w:eastAsia="Noto Sans"/>
        </w:rPr>
        <w:t>7. Lifecycle per tier RAW / NORMALIZED / CURATED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531"/>
            <w:shd w:fill="0B4F6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Tier</w:t>
            </w:r>
          </w:p>
        </w:tc>
        <w:tc>
          <w:tcPr>
            <w:tcW w:type="dxa" w:w="2098"/>
            <w:shd w:fill="0B4F6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Immutabilità</w:t>
            </w:r>
          </w:p>
        </w:tc>
        <w:tc>
          <w:tcPr>
            <w:tcW w:type="dxa" w:w="2948"/>
            <w:shd w:fill="0B4F6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Uso primario</w:t>
            </w:r>
          </w:p>
        </w:tc>
        <w:tc>
          <w:tcPr>
            <w:tcW w:type="dxa" w:w="2835"/>
            <w:shd w:fill="0B4F6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Regola di lifecycle</w:t>
            </w:r>
          </w:p>
        </w:tc>
      </w:tr>
      <w:tr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RAW</w:t>
            </w:r>
          </w:p>
        </w:tc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Immutabile per contentHash.</w:t>
            </w:r>
          </w:p>
        </w:tc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Audit, replay, prova del payload sorgente.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Retention più conservativa; nessuna trasformazione in place.</w:t>
            </w:r>
          </w:p>
        </w:tc>
      </w:tr>
      <w:tr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NORMALIZED</w:t>
            </w:r>
          </w:p>
        </w:tc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Versionato/immutabile per run.</w:t>
            </w:r>
          </w:p>
        </w:tc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Diagnostica tecnica, replay e confronto tra adapter version.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Può essere compattato se lineage e locator logico restano risolvibili.</w:t>
            </w:r>
          </w:p>
        </w:tc>
      </w:tr>
      <w:tr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CURATED</w:t>
            </w:r>
          </w:p>
        </w:tc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Versionato e derivato.</w:t>
            </w:r>
          </w:p>
        </w:tc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Snapshot/artefatti di materializzazione e export tecnici.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Non sostituisce ObjectRevision PostgreSQL; può essere rigenerabile se policy lo consente.</w:t>
            </w:r>
          </w:p>
        </w:tc>
      </w:tr>
      <w:tr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EXPORT</w:t>
            </w:r>
          </w:p>
        </w:tc>
        <w:tc>
          <w:tcPr>
            <w:tcW w:type="dxa" w:w="20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Temporaneo.</w:t>
            </w:r>
          </w:p>
        </w:tc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Download governato/analisi puntuale.</w:t>
            </w:r>
          </w:p>
        </w:tc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TTL breve configurabile; non è patrimonio autoritativo.</w:t>
            </w:r>
          </w:p>
        </w:tc>
      </w:tr>
    </w:tbl>
    <w:p/>
    <w:p>
      <w:pPr>
        <w:pStyle w:val="Heading2"/>
      </w:pPr>
      <w:r>
        <w:rPr>
          <w:rFonts w:ascii="Noto Sans" w:hAnsi="Noto Sans" w:eastAsia="Noto Sans"/>
        </w:rPr>
        <w:t>7.1 Regola di non-overwrite</w:t>
      </w:r>
    </w:p>
    <w:p>
      <w:pPr/>
      <w:r>
        <w:rPr>
          <w:rFonts w:ascii="Noto Sans" w:hAnsi="Noto Sans" w:eastAsia="Noto Sans"/>
          <w:sz w:val="18"/>
        </w:rPr>
        <w:t>Una key fisica può essere riutilizzata solo per operazioni tecniche atomiche che non cambiano il contenuto logico già referenziato. Un artefatto storico identificato da lakeObjectId/contentHash non viene sovrascritto con un nuovo contenuto: si crea un nuovo LakeObject e si aggiorna la reference corrente dove previsto.</w:t>
      </w:r>
    </w:p>
    <w:p>
      <w:pPr>
        <w:pStyle w:val="Heading1"/>
      </w:pPr>
      <w:r>
        <w:rPr>
          <w:rFonts w:ascii="Noto Sans" w:hAnsi="Noto Sans" w:eastAsia="Noto Sans"/>
        </w:rPr>
        <w:t>8. Retention classes, legal hold e deletion guard</w:t>
      </w:r>
    </w:p>
    <w:p>
      <w:pPr/>
      <w:r>
        <w:rPr>
          <w:rFonts w:ascii="Noto Sans" w:hAnsi="Noto Sans" w:eastAsia="Noto Sans"/>
          <w:sz w:val="18"/>
        </w:rPr>
        <w:t>La baseline congela il modello, non durate legali arbitrarie. Le finestre temporali sono configurate per dataset/source/classification in base alle policy dell’Ente e agli obblighi applicabili. Le classi minime sono: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984"/>
            <w:shd w:fill="0B4F6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Retention class</w:t>
            </w:r>
          </w:p>
        </w:tc>
        <w:tc>
          <w:tcPr>
            <w:tcW w:type="dxa" w:w="3402"/>
            <w:shd w:fill="0B4F6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Uso</w:t>
            </w:r>
          </w:p>
        </w:tc>
        <w:tc>
          <w:tcPr>
            <w:tcW w:type="dxa" w:w="3402"/>
            <w:shd w:fill="0B4F6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Comportamento</w:t>
            </w:r>
          </w:p>
        </w:tc>
      </w:tr>
      <w:tr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OPERATIONAL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Dati necessari all’esercizio corrente e recovery breve.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Purge ammesso dopo scadenza e assenza di referenze bloccanti.</w:t>
            </w:r>
          </w:p>
        </w:tc>
      </w:tr>
      <w:tr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AUDIT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Evidenze necessarie a spiegare trasformazioni/decisioni.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Retention estesa e deletion guard forte.</w:t>
            </w:r>
          </w:p>
        </w:tc>
      </w:tr>
      <w:tr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ARCHIVAL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Patrimonio storico o dataset da conservare a lungo.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Tiering cold ammesso; purge solo da policy esplicita.</w:t>
            </w:r>
          </w:p>
        </w:tc>
      </w:tr>
      <w:tr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LEGAL_HOLD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Contenuto soggetto a blocco di cancellazione.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Nessun purge finché hold attivo, indipendentemente dalla scadenza ordinaria.</w:t>
            </w:r>
          </w:p>
        </w:tc>
      </w:tr>
      <w:tr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DERIVED_REBUILDABLE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Artefatto derivato ricostruibile da fonti trattenute.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Può avere retention inferiore se replay documentato e verificato.</w:t>
            </w:r>
          </w:p>
        </w:tc>
      </w:tr>
    </w:tbl>
    <w:p/>
    <w:p>
      <w:pPr>
        <w:pStyle w:val="Heading2"/>
      </w:pPr>
      <w:r>
        <w:rPr>
          <w:rFonts w:ascii="Noto Sans" w:hAnsi="Noto Sans" w:eastAsia="Noto Sans"/>
        </w:rPr>
        <w:t>8.1 Deletion guard</w:t>
      </w: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>canDelete(lakeObjectId) =</w:t>
      </w: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 xml:space="preserve">  retentionExpired</w:t>
      </w: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 xml:space="preserve">  AND legalHold == false</w:t>
      </w: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 xml:space="preserve">  AND blockingLineageRefs == 0</w:t>
      </w: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 xml:space="preserve">  AND historicalReplayRequirement == false</w:t>
      </w: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 xml:space="preserve">  AND activeExportRef == false</w:t>
      </w: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 xml:space="preserve">  AND policyDecision == ALLOW</w:t>
      </w:r>
    </w:p>
    <w:p>
      <w:pPr/>
      <w:r>
        <w:rPr>
          <w:rFonts w:ascii="Noto Sans" w:hAnsi="Noto Sans" w:eastAsia="Noto Sans"/>
          <w:sz w:val="18"/>
        </w:rPr>
        <w:t>La cancellazione fisica è a due fasi: DELETION_PENDING con audit e finestra di sicurezza, quindi purge e marcatura DELETED. Un amministratore non può bypassare la policy tramite cancellazione diretta del bucket.</w:t>
      </w:r>
    </w:p>
    <w:p>
      <w:pPr>
        <w:pStyle w:val="Heading1"/>
      </w:pPr>
      <w:r>
        <w:rPr>
          <w:rFonts w:ascii="Noto Sans" w:hAnsi="Noto Sans" w:eastAsia="Noto Sans"/>
        </w:rPr>
        <w:t>9. Compaction e ottimizzazione fisica</w:t>
      </w:r>
    </w:p>
    <w:p>
      <w:pPr/>
      <w:r>
        <w:rPr>
          <w:rFonts w:ascii="Noto Sans" w:hAnsi="Noto Sans" w:eastAsia="Noto Sans"/>
          <w:sz w:val="18"/>
        </w:rPr>
        <w:t>La compaction riduce il numero di small object e il costo di storage/lettura senza alterare la semantica. Non è una migrazione del contratto dati e non può cambiare contentHash, provenance o historical contract associati al record logico.</w:t>
      </w: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>LakeObject A ----+</w:t>
      </w: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>LakeObject B ----+--&gt; CompactionManifest CM-42 --&gt; physical pack/partition P-42</w:t>
      </w: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>LakeObject C ----+</w:t>
      </w:r>
    </w:p>
    <w:p>
      <w:pPr>
        <w:pStyle w:val="OUFCode"/>
      </w:pP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>logical refs A/B/C remain resolvable</w:t>
      </w: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>lineage refs remain unchanged</w:t>
      </w: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>physical locator resolved through manifest</w:t>
      </w:r>
    </w:p>
    <w:p>
      <w:pPr>
        <w:pStyle w:val="Heading2"/>
      </w:pPr>
      <w:r>
        <w:rPr>
          <w:rFonts w:ascii="Noto Sans" w:hAnsi="Noto Sans" w:eastAsia="Noto Sans"/>
        </w:rPr>
        <w:t>9.1 Regole di compaction</w:t>
      </w:r>
    </w:p>
    <w:p>
      <w:pPr>
        <w:pStyle w:val="ListBullet"/>
      </w:pPr>
      <w:r>
        <w:rPr>
          <w:rFonts w:ascii="Noto Sans" w:hAnsi="Noto Sans" w:eastAsia="Noto Sans"/>
          <w:sz w:val="18"/>
        </w:rPr>
        <w:t>Job idempotente e a bassa priorità rispetto a ingestion e serving interattivo.</w:t>
      </w:r>
    </w:p>
    <w:p>
      <w:pPr>
        <w:pStyle w:val="ListBullet"/>
      </w:pPr>
      <w:r>
        <w:rPr>
          <w:rFonts w:ascii="Noto Sans" w:hAnsi="Noto Sans" w:eastAsia="Noto Sans"/>
          <w:sz w:val="18"/>
        </w:rPr>
        <w:t>CompactionManifest immutabile con mapping lakeObjectId→offset/partizione e checksum dell’output.</w:t>
      </w:r>
    </w:p>
    <w:p>
      <w:pPr>
        <w:pStyle w:val="ListBullet"/>
      </w:pPr>
      <w:r>
        <w:rPr>
          <w:rFonts w:ascii="Noto Sans" w:hAnsi="Noto Sans" w:eastAsia="Noto Sans"/>
          <w:sz w:val="18"/>
        </w:rPr>
        <w:t>Il vecchio contenuto fisico viene eliminato solo dopo verifica completa del manifest e finestra di rollback.</w:t>
      </w:r>
    </w:p>
    <w:p>
      <w:pPr>
        <w:pStyle w:val="ListBullet"/>
      </w:pPr>
      <w:r>
        <w:rPr>
          <w:rFonts w:ascii="Noto Sans" w:hAnsi="Noto Sans" w:eastAsia="Noto Sans"/>
          <w:sz w:val="18"/>
        </w:rPr>
        <w:t>Nessuna compaction attraversa access label o retention class incompatibili salvo policy esplicita.</w:t>
      </w:r>
    </w:p>
    <w:p>
      <w:pPr>
        <w:pStyle w:val="ListBullet"/>
      </w:pPr>
      <w:r>
        <w:rPr>
          <w:rFonts w:ascii="Noto Sans" w:hAnsi="Noto Sans" w:eastAsia="Noto Sans"/>
          <w:sz w:val="18"/>
        </w:rPr>
        <w:t>Gli artefatti RAW possono essere packati/archiviati ma non reinterpretati né trasformati semanticamente.</w:t>
      </w:r>
    </w:p>
    <w:p>
      <w:pPr>
        <w:pStyle w:val="ListBullet"/>
      </w:pPr>
      <w:r>
        <w:rPr>
          <w:rFonts w:ascii="Noto Sans" w:hAnsi="Noto Sans" w:eastAsia="Noto Sans"/>
          <w:sz w:val="18"/>
        </w:rPr>
        <w:t>Failure della compaction non rende indisponibili i locator logici precedentemente validi.</w:t>
      </w:r>
    </w:p>
    <w:p>
      <w:pPr>
        <w:pStyle w:val="Heading1"/>
      </w:pPr>
      <w:r>
        <w:rPr>
          <w:rFonts w:ascii="Noto Sans" w:hAnsi="Noto Sans" w:eastAsia="Noto Sans"/>
        </w:rPr>
        <w:t>10. Integrity scan e riconciliazione PostgreSQL &lt;-&gt; object storage</w:t>
      </w:r>
    </w:p>
    <w:p>
      <w:pPr/>
      <w:r>
        <w:rPr>
          <w:rFonts w:ascii="Noto Sans" w:hAnsi="Noto Sans" w:eastAsia="Noto Sans"/>
          <w:sz w:val="18"/>
        </w:rPr>
        <w:t>Il catalogo PostgreSQL e l’object storage devono poter essere riconciliati periodicamente. La baseline introduce un maintenance job che rileva missing object, orphan object, checksum mismatch, dangling lineage ref e manifest non risolvibili.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928"/>
            <w:shd w:fill="0B4F6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Issue</w:t>
            </w:r>
          </w:p>
        </w:tc>
        <w:tc>
          <w:tcPr>
            <w:tcW w:type="dxa" w:w="3685"/>
            <w:shd w:fill="0B4F6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Rilevazione</w:t>
            </w:r>
          </w:p>
        </w:tc>
        <w:tc>
          <w:tcPr>
            <w:tcW w:type="dxa" w:w="3175"/>
            <w:shd w:fill="0B4F6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Comportamento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MISSING_OBJECT</w:t>
            </w:r>
          </w:p>
        </w:tc>
        <w:tc>
          <w:tcPr>
            <w:tcW w:type="dxa" w:w="368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DB reference presente, object key assente.</w:t>
            </w:r>
          </w:p>
        </w:tc>
        <w:tc>
          <w:tcPr>
            <w:tcW w:type="dxa" w:w="31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BLOCK serving/replay interessato; RuntimeIssue; restore o re-ingest.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ORPHAN_OBJECT</w:t>
            </w:r>
          </w:p>
        </w:tc>
        <w:tc>
          <w:tcPr>
            <w:tcW w:type="dxa" w:w="368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Object presente senza metadata record.</w:t>
            </w:r>
          </w:p>
        </w:tc>
        <w:tc>
          <w:tcPr>
            <w:tcW w:type="dxa" w:w="31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Quarantine tecnica; non cancellare automaticamente prima della finestra di verifica.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CHECKSUM_MISMATCH</w:t>
            </w:r>
          </w:p>
        </w:tc>
        <w:tc>
          <w:tcPr>
            <w:tcW w:type="dxa" w:w="368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Hash fisico ≠ metadata.</w:t>
            </w:r>
          </w:p>
        </w:tc>
        <w:tc>
          <w:tcPr>
            <w:tcW w:type="dxa" w:w="31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Quarantine immediata; nessun uso per replay/lineage.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DANGLING_LINEAGE</w:t>
            </w:r>
          </w:p>
        </w:tc>
        <w:tc>
          <w:tcPr>
            <w:tcW w:type="dxa" w:w="368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Lineage ref punta a risorsa non risolvibile.</w:t>
            </w:r>
          </w:p>
        </w:tc>
        <w:tc>
          <w:tcPr>
            <w:tcW w:type="dxa" w:w="31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Issue HIGH; impedire purge ulteriore della catena coinvolta.</w:t>
            </w:r>
          </w:p>
        </w:tc>
      </w:tr>
      <w:tr>
        <w:tc>
          <w:tcPr>
            <w:tcW w:type="dxa" w:w="192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INVALID_MANIFEST</w:t>
            </w:r>
          </w:p>
        </w:tc>
        <w:tc>
          <w:tcPr>
            <w:tcW w:type="dxa" w:w="368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Compaction manifest inconsistente.</w:t>
            </w:r>
          </w:p>
        </w:tc>
        <w:tc>
          <w:tcPr>
            <w:tcW w:type="dxa" w:w="317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Fallback al locator precedente se ancora disponibile; compaction rollback.</w:t>
            </w:r>
          </w:p>
        </w:tc>
      </w:tr>
    </w:tbl>
    <w:p/>
    <w:p>
      <w:pPr>
        <w:pStyle w:val="Heading1"/>
      </w:pPr>
      <w:r>
        <w:rPr>
          <w:rFonts w:ascii="Noto Sans" w:hAnsi="Noto Sans" w:eastAsia="Noto Sans"/>
        </w:rPr>
        <w:t>11. Canonical Urban Object Model</w:t>
      </w:r>
    </w:p>
    <w:p>
      <w:r>
        <w:rPr>
          <w:rFonts w:ascii="Noto Sans" w:hAnsi="Noto Sans" w:eastAsia="Noto Sans"/>
        </w:rPr>
        <w:t>Un Urban Object è un’identità canonica OUF che rappresenta un’entità del dominio urbano e può aggregare descrizioni provenienti da una o più fonti. Non nasce come semplice copia di una riga sorgente: nasce dalla combinazione di mapping di onboarding, candidate generation e Object Resolution.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>Source instance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 -&gt; mapping Onboarding (targetClass + properties + relations)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 -&gt; Ingestion / ETL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 -&gt; Candidate Urban Object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 -&gt; Object Resolution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    -&gt; NEW_OBJECT | MATCH | REVIEW_REQUIRED | REJECTED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 -&gt; Urban Object Registry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color="D9E2F3"/>
          <w:left w:val="single" w:sz="6" w:color="D9E2F3"/>
          <w:bottom w:val="single" w:sz="6" w:color="D9E2F3"/>
          <w:right w:val="single" w:sz="6" w:color="D9E2F3"/>
          <w:insideH w:val="single" w:sz="6" w:color="D9E2F3"/>
          <w:insideV w:val="single" w:sz="6" w:color="D9E2F3"/>
        </w:tblBorders>
      </w:tblPr>
      <w:tblGrid>
        <w:gridCol w:w="4929"/>
        <w:gridCol w:w="4929"/>
      </w:tblGrid>
      <w:tr>
        <w:trPr>
          <w:tblHeader w:val="true"/>
          <w:tblHeader w:val="true"/>
        </w:trPr>
        <w:tc>
          <w:tcPr>
            <w:tcW w:type="dxa" w:w="2268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b/>
                <w:sz w:val="17"/>
              </w:rPr>
              <w:t>Elemento</w:t>
            </w:r>
          </w:p>
        </w:tc>
        <w:tc>
          <w:tcPr>
            <w:tcW w:type="dxa" w:w="7370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b/>
                <w:sz w:val="17"/>
              </w:rPr>
              <w:t>Descrizione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urbanObjectId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Identificativo canonico stabile, opaco, non derivato obbligatoriamente da una singola fonte.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classRef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Classe/i semantiche ACTIVE applicate alla revisione.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revisionId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Revisione immutabile della materializzazione canonica.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properties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PropertyValue versionati con provenance e DataAccessLabel.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geometry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Geometria canonica e CRS normalizzato, con provenance/authority.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sourceBindings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Legami a sourceId/typeCode/sourceObjectId delle fonti contribuenti.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relationships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Edge materializzati verso altri Urban Object con evidence e temporalità.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authority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Regole/decisioni che stabiliscono quale fonte è autorevole per scope e periodo.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lineage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Traccia dal dato corrente al raw, ai contratti e alle run che lo hanno prodotto.</w:t>
            </w:r>
          </w:p>
        </w:tc>
      </w:tr>
    </w:tbl>
    <w:p>
      <w:pPr>
        <w:pStyle w:val="Heading2"/>
      </w:pPr>
      <w:r>
        <w:rPr>
          <w:rFonts w:ascii="Noto Sans" w:hAnsi="Noto Sans" w:eastAsia="Noto Sans"/>
        </w:rPr>
        <w:t>11.1 Source identity vs source-object identity</w:t>
      </w:r>
    </w:p>
    <w:p>
      <w:r>
        <w:rPr>
          <w:rFonts w:ascii="Noto Sans" w:hAnsi="Noto Sans" w:eastAsia="Noto Sans"/>
        </w:rPr>
        <w:t>La source identity identifica il dataset/sistema sorgente nel suo complesso. Ogni record o feature possiede invece una source-object identity, normalmente (sourceId, typeCode, sourceObjectId). Questa distinzione è vincolante anche per INTERNAL_MANAGED e file Excel/GIS.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>quartieri.xlsx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-&gt; sourceId = ouf-managed-quartieri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-&gt; typeCode = QUARTIERE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-&gt; riga codice=Q01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     -&gt; sourceObjectId=Q01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     -&gt; Candidate Urban Object</w:t>
      </w:r>
    </w:p>
    <w:p>
      <w:pPr>
        <w:pStyle w:val="Heading1"/>
      </w:pPr>
      <w:r>
        <w:rPr>
          <w:rFonts w:ascii="Noto Sans" w:hAnsi="Noto Sans" w:eastAsia="Noto Sans"/>
        </w:rPr>
        <w:t>12. Identità canonica, source binding e continuità</w:t>
      </w:r>
    </w:p>
    <w:p>
      <w:pPr/>
      <w:r>
        <w:rPr>
          <w:rFonts w:ascii="Noto Sans" w:hAnsi="Noto Sans" w:eastAsia="Noto Sans"/>
          <w:sz w:val="18"/>
        </w:rPr>
        <w:t>La chiave sorgente (sourceId, typeCode, sourceObjectId) identifica un’istanza nella sorgente, ma non coincide necessariamente con urbanObjectId. La UDP mantiene una SourceObjectBinding che collega identità sorgenti e identità canoniche.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D4DF"/>
          <w:left w:val="single" w:sz="4" w:color="C9D4DF"/>
          <w:bottom w:val="single" w:sz="4" w:color="C9D4DF"/>
          <w:right w:val="single" w:sz="4" w:color="C9D4DF"/>
          <w:insideH w:val="single" w:sz="4" w:color="C9D4DF"/>
          <w:insideV w:val="single" w:sz="4" w:color="C9D4DF"/>
        </w:tblBorders>
      </w:tblPr>
      <w:tblGrid>
        <w:gridCol w:w="3286"/>
        <w:gridCol w:w="3286"/>
        <w:gridCol w:w="3286"/>
      </w:tblGrid>
      <w:tr>
        <w:tc>
          <w:tcPr>
            <w:tcW w:type="dxa" w:w="2438"/>
            <w:shd w:fill="0B4F6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Entità</w:t>
            </w:r>
          </w:p>
        </w:tc>
        <w:tc>
          <w:tcPr>
            <w:tcW w:type="dxa" w:w="2948"/>
            <w:shd w:fill="0B4F6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Chiave</w:t>
            </w:r>
          </w:p>
        </w:tc>
        <w:tc>
          <w:tcPr>
            <w:tcW w:type="dxa" w:w="4535"/>
            <w:shd w:fill="0B4F6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Regola</w:t>
            </w:r>
          </w:p>
        </w:tc>
      </w:tr>
      <w:t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SourceObjectIdentity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sourceId + typeCode + sourceObjectId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Stabile, non riciclata dalla sorgente</w:t>
            </w:r>
          </w:p>
        </w:tc>
      </w:tr>
      <w:t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UrbanObject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urbanObjectId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Stabile anche se cambia schema sorgente o authority</w:t>
            </w:r>
          </w:p>
        </w:tc>
      </w:tr>
      <w:t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SourceObjectBinding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source identity + urbanObjectId + validità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Versionata e auditabile</w:t>
            </w:r>
          </w:p>
        </w:tc>
      </w:tr>
      <w:t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ObjectAlias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external identifier + scheme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Può supportare lookup e riconciliazione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E7D32"/>
          <w:left w:val="single" w:sz="8" w:color="2E7D32"/>
          <w:bottom w:val="single" w:sz="8" w:color="2E7D32"/>
          <w:right w:val="single" w:sz="8" w:color="2E7D32"/>
          <w:insideH w:val="single" w:sz="8" w:color="2E7D32"/>
          <w:insideV w:val="single" w:sz="8" w:color="2E7D32"/>
        </w:tblBorders>
      </w:tblPr>
      <w:tblGrid>
        <w:gridCol w:w="9858"/>
      </w:tblGrid>
      <w:tr>
        <w:tc>
          <w:tcPr>
            <w:tcW w:type="dxa" w:w="9858"/>
            <w:shd w:fill="EDF7ED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rFonts w:ascii="Noto Sans" w:hAnsi="Noto Sans" w:eastAsia="Noto Sans" w:cs="Noto Sans"/>
                <w:b/>
                <w:color w:val="2E7D32"/>
                <w:sz w:val="17"/>
              </w:rPr>
              <w:t xml:space="preserve">Invariante OBJ-ID-01 — </w:t>
            </w:r>
            <w:r>
              <w:rPr>
                <w:rFonts w:ascii="Noto Sans" w:hAnsi="Noto Sans" w:eastAsia="Noto Sans" w:cs="Noto Sans"/>
                <w:sz w:val="17"/>
              </w:rPr>
              <w:t>Un cambio di schema della fonte non crea automaticamente un nuovo Urban Object se l’identità sorgente e le evidenze indicano continuità della stessa entità.</w:t>
            </w:r>
          </w:p>
        </w:tc>
      </w:tr>
    </w:tbl>
    <w:p>
      <w:pPr>
        <w:pStyle w:val="Heading1"/>
      </w:pPr>
      <w:r>
        <w:rPr>
          <w:rFonts w:ascii="Noto Sans" w:hAnsi="Noto Sans" w:eastAsia="Noto Sans"/>
        </w:rPr>
        <w:t>13. Temporalità, revisioning e bitemporalità selettiva</w:t>
      </w:r>
    </w:p>
    <w:p>
      <w:r>
        <w:rPr>
          <w:rFonts w:ascii="Noto Sans" w:hAnsi="Noto Sans" w:eastAsia="Noto Sans"/>
        </w:rPr>
        <w:t>La baseline v1.2 adotta temporalità esplicita ma non impone un modello bitemporale fisico completo su ogni proprietà. Il valid time descrive quando il fatto è valido nel dominio; observedAt e storedAt costituiscono system evidence, cioè quando OUF ha osservato e reso durevole l’evidenza. La UDP non inventa validTo e non crea systemFrom/systemTo indiscriminati su ogni valore o edge.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color="D9E2F3"/>
          <w:left w:val="single" w:sz="6" w:color="D9E2F3"/>
          <w:bottom w:val="single" w:sz="6" w:color="D9E2F3"/>
          <w:right w:val="single" w:sz="6" w:color="D9E2F3"/>
          <w:insideH w:val="single" w:sz="6" w:color="D9E2F3"/>
          <w:insideV w:val="single" w:sz="6" w:color="D9E2F3"/>
        </w:tblBorders>
      </w:tblPr>
      <w:tblGrid>
        <w:gridCol w:w="2464"/>
        <w:gridCol w:w="2464"/>
        <w:gridCol w:w="2464"/>
        <w:gridCol w:w="2464"/>
      </w:tblGrid>
      <w:tr>
        <w:trPr>
          <w:tblHeader w:val="true"/>
          <w:tblHeader w:val="true"/>
        </w:trPr>
        <w:tc>
          <w:tcPr>
            <w:tcW w:type="dxa" w:w="2268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b/>
                <w:sz w:val="17"/>
              </w:rPr>
              <w:t>Caso</w:t>
            </w:r>
          </w:p>
        </w:tc>
        <w:tc>
          <w:tcPr>
            <w:tcW w:type="dxa" w:w="2268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b/>
                <w:sz w:val="17"/>
              </w:rPr>
              <w:t>validFrom</w:t>
            </w:r>
          </w:p>
        </w:tc>
        <w:tc>
          <w:tcPr>
            <w:tcW w:type="dxa" w:w="2268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b/>
                <w:sz w:val="17"/>
              </w:rPr>
              <w:t>validTo</w:t>
            </w:r>
          </w:p>
        </w:tc>
        <w:tc>
          <w:tcPr>
            <w:tcW w:type="dxa" w:w="3402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b/>
                <w:sz w:val="17"/>
              </w:rPr>
              <w:t>Decisione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Scadenza esplicita nella fonte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dal dato sorgente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dal dato sorgente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La fonte/mapping è autoritativa.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Validità aperta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da evento/observation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NULL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Resta valida fino a nuova evidenza.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Nuova revisione sostitutiva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inizio nuova validità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chiude la revisione precedente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La materializzazione chiude l’intervallo precedente quando la semantica lo richiede.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Scadenza calcolata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da dato sorgente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derivata da regola di dominio approvata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La regola deve essere definita nel mapping/policy, non inventata dalla UDP.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Rettifica retroattiva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può essere nel passato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coerente con la rettifica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System time conserva quando OUF ha appreso la rettifica.</w:t>
            </w:r>
          </w:p>
        </w:tc>
      </w:tr>
    </w:tbl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>validFrom  = 2026-01-01T00:00:00Z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>validTo    = null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>observedAt = 2026-02-03T11:42:00Z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>storedAt   = 2026-02-03T11:42:04Z</w:t>
      </w:r>
    </w:p>
    <w:p>
      <w:pPr>
        <w:pStyle w:val="Heading2"/>
      </w:pPr>
      <w:r>
        <w:rPr>
          <w:rFonts w:ascii="Noto Sans" w:hAnsi="Noto Sans"/>
        </w:rPr>
        <w:t>13.1 Bitemporalità selettiva</w:t>
      </w:r>
    </w:p>
    <w:p>
      <w:pPr/>
      <w:r>
        <w:rPr>
          <w:rFonts w:ascii="Noto Sans" w:hAnsi="Noto Sans"/>
        </w:rPr>
        <w:t>Il system interval completo è ammesso solo per aggregate o fatti marcati BITEMPORAL_REQUIRED da un requisito di dominio, audit o compliance. Negli altri casi la ricostruzione storica usa revisionId, validFrom/validTo, observedAt, storedAt e provenance della run. Questo evita di moltiplicare intervalli temporali e indici senza un beneficio funzionale misurabile.</w:t>
      </w:r>
    </w:p>
    <w:p>
      <w:pPr>
        <w:pStyle w:val="ListBullet"/>
      </w:pPr>
      <w:r>
        <w:rPr>
          <w:rFonts w:ascii="Noto Sans" w:hAnsi="Noto Sans"/>
        </w:rPr>
        <w:t>BITEMP-01 — validFrom/validTo rappresentano il tempo di dominio; validTo può restare NULL fino a nuova evidenza o provenire da una regola approvata.</w:t>
      </w:r>
    </w:p>
    <w:p>
      <w:pPr>
        <w:pStyle w:val="ListBullet"/>
      </w:pPr>
      <w:r>
        <w:rPr>
          <w:rFonts w:ascii="Noto Sans" w:hAnsi="Noto Sans"/>
        </w:rPr>
        <w:t>BITEMP-02 — observedAt/storedAt sono system evidence; non implicano di default un secondo intervallo SQL aperto/chiuso.</w:t>
      </w:r>
    </w:p>
    <w:p>
      <w:pPr>
        <w:pStyle w:val="ListBullet"/>
      </w:pPr>
      <w:r>
        <w:rPr>
          <w:rFonts w:ascii="Noto Sans" w:hAnsi="Noto Sans"/>
        </w:rPr>
        <w:t>BITEMP-03 — la modalità BITEMPORAL_REQUIRED deve essere dichiarata nel mapping/policy e testata esplicitamente.</w:t>
      </w:r>
    </w:p>
    <w:p>
      <w:pPr>
        <w:pStyle w:val="ListBullet"/>
      </w:pPr>
      <w:r>
        <w:rPr>
          <w:rFonts w:ascii="Noto Sans" w:hAnsi="Noto Sans"/>
        </w:rPr>
        <w:t>BITEMP-04 — rettifiche retroattive preservano sia il valid time corretto sia il momento in cui OUF ha appreso la rettifica.</w:t>
      </w:r>
    </w:p>
    <w:p>
      <w:pPr>
        <w:pStyle w:val="Heading2"/>
      </w:pPr>
      <w:r>
        <w:rPr>
          <w:rFonts w:ascii="Noto Sans" w:hAnsi="Noto Sans"/>
        </w:rPr>
        <w:t>13.2 Regola di creazione della revisione</w:t>
      </w:r>
    </w:p>
    <w:p>
      <w:pPr/>
      <w:r>
        <w:rPr>
          <w:rFonts w:ascii="Noto Sans" w:hAnsi="Noto Sans"/>
        </w:rPr>
        <w:t>Una nuova osservazione della sorgente non produce automaticamente una nuova Canonical Revision. Il materializer confronta l’evidenza canonica rilevante tramite content hash e change classification: se proprietà, geometria, relazioni, authority, validità e classificazione di accesso non cambiano, la revisione corrente resta invariata e viene registrata solo l’evidenza tecnica della run.</w:t>
      </w:r>
    </w:p>
    <w:p>
      <w:pPr>
        <w:pStyle w:val="OUFCode"/>
      </w:pPr>
      <w:r>
        <w:t>source event != canonical revision</w:t>
      </w:r>
    </w:p>
    <w:p>
      <w:pPr>
        <w:pStyle w:val="OUFCode"/>
      </w:pPr>
      <w:r>
        <w:t>newCanonicalRevision = materialChange(canonicalContent, geometry, relationships, authority, validity, accessLabel)</w:t>
      </w:r>
    </w:p>
    <w:p>
      <w:pPr>
        <w:pStyle w:val="Heading2"/>
      </w:pPr>
      <w:r>
        <w:rPr>
          <w:rFonts w:ascii="Noto Sans" w:hAnsi="Noto Sans"/>
        </w:rPr>
        <w:t>13.3 Current / history / cold storage profile</w:t>
      </w:r>
    </w:p>
    <w:p>
      <w:pPr/>
      <w:r>
        <w:rPr>
          <w:rFonts w:ascii="Noto Sans" w:hAnsi="Noto Sans"/>
        </w:rPr>
        <w:t>Il current serving state è separato dalla history append-only. Le tabelle correnti restano piccole e indicizzate; le revisioni storiche sono partizionabili e, quando il payload completo diventa cold, PostgreSQL può conservarne metadata, hash e objectStorageRef mentre il contenuto storico resta nell’object storage. Snapshot periodici e delta/patch sono ammessi per evitare la duplicazione integrale di JSONB a ogni revisione.</w:t>
      </w:r>
    </w:p>
    <w:p>
      <w:pPr>
        <w:pStyle w:val="Heading2"/>
      </w:pPr>
      <w:r>
        <w:rPr>
          <w:rFonts w:ascii="Noto Sans" w:hAnsi="Noto Sans"/>
        </w:rPr>
        <w:t>13.4 Change Representation Profile e persistenza delta-aware</w:t>
      </w:r>
    </w:p>
    <w:p>
      <w:pPr/>
      <w:r>
        <w:rPr>
          <w:rFonts w:ascii="Noto Sans" w:hAnsi="Noto Sans"/>
        </w:rPr>
        <w:t>Il materializer non deve assumere che ogni modifica richieda la lettura, deserializzazione e riscrittura dell'intero payload JSONB corrente. Per ogni source/type ad alta frequenza l'Onboarding/PublishedConfigurationBundle può dichiarare un ChangeRepresentationProfile che determina la granularità della variazione ricevuta e il comportamento di materializzazione.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tcBorders>
              <w:top w:val="single" w:sz="4" w:space="0" w:color="C7D4E2"/>
              <w:left w:val="single" w:sz="4" w:space="0" w:color="C7D4E2"/>
              <w:bottom w:val="single" w:sz="4" w:space="0" w:color="C7D4E2"/>
              <w:right w:val="single" w:sz="4" w:space="0" w:color="C7D4E2"/>
              <w:insideH w:val="single" w:sz="4" w:space="0" w:color="C7D4E2"/>
              <w:insideV w:val="single" w:sz="4" w:space="0" w:color="C7D4E2"/>
            </w:tcBorders>
            <w:shd w:fill="0B4F6C"/>
          </w:tcPr>
          <w:p>
            <w:r>
              <w:rPr>
                <w:rFonts w:ascii="Noto Sans" w:hAnsi="Noto Sans"/>
                <w:b/>
                <w:color w:val="FFFFFF"/>
                <w:sz w:val="17"/>
              </w:rPr>
              <w:t>Profilo</w:t>
            </w:r>
          </w:p>
        </w:tc>
        <w:tc>
          <w:tcPr>
            <w:tcW w:type="dxa" w:w="3286"/>
            <w:tcBorders>
              <w:top w:val="single" w:sz="4" w:space="0" w:color="C7D4E2"/>
              <w:left w:val="single" w:sz="4" w:space="0" w:color="C7D4E2"/>
              <w:bottom w:val="single" w:sz="4" w:space="0" w:color="C7D4E2"/>
              <w:right w:val="single" w:sz="4" w:space="0" w:color="C7D4E2"/>
              <w:insideH w:val="single" w:sz="4" w:space="0" w:color="C7D4E2"/>
              <w:insideV w:val="single" w:sz="4" w:space="0" w:color="C7D4E2"/>
            </w:tcBorders>
            <w:shd w:fill="0B4F6C"/>
          </w:tcPr>
          <w:p>
            <w:r>
              <w:rPr>
                <w:rFonts w:ascii="Noto Sans" w:hAnsi="Noto Sans"/>
                <w:b/>
                <w:color w:val="FFFFFF"/>
                <w:sz w:val="17"/>
              </w:rPr>
              <w:t>Semantica</w:t>
            </w:r>
          </w:p>
        </w:tc>
        <w:tc>
          <w:tcPr>
            <w:tcW w:type="dxa" w:w="3286"/>
            <w:tcBorders>
              <w:top w:val="single" w:sz="4" w:space="0" w:color="C7D4E2"/>
              <w:left w:val="single" w:sz="4" w:space="0" w:color="C7D4E2"/>
              <w:bottom w:val="single" w:sz="4" w:space="0" w:color="C7D4E2"/>
              <w:right w:val="single" w:sz="4" w:space="0" w:color="C7D4E2"/>
              <w:insideH w:val="single" w:sz="4" w:space="0" w:color="C7D4E2"/>
              <w:insideV w:val="single" w:sz="4" w:space="0" w:color="C7D4E2"/>
            </w:tcBorders>
            <w:shd w:fill="0B4F6C"/>
          </w:tcPr>
          <w:p>
            <w:r>
              <w:rPr>
                <w:rFonts w:ascii="Noto Sans" w:hAnsi="Noto Sans"/>
                <w:b/>
                <w:color w:val="FFFFFF"/>
                <w:sz w:val="17"/>
              </w:rPr>
              <w:t>Uso baseline</w:t>
            </w:r>
          </w:p>
        </w:tc>
      </w:tr>
      <w:tr>
        <w:tc>
          <w:tcPr>
            <w:tcW w:type="dxa" w:w="3286"/>
            <w:tcBorders>
              <w:top w:val="single" w:sz="4" w:space="0" w:color="C7D4E2"/>
              <w:left w:val="single" w:sz="4" w:space="0" w:color="C7D4E2"/>
              <w:bottom w:val="single" w:sz="4" w:space="0" w:color="C7D4E2"/>
              <w:right w:val="single" w:sz="4" w:space="0" w:color="C7D4E2"/>
              <w:insideH w:val="single" w:sz="4" w:space="0" w:color="C7D4E2"/>
              <w:insideV w:val="single" w:sz="4" w:space="0" w:color="C7D4E2"/>
            </w:tcBorders>
            <w:shd w:fill="FFFFFF"/>
          </w:tcPr>
          <w:p>
            <w:r>
              <w:rPr>
                <w:rFonts w:ascii="Noto Sans" w:hAnsi="Noto Sans"/>
                <w:sz w:val="17"/>
              </w:rPr>
              <w:t>FULL_SNAPSHOT</w:t>
            </w:r>
          </w:p>
        </w:tc>
        <w:tc>
          <w:tcPr>
            <w:tcW w:type="dxa" w:w="3286"/>
            <w:tcBorders>
              <w:top w:val="single" w:sz="4" w:space="0" w:color="C7D4E2"/>
              <w:left w:val="single" w:sz="4" w:space="0" w:color="C7D4E2"/>
              <w:bottom w:val="single" w:sz="4" w:space="0" w:color="C7D4E2"/>
              <w:right w:val="single" w:sz="4" w:space="0" w:color="C7D4E2"/>
              <w:insideH w:val="single" w:sz="4" w:space="0" w:color="C7D4E2"/>
              <w:insideV w:val="single" w:sz="4" w:space="0" w:color="C7D4E2"/>
            </w:tcBorders>
            <w:shd w:fill="FFFFFF"/>
          </w:tcPr>
          <w:p>
            <w:r>
              <w:rPr>
                <w:rFonts w:ascii="Noto Sans" w:hAnsi="Noto Sans"/>
                <w:sz w:val="17"/>
              </w:rPr>
              <w:t>La sorgente/handoff rappresenta lo stato completo osservato.</w:t>
            </w:r>
          </w:p>
        </w:tc>
        <w:tc>
          <w:tcPr>
            <w:tcW w:type="dxa" w:w="3286"/>
            <w:tcBorders>
              <w:top w:val="single" w:sz="4" w:space="0" w:color="C7D4E2"/>
              <w:left w:val="single" w:sz="4" w:space="0" w:color="C7D4E2"/>
              <w:bottom w:val="single" w:sz="4" w:space="0" w:color="C7D4E2"/>
              <w:right w:val="single" w:sz="4" w:space="0" w:color="C7D4E2"/>
              <w:insideH w:val="single" w:sz="4" w:space="0" w:color="C7D4E2"/>
              <w:insideV w:val="single" w:sz="4" w:space="0" w:color="C7D4E2"/>
            </w:tcBorders>
            <w:shd w:fill="FFFFFF"/>
          </w:tcPr>
          <w:p>
            <w:r>
              <w:rPr>
                <w:rFonts w:ascii="Noto Sans" w:hAnsi="Noto Sans"/>
                <w:sz w:val="17"/>
              </w:rPr>
              <w:t>Compatibilità universale; hash/change detection prima di creare revisioni.</w:t>
            </w:r>
          </w:p>
        </w:tc>
      </w:tr>
      <w:tr>
        <w:tc>
          <w:tcPr>
            <w:tcW w:type="dxa" w:w="3286"/>
            <w:tcBorders>
              <w:top w:val="single" w:sz="4" w:space="0" w:color="C7D4E2"/>
              <w:left w:val="single" w:sz="4" w:space="0" w:color="C7D4E2"/>
              <w:bottom w:val="single" w:sz="4" w:space="0" w:color="C7D4E2"/>
              <w:right w:val="single" w:sz="4" w:space="0" w:color="C7D4E2"/>
              <w:insideH w:val="single" w:sz="4" w:space="0" w:color="C7D4E2"/>
              <w:insideV w:val="single" w:sz="4" w:space="0" w:color="C7D4E2"/>
            </w:tcBorders>
            <w:shd w:fill="F3F6F9"/>
          </w:tcPr>
          <w:p>
            <w:r>
              <w:rPr>
                <w:rFonts w:ascii="Noto Sans" w:hAnsi="Noto Sans"/>
                <w:sz w:val="17"/>
              </w:rPr>
              <w:t>DELTA_PATCH</w:t>
            </w:r>
          </w:p>
        </w:tc>
        <w:tc>
          <w:tcPr>
            <w:tcW w:type="dxa" w:w="3286"/>
            <w:tcBorders>
              <w:top w:val="single" w:sz="4" w:space="0" w:color="C7D4E2"/>
              <w:left w:val="single" w:sz="4" w:space="0" w:color="C7D4E2"/>
              <w:bottom w:val="single" w:sz="4" w:space="0" w:color="C7D4E2"/>
              <w:right w:val="single" w:sz="4" w:space="0" w:color="C7D4E2"/>
              <w:insideH w:val="single" w:sz="4" w:space="0" w:color="C7D4E2"/>
              <w:insideV w:val="single" w:sz="4" w:space="0" w:color="C7D4E2"/>
            </w:tcBorders>
            <w:shd w:fill="F3F6F9"/>
          </w:tcPr>
          <w:p>
            <w:r>
              <w:rPr>
                <w:rFonts w:ascii="Noto Sans" w:hAnsi="Noto Sans"/>
                <w:sz w:val="17"/>
              </w:rPr>
              <w:t>L'handoff contiene una patch tipizzata rispetto allo stato canonico noto.</w:t>
            </w:r>
          </w:p>
        </w:tc>
        <w:tc>
          <w:tcPr>
            <w:tcW w:type="dxa" w:w="3286"/>
            <w:tcBorders>
              <w:top w:val="single" w:sz="4" w:space="0" w:color="C7D4E2"/>
              <w:left w:val="single" w:sz="4" w:space="0" w:color="C7D4E2"/>
              <w:bottom w:val="single" w:sz="4" w:space="0" w:color="C7D4E2"/>
              <w:right w:val="single" w:sz="4" w:space="0" w:color="C7D4E2"/>
              <w:insideH w:val="single" w:sz="4" w:space="0" w:color="C7D4E2"/>
              <w:insideV w:val="single" w:sz="4" w:space="0" w:color="C7D4E2"/>
            </w:tcBorders>
            <w:shd w:fill="F3F6F9"/>
          </w:tcPr>
          <w:p>
            <w:r>
              <w:rPr>
                <w:rFonts w:ascii="Noto Sans" w:hAnsi="Noto Sans"/>
                <w:sz w:val="17"/>
              </w:rPr>
              <w:t>Preferito per asset ad alta frequenza quando sorgente/adapter lo supporta.</w:t>
            </w:r>
          </w:p>
        </w:tc>
      </w:tr>
      <w:tr>
        <w:tc>
          <w:tcPr>
            <w:tcW w:type="dxa" w:w="3286"/>
            <w:tcBorders>
              <w:top w:val="single" w:sz="4" w:space="0" w:color="C7D4E2"/>
              <w:left w:val="single" w:sz="4" w:space="0" w:color="C7D4E2"/>
              <w:bottom w:val="single" w:sz="4" w:space="0" w:color="C7D4E2"/>
              <w:right w:val="single" w:sz="4" w:space="0" w:color="C7D4E2"/>
              <w:insideH w:val="single" w:sz="4" w:space="0" w:color="C7D4E2"/>
              <w:insideV w:val="single" w:sz="4" w:space="0" w:color="C7D4E2"/>
            </w:tcBorders>
            <w:shd w:fill="FFFFFF"/>
          </w:tcPr>
          <w:p>
            <w:r>
              <w:rPr>
                <w:rFonts w:ascii="Noto Sans" w:hAnsi="Noto Sans"/>
                <w:sz w:val="17"/>
              </w:rPr>
              <w:t>PROPERTY_EVENTS</w:t>
            </w:r>
          </w:p>
        </w:tc>
        <w:tc>
          <w:tcPr>
            <w:tcW w:type="dxa" w:w="3286"/>
            <w:tcBorders>
              <w:top w:val="single" w:sz="4" w:space="0" w:color="C7D4E2"/>
              <w:left w:val="single" w:sz="4" w:space="0" w:color="C7D4E2"/>
              <w:bottom w:val="single" w:sz="4" w:space="0" w:color="C7D4E2"/>
              <w:right w:val="single" w:sz="4" w:space="0" w:color="C7D4E2"/>
              <w:insideH w:val="single" w:sz="4" w:space="0" w:color="C7D4E2"/>
              <w:insideV w:val="single" w:sz="4" w:space="0" w:color="C7D4E2"/>
            </w:tcBorders>
            <w:shd w:fill="FFFFFF"/>
          </w:tcPr>
          <w:p>
            <w:r>
              <w:rPr>
                <w:rFonts w:ascii="Noto Sans" w:hAnsi="Noto Sans"/>
                <w:sz w:val="17"/>
              </w:rPr>
              <w:t>L'handoff descrive eventi/property changes indipendenti.</w:t>
            </w:r>
          </w:p>
        </w:tc>
        <w:tc>
          <w:tcPr>
            <w:tcW w:type="dxa" w:w="3286"/>
            <w:tcBorders>
              <w:top w:val="single" w:sz="4" w:space="0" w:color="C7D4E2"/>
              <w:left w:val="single" w:sz="4" w:space="0" w:color="C7D4E2"/>
              <w:bottom w:val="single" w:sz="4" w:space="0" w:color="C7D4E2"/>
              <w:right w:val="single" w:sz="4" w:space="0" w:color="C7D4E2"/>
              <w:insideH w:val="single" w:sz="4" w:space="0" w:color="C7D4E2"/>
              <w:insideV w:val="single" w:sz="4" w:space="0" w:color="C7D4E2"/>
            </w:tcBorders>
            <w:shd w:fill="FFFFFF"/>
          </w:tcPr>
          <w:p>
            <w:r>
              <w:rPr>
                <w:rFonts w:ascii="Noto Sans" w:hAnsi="Noto Sans"/>
                <w:sz w:val="17"/>
              </w:rPr>
              <w:t>Per domini con cambi puntuali e frequenti; richiede event contract esplicito.</w:t>
            </w:r>
          </w:p>
        </w:tc>
      </w:tr>
    </w:tbl>
    <w:p>
      <w:pPr/>
      <w:r>
        <w:rPr>
          <w:rFonts w:ascii="Noto Sans" w:hAnsi="Noto Sans"/>
        </w:rPr>
        <w:t>Regola CHG-01 — La baseline non impone ai verticali l'emissione di delta: snapshot completi restano supportati. Adapter/ETL può tuttavia produrre un delta canonico interno prima della persistenza. Per sorgenti ad alta frequenza l'adozione di DELTA_PATCH o PROPERTY_EVENTS è una decisione di onboarding/capacity, non una trasformazione ad hoc del runtime.</w:t>
      </w:r>
    </w:p>
    <w:p>
      <w:pPr/>
      <w:r>
        <w:rPr>
          <w:rFonts w:ascii="Noto Sans" w:hAnsi="Noto Sans"/>
        </w:rPr>
        <w:t>Regola CHG-02 — Il confronto deve poter avvenire tramite hash separati almeno per canonical content, geometry, relationships, authority/validity e access label. Ove utile sono ammessi property/section hash. Il materializer non deve leggere e parsare il precedente JSONB completo se hash/fingerprint sufficienti dimostrano l'assenza di material change.</w:t>
      </w:r>
    </w:p>
    <w:p>
      <w:pPr/>
      <w:r>
        <w:rPr>
          <w:rFonts w:ascii="Noto Sans" w:hAnsi="Noto Sans"/>
        </w:rPr>
        <w:t>Regola CHG-03 — Snapshot completi periodici possono essere mantenuti come checkpoint di recovery; tra due checkpoint le revisioni possono essere rappresentate come delta/patch. La ricostruzione deterministica deve essere verificabile e non può dipendere da stato volatile del worker.</w:t>
      </w:r>
    </w:p>
    <w:p>
      <w:pPr/>
      <w:r>
        <w:rPr>
          <w:rFonts w:ascii="Noto Sans" w:hAnsi="Noto Sans"/>
        </w:rPr>
        <w:t>Regola CHG-04 — Payload JSONB voluminosi e quasi identici non devono essere riscritti sistematicamente per un singolo cambio di proprietà. Il design fisico deve evitare amplification CPU lato Java/Jackson e amplification TOAST lato PostgreSQL; le proprietà ad alta frequenza possono essere persistite in strutture normalizzate/delta-oriented e referenziate dalla revisione canonica.</w:t>
      </w:r>
    </w:p>
    <w:p>
      <w:pPr>
        <w:pStyle w:val="Heading1"/>
      </w:pPr>
      <w:r>
        <w:rPr>
          <w:rFonts w:ascii="Noto Sans" w:hAnsi="Noto Sans" w:eastAsia="Noto Sans"/>
        </w:rPr>
        <w:t>14. Provenance e lineage end-to-end</w:t>
      </w:r>
    </w:p>
    <w:p>
      <w:r>
        <w:rPr>
          <w:rFonts w:ascii="Noto Sans" w:hAnsi="Noto Sans" w:eastAsia="Noto Sans"/>
        </w:rPr>
        <w:t>Ogni valore materializzato deve poter essere ricondotto alla fonte, al raw, allo schema, al bundle, al mapping, al publication set semantico e alla run che lo ha prodotto. Il lineage è property-level quando necessario e relationship-level per gli edge.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>UrbanObject DEHOR-471 / property area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 &lt;- PropertyProvenance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 &lt;- sourceId=SUO, sourceObjectId=983442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 &lt;- rawObjectRef=raw://.../983442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 &lt;- sourceSchema=3.2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 &lt;- bundle=SUO-v17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 &lt;- mapping=map-area-v4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 &lt;- semanticPublicationSet=sem-2026-09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 &lt;- ingestionRun=ING-...</w:t>
      </w:r>
    </w:p>
    <w:p>
      <w:pPr>
        <w:pStyle w:val="ListBullet"/>
      </w:pPr>
      <w:r>
        <w:rPr>
          <w:rFonts w:ascii="Noto Sans" w:hAnsi="Noto Sans" w:eastAsia="Noto Sans"/>
        </w:rPr>
        <w:t>Il consumer può chiedere lineage tramite capability, non accedere al raw automaticamente.</w:t>
      </w:r>
    </w:p>
    <w:p>
      <w:pPr>
        <w:pStyle w:val="ListBullet"/>
      </w:pPr>
      <w:r>
        <w:rPr>
          <w:rFonts w:ascii="Noto Sans" w:hAnsi="Noto Sans" w:eastAsia="Noto Sans"/>
        </w:rPr>
        <w:t>Il valore sorgente può essere masked/redacted se il principal non possiede la relativa autorizzazione.</w:t>
      </w:r>
    </w:p>
    <w:p>
      <w:pPr>
        <w:pStyle w:val="ListBullet"/>
      </w:pPr>
      <w:r>
        <w:rPr>
          <w:rFonts w:ascii="Noto Sans" w:hAnsi="Noto Sans" w:eastAsia="Noto Sans"/>
        </w:rPr>
        <w:t>Historical contracts referenziati da dati soggetti a retention/replay non possono essere eliminati.</w:t>
      </w:r>
    </w:p>
    <w:p>
      <w:pPr>
        <w:pStyle w:val="Heading1"/>
      </w:pPr>
      <w:r>
        <w:rPr>
          <w:rFonts w:ascii="Noto Sans" w:hAnsi="Noto Sans" w:eastAsia="Noto Sans"/>
        </w:rPr>
        <w:t>15. Multi-source Urban Object e Authority Engine</w:t>
      </w:r>
    </w:p>
    <w:p>
      <w:r>
        <w:rPr>
          <w:rFonts w:ascii="Noto Sans" w:hAnsi="Noto Sans" w:eastAsia="Noto Sans"/>
        </w:rPr>
        <w:t>Più fonti possono descrivere lo stesso Urban Object con specializzazioni differenti. L’Object Resolution lega le source-object identity alla stessa identità canonica; l’Authority Engine decide quali contributi governano ciascuna proprietà, relazione o geometria.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>SUO ---------------------&gt; DEHOR-471 &lt;--------------------- TRIBUTI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geometry                   |                             taxAmount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surface                    |                             paymentStatus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concessionValidity         |                             accountingPosition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                          v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                   single Urban Object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color="D9E2F3"/>
          <w:left w:val="single" w:sz="6" w:color="D9E2F3"/>
          <w:bottom w:val="single" w:sz="6" w:color="D9E2F3"/>
          <w:right w:val="single" w:sz="6" w:color="D9E2F3"/>
          <w:insideH w:val="single" w:sz="6" w:color="D9E2F3"/>
          <w:insideV w:val="single" w:sz="6" w:color="D9E2F3"/>
        </w:tblBorders>
      </w:tblPr>
      <w:tblGrid>
        <w:gridCol w:w="4929"/>
        <w:gridCol w:w="4929"/>
      </w:tblGrid>
      <w:tr>
        <w:trPr>
          <w:tblHeader w:val="true"/>
          <w:tblHeader w:val="true"/>
        </w:trPr>
        <w:tc>
          <w:tcPr>
            <w:tcW w:type="dxa" w:w="3402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b/>
                <w:sz w:val="17"/>
              </w:rPr>
              <w:t>Scope</w:t>
            </w:r>
          </w:p>
        </w:tc>
        <w:tc>
          <w:tcPr>
            <w:tcW w:type="dxa" w:w="6236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b/>
                <w:sz w:val="17"/>
              </w:rPr>
              <w:t>Esempio authority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Object identity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Resolution/registry mantiene DEHOR-471 come identità canonica.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Property: geometry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SUO.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Property: surface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SUO.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Property: taxAmount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Sistema Tributi.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Relationship: authorisedBy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Fonte amministrativa titolare.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Periodo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Authority può cambiare nel tempo mantenendo storico.</w:t>
            </w:r>
          </w:p>
        </w:tc>
      </w:tr>
    </w:tbl>
    <w:p>
      <w:pPr>
        <w:pStyle w:val="Heading2"/>
      </w:pPr>
      <w:r>
        <w:rPr>
          <w:rFonts w:ascii="Noto Sans" w:hAnsi="Noto Sans" w:eastAsia="Noto Sans"/>
        </w:rPr>
        <w:t>15.1 Conflict semantics</w:t>
      </w:r>
    </w:p>
    <w:p>
      <w:pPr>
        <w:pStyle w:val="ListBullet"/>
      </w:pPr>
      <w:r>
        <w:rPr>
          <w:rFonts w:ascii="Noto Sans" w:hAnsi="Noto Sans" w:eastAsia="Noto Sans"/>
        </w:rPr>
        <w:t>Nessuna fonte vince per semplice “ultimo aggiornamento” se la policy non lo dichiara.</w:t>
      </w:r>
    </w:p>
    <w:p>
      <w:pPr>
        <w:pStyle w:val="ListBullet"/>
      </w:pPr>
      <w:r>
        <w:rPr>
          <w:rFonts w:ascii="Noto Sans" w:hAnsi="Noto Sans" w:eastAsia="Noto Sans"/>
        </w:rPr>
        <w:t>Conflitto tra fonti autorevoli produce issue/review quando non risolvibile deterministicamente.</w:t>
      </w:r>
    </w:p>
    <w:p>
      <w:pPr>
        <w:pStyle w:val="ListBullet"/>
      </w:pPr>
      <w:r>
        <w:rPr>
          <w:rFonts w:ascii="Noto Sans" w:hAnsi="Noto Sans" w:eastAsia="Noto Sans"/>
        </w:rPr>
        <w:t>OUF_SYSTEM può essere authority temporanea e cedere successivamente a una fonte esterna mantenendo identità e provenance storica.</w:t>
      </w:r>
    </w:p>
    <w:p>
      <w:pPr>
        <w:pStyle w:val="Heading1"/>
      </w:pPr>
      <w:r>
        <w:rPr>
          <w:rFonts w:ascii="Noto Sans" w:hAnsi="Noto Sans" w:eastAsia="Noto Sans"/>
        </w:rPr>
        <w:t>16. Authority Engine: livelli, priorità e conflitti</w:t>
      </w:r>
    </w:p>
    <w:p>
      <w:r>
        <w:rPr>
          <w:rFonts w:ascii="Noto Sans" w:hAnsi="Noto Sans" w:eastAsia="Noto Sans"/>
          <w:b w:val="0"/>
          <w:sz w:val="18"/>
        </w:rPr>
        <w:t>L’Authority Engine determina quale contributo governa il current canonical view quando più fonti forniscono valori per la stessa entità. L’autorità è versionata e può essere diversa per proprietà, geometria e relazione.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>Contributions for STREET-00123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 xml:space="preserve">  OUF_SYSTEM.name        = "Via Roma"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 xml:space="preserve">  Toponomastica.name     = "Via Roma"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 xml:space="preserve">  WFS_Roads.geometry     = LINESTRING(...)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>AuthorityPolicy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 xml:space="preserve">  name     -&gt; Toponomastica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 xml:space="preserve">  geometry -&gt; WFS_Roads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>Canonical current view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 xml:space="preserve">  name     = contribution(Toponomastica)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 xml:space="preserve">  geometry = contribution(WFS_Roads)</w:t>
      </w:r>
    </w:p>
    <w:p>
      <w:pPr>
        <w:pStyle w:val="Heading2"/>
      </w:pPr>
      <w:r>
        <w:rPr>
          <w:rFonts w:ascii="Noto Sans" w:hAnsi="Noto Sans" w:eastAsia="Noto Sans"/>
        </w:rPr>
        <w:t>16.1 Livelli di authority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0B4F6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Livello</w:t>
            </w:r>
          </w:p>
        </w:tc>
        <w:tc>
          <w:tcPr>
            <w:tcW w:type="dxa" w:w="3286"/>
            <w:shd w:fill="0B4F6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Esempio</w:t>
            </w:r>
          </w:p>
        </w:tc>
        <w:tc>
          <w:tcPr>
            <w:tcW w:type="dxa" w:w="3286"/>
            <w:shd w:fill="0B4F6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Regola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Object type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Toponomastica autoritativa per Street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Default per tutte le proprietà salvo override.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Property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WFS tecnico autoritativo per geometry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Override più specifico.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Relationship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Registro concessioni autoritativo per authorisedBy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Authority distinta dagli attributi.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Temporal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OUF_SYSTEM fino al 2028, fonte esterna dal 2028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validFrom/validTo obbligatori.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Fallback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SOURCE_PRIORITY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Usato solo se la fonte autoritativa non offre il valore e la policy lo consente.</w:t>
            </w:r>
          </w:p>
        </w:tc>
      </w:tr>
    </w:tbl>
    <w:p>
      <w:pPr>
        <w:pStyle w:val="Heading2"/>
      </w:pPr>
      <w:r>
        <w:rPr>
          <w:rFonts w:ascii="Noto Sans" w:hAnsi="Noto Sans" w:eastAsia="Noto Sans"/>
        </w:rPr>
        <w:t>16.2 Conflict semantics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0B4F6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Conflitto</w:t>
            </w:r>
          </w:p>
        </w:tc>
        <w:tc>
          <w:tcPr>
            <w:tcW w:type="dxa" w:w="4929"/>
            <w:shd w:fill="0B4F6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Esito baseline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Due fonti dichiarate authoritative nello stesso intervallo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AUTHORITY_CONFLICT → review; nessuna scelta silenziosa.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Fonte authoritative senza valore, fallback consentito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Usa fallback con provenance che segnala effectiveAuthority=FALLBACK.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Fonte authoritative senza valore, fallback vietato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Valore canonical assente; issue/warning.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Nuova authority attiva da T1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Nuova revisione; history precedente invariata.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Valore storico richiesto asOf T0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Applicazione della policy valida a T0 o vista storica materializzata.</w:t>
            </w:r>
          </w:p>
        </w:tc>
      </w:tr>
    </w:tbl>
    <w:p>
      <w:pPr>
        <w:pStyle w:val="Heading1"/>
      </w:pPr>
      <w:r>
        <w:rPr>
          <w:rFonts w:ascii="Noto Sans" w:hAnsi="Noto Sans" w:eastAsia="Noto Sans"/>
        </w:rPr>
        <w:t>17. Authority transition e preservazione storica</w:t>
      </w:r>
    </w:p>
    <w:p>
      <w:r>
        <w:rPr>
          <w:rFonts w:ascii="Noto Sans" w:hAnsi="Noto Sans" w:eastAsia="Noto Sans"/>
          <w:b w:val="0"/>
          <w:sz w:val="18"/>
        </w:rPr>
        <w:t>Quando una futura fonte esterna diventa autoritativa per oggetti inizialmente gestiti da OUF_SYSTEM, l’identità canonica non cambia automaticamente. La transizione aggiorna AuthorityHistory e genera nuove revisioni solo dove il current view cambia.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>2026-2028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 xml:space="preserve">  STREET-00123 authority(name, geometry) = OUF_SYSTEM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>from 2028-06-01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 xml:space="preserve">  authority(name)     = Toponomastica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 xml:space="preserve">  authority(geometry) = Toponomastica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>urbanObjectId = STREET-00123   # preserved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>historical revisions = preserved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>authority history = queryable</w:t>
      </w:r>
    </w:p>
    <w:p>
      <w:pPr>
        <w:pStyle w:val="Heading1"/>
      </w:pPr>
      <w:r>
        <w:rPr>
          <w:rFonts w:ascii="Noto Sans" w:hAnsi="Noto Sans" w:eastAsia="Noto Sans"/>
        </w:rPr>
        <w:t>18. Canonical Object Contract v1</w:t>
      </w:r>
    </w:p>
    <w:p>
      <w:pPr/>
      <w:r>
        <w:rPr>
          <w:rFonts w:ascii="Noto Sans" w:hAnsi="Noto Sans" w:eastAsia="Noto Sans"/>
          <w:sz w:val="18"/>
        </w:rPr>
        <w:t>La v1.0 definisce il Canonical Object Contract v1 come contratto interno stabile tra materializzazione, Registry, query service e consumer governati. Il contratto non è il payload della Source API e non sostituisce il modello semantico: materializza un’istanza che referenzia semanticId/versioni pubblicate.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>{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"urbanObjectId": "DEHOR-000471",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"canonicalType": {"semanticId":"ouf:Dehor","publicationSetId":"sem-pub-2026-09-001"},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"status": "ACTIVE",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"revision": 14,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"properties": {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  "ouf:area": {"value": 42.5, "unit":"m2", "accessLabel":"OPEN", "lineageRef":"lin-prop-..."},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  "ouf:name": {"value": "Dehor 471", "accessLabel":"OPEN", "lineageRef":"lin-prop-..."}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},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"geometry": {"type":"Polygon", "crs":"EPSG:4326", "accessLabel":"OPEN"},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"authoritySummary": {...},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"recordedAt": "2026-09-01T08:30:00Z"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>}</w:t>
      </w:r>
    </w:p>
    <w:p>
      <w:pPr>
        <w:pStyle w:val="Heading2"/>
      </w:pPr>
      <w:r>
        <w:rPr>
          <w:rFonts w:ascii="Noto Sans" w:hAnsi="Noto Sans" w:eastAsia="Noto Sans"/>
        </w:rPr>
        <w:t>18.1 Regole del contratto canonico</w:t>
      </w:r>
    </w:p>
    <w:p>
      <w:pPr>
        <w:pStyle w:val="ListBullet"/>
      </w:pPr>
      <w:r>
        <w:rPr>
          <w:rFonts w:ascii="Noto Sans" w:hAnsi="Noto Sans" w:eastAsia="Noto Sans"/>
          <w:sz w:val="18"/>
        </w:rPr>
        <w:t>urbanObjectId è stabile e non incorpora sourceId, schemaVersion o authority corrente.</w:t>
      </w:r>
    </w:p>
    <w:p>
      <w:pPr>
        <w:pStyle w:val="ListBullet"/>
      </w:pPr>
      <w:r>
        <w:rPr>
          <w:rFonts w:ascii="Noto Sans" w:hAnsi="Noto Sans" w:eastAsia="Noto Sans"/>
          <w:sz w:val="18"/>
        </w:rPr>
        <w:t>canonicalType referenzia una semantica pubblicata e storicamente risolvibile.</w:t>
      </w:r>
    </w:p>
    <w:p>
      <w:pPr>
        <w:pStyle w:val="ListBullet"/>
      </w:pPr>
      <w:r>
        <w:rPr>
          <w:rFonts w:ascii="Noto Sans" w:hAnsi="Noto Sans" w:eastAsia="Noto Sans"/>
          <w:sz w:val="18"/>
        </w:rPr>
        <w:t>Ogni proprietà materializzata conserva un lineageRef o una provenance reference equivalente.</w:t>
      </w:r>
    </w:p>
    <w:p>
      <w:pPr>
        <w:pStyle w:val="ListBullet"/>
      </w:pPr>
      <w:r>
        <w:rPr>
          <w:rFonts w:ascii="Noto Sans" w:hAnsi="Noto Sans" w:eastAsia="Noto Sans"/>
          <w:sz w:val="18"/>
        </w:rPr>
        <w:t>Una proprietà può avere accessLabel diverso dalle altre proprietà dello stesso oggetto.</w:t>
      </w:r>
    </w:p>
    <w:p>
      <w:pPr>
        <w:pStyle w:val="ListBullet"/>
      </w:pPr>
      <w:r>
        <w:rPr>
          <w:rFonts w:ascii="Noto Sans" w:hAnsi="Noto Sans" w:eastAsia="Noto Sans"/>
          <w:sz w:val="18"/>
        </w:rPr>
        <w:t>La geometry è una proprietà governata: può avere classification/access label distinta.</w:t>
      </w:r>
    </w:p>
    <w:p>
      <w:pPr>
        <w:pStyle w:val="ListBullet"/>
      </w:pPr>
      <w:r>
        <w:rPr>
          <w:rFonts w:ascii="Noto Sans" w:hAnsi="Noto Sans" w:eastAsia="Noto Sans"/>
          <w:sz w:val="18"/>
        </w:rPr>
        <w:t>Campi sconosciuti non vengono aggiunti liberamente al canonical object: richiedono mapping/configurazione versionata.</w:t>
      </w:r>
    </w:p>
    <w:p>
      <w:pPr>
        <w:pStyle w:val="Heading1"/>
      </w:pPr>
      <w:r>
        <w:rPr>
          <w:rFonts w:ascii="Noto Sans" w:hAnsi="Noto Sans" w:eastAsia="Noto Sans"/>
        </w:rPr>
        <w:t>19. PropertyValue e PropertyProvenance</w:t>
      </w:r>
    </w:p>
    <w:p>
      <w:pPr/>
      <w:r>
        <w:rPr>
          <w:rFonts w:ascii="Noto Sans" w:hAnsi="Noto Sans" w:eastAsia="Noto Sans"/>
          <w:sz w:val="18"/>
        </w:rPr>
        <w:t>Per mantenere lineage e access control a livello fine, la v1.0 distingue il valore canonico dalla sua evidenza. L’implementazione fisica può usare JSONB + tabelle di indice, ma il modello logico resta esplicito.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D4DF"/>
          <w:left w:val="single" w:sz="4" w:color="C9D4DF"/>
          <w:bottom w:val="single" w:sz="4" w:color="C9D4DF"/>
          <w:right w:val="single" w:sz="4" w:color="C9D4DF"/>
          <w:insideH w:val="single" w:sz="4" w:color="C9D4DF"/>
          <w:insideV w:val="single" w:sz="4" w:color="C9D4DF"/>
        </w:tblBorders>
      </w:tblPr>
      <w:tblGrid>
        <w:gridCol w:w="3286"/>
        <w:gridCol w:w="3286"/>
        <w:gridCol w:w="3286"/>
      </w:tblGrid>
      <w:tr>
        <w:tc>
          <w:tcPr>
            <w:tcW w:type="dxa" w:w="2835"/>
            <w:shd w:fill="0B4F6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Entità</w:t>
            </w:r>
          </w:p>
        </w:tc>
        <w:tc>
          <w:tcPr>
            <w:tcW w:type="dxa" w:w="4535"/>
            <w:shd w:fill="0B4F6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Campi minimi</w:t>
            </w:r>
          </w:p>
        </w:tc>
        <w:tc>
          <w:tcPr>
            <w:tcW w:type="dxa" w:w="5669"/>
            <w:shd w:fill="0B4F6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Scopo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PropertyValue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urbanObjectId, revisionId, propertyIri, value/valueRef, datatype, accessLabel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Valore canonico della revisione.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PropertyProvenance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propertyValueRef, source identity, rawRef, mappingRef, bundleRef, semanticPublicationSetId, ingestionRunId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Spiega da dove proviene il valore.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PropertyAuthority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propertyIri, authoritySource, validFrom/validTo, decisionRef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Determina quale contributo prevale.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PropertyConflict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candidate contributions, policy result, resolution state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Gestisce conflitti non risolvibili automaticamente.</w:t>
            </w:r>
          </w:p>
        </w:tc>
      </w:tr>
    </w:tbl>
    <w:p>
      <w:pPr/>
      <w:r>
        <w:rPr>
          <w:rFonts w:ascii="Noto Sans" w:hAnsi="Noto Sans" w:eastAsia="Noto Sans"/>
          <w:sz w:val="18"/>
        </w:rPr>
        <w:t>L’implementazione non è obbligata a una riga SQL per ogni proprietà; può denormalizzare payload_jsonb. Tuttavia deve mantenere indici e riferimenti sufficienti a enforcement, lineage property-level e query operative senza scansioni integrali sistematiche.</w:t>
      </w:r>
    </w:p>
    <w:p>
      <w:pPr>
        <w:pStyle w:val="Heading1"/>
      </w:pPr>
      <w:r>
        <w:rPr>
          <w:rFonts w:ascii="Noto Sans" w:hAnsi="Noto Sans" w:eastAsia="Noto Sans"/>
        </w:rPr>
        <w:t>20. Canonical write pipeline e atomicità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>HandoffPayload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 |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 v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>Validate contracts + labels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 |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 v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>Resolve source identity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 |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 v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>Object Resolution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 |---- ambiguous ----&gt; ResolutionIssue / HUMAN review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 v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>Authority evaluation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 |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 v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>Build ObjectRevision candidate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 |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 v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>Relationship + Spatial Resolution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 |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 v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>Persist revision + lineage + lake refs atomically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 |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 v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>Advance currentRevisionId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 |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 v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>Durable processing outcome</w:t>
      </w:r>
    </w:p>
    <w:p>
      <w:pPr>
        <w:pStyle w:val="Heading2"/>
      </w:pPr>
      <w:r>
        <w:rPr>
          <w:rFonts w:ascii="Noto Sans" w:hAnsi="Noto Sans" w:eastAsia="Noto Sans"/>
        </w:rPr>
        <w:t>20.1 Atomicità</w:t>
      </w:r>
    </w:p>
    <w:p>
      <w:pPr/>
      <w:r>
        <w:rPr>
          <w:rFonts w:ascii="Noto Sans" w:hAnsi="Noto Sans" w:eastAsia="Noto Sans"/>
          <w:sz w:val="18"/>
        </w:rPr>
        <w:t>La materializzazione canonica usa una transazione DB per revisione/edge/lineage index che devono diventare visibili insieme. Gli object storage payload sono scritti prima e referenziati per content hash; in caso di failure tra object storage e DB, il maintenance worker riconcilia orphan object e dangling reference senza inventare stato canonico.</w:t>
      </w:r>
    </w:p>
    <w:p>
      <w:pPr>
        <w:pStyle w:val="Heading1"/>
      </w:pPr>
      <w:r>
        <w:rPr>
          <w:rFonts w:ascii="Noto Sans" w:hAnsi="Noto Sans" w:eastAsia="Noto Sans"/>
        </w:rPr>
        <w:t>21. Object Resolution, merge e split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color="D9E2F3"/>
          <w:left w:val="single" w:sz="6" w:color="D9E2F3"/>
          <w:bottom w:val="single" w:sz="6" w:color="D9E2F3"/>
          <w:right w:val="single" w:sz="6" w:color="D9E2F3"/>
          <w:insideH w:val="single" w:sz="6" w:color="D9E2F3"/>
          <w:insideV w:val="single" w:sz="6" w:color="D9E2F3"/>
        </w:tblBorders>
      </w:tblPr>
      <w:tblGrid>
        <w:gridCol w:w="4929"/>
        <w:gridCol w:w="4929"/>
      </w:tblGrid>
      <w:tr>
        <w:trPr>
          <w:tblHeader w:val="true"/>
          <w:tblHeader w:val="true"/>
        </w:trPr>
        <w:tc>
          <w:tcPr>
            <w:tcW w:type="dxa" w:w="2268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b/>
                <w:sz w:val="17"/>
              </w:rPr>
              <w:t>Outcome</w:t>
            </w:r>
          </w:p>
        </w:tc>
        <w:tc>
          <w:tcPr>
            <w:tcW w:type="dxa" w:w="7370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b/>
                <w:sz w:val="17"/>
              </w:rPr>
              <w:t>Comportamento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MATCH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Il candidate viene legato a un Urban Object esistente.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NEW_OBJECT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Viene creato un nuovo urbanObjectId.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REVIEW_REQUIRED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Candidati multipli/ambiguità; nessuna scelta arbitraria.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REJECTED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Candidate non materializzabile secondo policy/contratto.</w:t>
            </w:r>
          </w:p>
        </w:tc>
      </w:tr>
    </w:tbl>
    <w:p>
      <w:pPr>
        <w:pStyle w:val="Heading2"/>
      </w:pPr>
      <w:r>
        <w:rPr>
          <w:rFonts w:ascii="Noto Sans" w:hAnsi="Noto Sans" w:eastAsia="Noto Sans"/>
        </w:rPr>
        <w:t>21.1 Strategie</w:t>
      </w:r>
    </w:p>
    <w:p>
      <w:pPr>
        <w:pStyle w:val="ListBullet"/>
      </w:pPr>
      <w:r>
        <w:rPr>
          <w:rFonts w:ascii="Noto Sans" w:hAnsi="Noto Sans" w:eastAsia="Noto Sans"/>
        </w:rPr>
        <w:t>CANONICAL_KEY / reference table.</w:t>
      </w:r>
    </w:p>
    <w:p>
      <w:pPr>
        <w:pStyle w:val="ListBullet"/>
      </w:pPr>
      <w:r>
        <w:rPr>
          <w:rFonts w:ascii="Noto Sans" w:hAnsi="Noto Sans" w:eastAsia="Noto Sans"/>
        </w:rPr>
        <w:t>SOURCE_BINDING.</w:t>
      </w:r>
    </w:p>
    <w:p>
      <w:pPr>
        <w:pStyle w:val="ListBullet"/>
      </w:pPr>
      <w:r>
        <w:rPr>
          <w:rFonts w:ascii="Noto Sans" w:hAnsi="Noto Sans" w:eastAsia="Noto Sans"/>
        </w:rPr>
        <w:t>Exact attribute match.</w:t>
      </w:r>
    </w:p>
    <w:p>
      <w:pPr>
        <w:pStyle w:val="ListBullet"/>
      </w:pPr>
      <w:r>
        <w:rPr>
          <w:rFonts w:ascii="Noto Sans" w:hAnsi="Noto Sans" w:eastAsia="Noto Sans"/>
        </w:rPr>
        <w:t>Weighted attribute match con threshold.</w:t>
      </w:r>
    </w:p>
    <w:p>
      <w:pPr>
        <w:pStyle w:val="ListBullet"/>
      </w:pPr>
      <w:r>
        <w:rPr>
          <w:rFonts w:ascii="Noto Sans" w:hAnsi="Noto Sans" w:eastAsia="Noto Sans"/>
        </w:rPr>
        <w:t>Spatial match.</w:t>
      </w:r>
    </w:p>
    <w:p>
      <w:pPr>
        <w:pStyle w:val="ListBullet"/>
      </w:pPr>
      <w:r>
        <w:rPr>
          <w:rFonts w:ascii="Noto Sans" w:hAnsi="Noto Sans" w:eastAsia="Noto Sans"/>
        </w:rPr>
        <w:t>Composite strategy.</w:t>
      </w:r>
    </w:p>
    <w:p>
      <w:pPr>
        <w:pStyle w:val="ListBullet"/>
      </w:pPr>
      <w:r>
        <w:rPr>
          <w:rFonts w:ascii="Noto Sans" w:hAnsi="Noto Sans" w:eastAsia="Noto Sans"/>
        </w:rPr>
        <w:t>Manual/human-governed resolution.</w:t>
      </w:r>
    </w:p>
    <w:p>
      <w:pPr>
        <w:pStyle w:val="Heading2"/>
      </w:pPr>
      <w:r>
        <w:rPr>
          <w:rFonts w:ascii="Noto Sans" w:hAnsi="Noto Sans" w:eastAsia="Noto Sans"/>
        </w:rPr>
        <w:t>21.2 Merge conversazionale governato</w:t>
      </w:r>
    </w:p>
    <w:p>
      <w:r>
        <w:rPr>
          <w:rFonts w:ascii="Noto Sans" w:hAnsi="Noto Sans" w:eastAsia="Noto Sans"/>
        </w:rPr>
        <w:t>L’AI può individuare candidate merge, spiegare evidence, produrre MergeImpactReport e consentire all’utente di modificare la proposta. Il merge autoritativo richiede una decisione umana secondo Authorization policy e Trusted Approval Surface.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>Chatbot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"Ho trovato due oggetti probabilmente equivalenti"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   -&gt; mostra source bindings / geometry overlap / attributi / authority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   -&gt; urban.merge.plan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   -&gt; urban.merge.impact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   -&gt; utente modifica o rifiuta la proposta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   -&gt; Trusted Approval Surface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   -&gt; merge atomico + alias/redirect + audit</w:t>
      </w:r>
    </w:p>
    <w:p>
      <w:pPr>
        <w:pStyle w:val="Heading2"/>
      </w:pPr>
      <w:r>
        <w:rPr>
          <w:rFonts w:ascii="Noto Sans" w:hAnsi="Noto Sans" w:eastAsia="Noto Sans"/>
        </w:rPr>
        <w:t>21.3 Split</w:t>
      </w:r>
    </w:p>
    <w:p>
      <w:pPr>
        <w:pStyle w:val="ListBullet"/>
      </w:pPr>
      <w:r>
        <w:rPr>
          <w:rFonts w:ascii="Noto Sans" w:hAnsi="Noto Sans" w:eastAsia="Noto Sans"/>
        </w:rPr>
        <w:t>Lo split richiede riallocazione esplicita di source binding, proprietà, geometry e relazioni.</w:t>
      </w:r>
    </w:p>
    <w:p>
      <w:pPr>
        <w:pStyle w:val="ListBullet"/>
      </w:pPr>
      <w:r>
        <w:rPr>
          <w:rFonts w:ascii="Noto Sans" w:hAnsi="Noto Sans" w:eastAsia="Noto Sans"/>
        </w:rPr>
        <w:t>Gli ID storici restano risolvibili tramite alias/redirect.</w:t>
      </w:r>
    </w:p>
    <w:p>
      <w:pPr>
        <w:pStyle w:val="ListBullet"/>
      </w:pPr>
      <w:r>
        <w:rPr>
          <w:rFonts w:ascii="Noto Sans" w:hAnsi="Noto Sans" w:eastAsia="Noto Sans"/>
        </w:rPr>
        <w:t>Nessun historical lineage viene cancellato; si registra la decisione di split e l’impact report.</w:t>
      </w:r>
    </w:p>
    <w:p>
      <w:pPr>
        <w:pStyle w:val="Heading1"/>
      </w:pPr>
      <w:r>
        <w:rPr>
          <w:rFonts w:ascii="Noto Sans" w:hAnsi="Noto Sans" w:eastAsia="Noto Sans"/>
        </w:rPr>
        <w:t>22. Pipeline esecutiva di Object Resolution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>HandoffPayload / CandidateObject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 xml:space="preserve">        |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 xml:space="preserve">        v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>Normalize candidate identity features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 xml:space="preserve">        |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 xml:space="preserve">        v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>Candidate generation ----------------------+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 xml:space="preserve">        |                                  |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 xml:space="preserve">        v                                  |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>Deterministic rules / reference lookup     |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 xml:space="preserve">        |                                  |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 xml:space="preserve">        v                                  |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>Confidence + evidence evaluation           |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 xml:space="preserve">        |                                  |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 xml:space="preserve">   +----+----------------------+           |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 xml:space="preserve">   |                           |           |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 xml:space="preserve"> MATCH                      AMBIGUOUS      |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 xml:space="preserve">   |                           |           |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 xml:space="preserve">   v                           v           |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>Bind to UrbanObject       ResolutionIssue |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 xml:space="preserve">                               |           |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 xml:space="preserve">                               v           |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 xml:space="preserve">                         Human / governed  |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 xml:space="preserve">                         resolution -------+</w:t>
      </w:r>
    </w:p>
    <w:p>
      <w:r>
        <w:rPr>
          <w:rFonts w:ascii="Noto Sans" w:hAnsi="Noto Sans" w:eastAsia="Noto Sans"/>
          <w:b w:val="0"/>
          <w:sz w:val="18"/>
        </w:rPr>
        <w:t>La candidate generation può usare chiavi, tabelle di riferimento, attributi e geometria. Il risultato finale deve sempre indicare quale regola ha prodotto i candidati, quali evidenze sono state usate e quale decisione è stata presa.</w:t>
      </w:r>
    </w:p>
    <w:p>
      <w:pPr>
        <w:pStyle w:val="Heading2"/>
      </w:pPr>
      <w:r>
        <w:rPr>
          <w:rFonts w:ascii="Noto Sans" w:hAnsi="Noto Sans" w:eastAsia="Noto Sans"/>
        </w:rPr>
        <w:t>22.1 ResolutionDecision v1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0B4F6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286"/>
            <w:shd w:fill="0B4F6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Obbligo</w:t>
            </w:r>
          </w:p>
        </w:tc>
        <w:tc>
          <w:tcPr>
            <w:tcW w:type="dxa" w:w="3286"/>
            <w:shd w:fill="0B4F6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Significato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resolutionDecisionId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DEVE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Identificativo stabile della decisione.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candidateRef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DEVE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Candidate object o source observation analizzata.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outcome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DEVE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MATCH | NEW_OBJECT | REVIEW_REQUIRED | REJECTED.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targetUrbanObjectId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COND.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Presente per MATCH.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strategyId/version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DEVE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Strategia configurata dal PublishedConfigurationBundle.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evidenceRefs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DEVE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Chiavi, attributi, geometry facts, reference rows o altre evidenze.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confidence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PUÒ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Score normalizzato se la strategy lo utilizza; non è authority autonoma.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decidedBy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DEVE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SERVICE_IDENTITY o HUMAN_USER; AI proposal separata.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decidedAt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DEVE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Timestamp UTC.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policyRef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DEVE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Policy/soglia/guard usata per la decisione.</w:t>
            </w:r>
          </w:p>
        </w:tc>
      </w:tr>
    </w:tbl>
    <w:p>
      <w:pPr>
        <w:pStyle w:val="Heading1"/>
      </w:pPr>
      <w:r>
        <w:rPr>
          <w:rFonts w:ascii="Noto Sans" w:hAnsi="Noto Sans" w:eastAsia="Noto Sans"/>
        </w:rPr>
        <w:t>23. Strategie di risoluzione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fill="0B4F6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Strategia</w:t>
            </w:r>
          </w:p>
        </w:tc>
        <w:tc>
          <w:tcPr>
            <w:tcW w:type="dxa" w:w="2464"/>
            <w:shd w:fill="0B4F6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Uso</w:t>
            </w:r>
          </w:p>
        </w:tc>
        <w:tc>
          <w:tcPr>
            <w:tcW w:type="dxa" w:w="2464"/>
            <w:shd w:fill="0B4F6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Auto-match</w:t>
            </w:r>
          </w:p>
        </w:tc>
        <w:tc>
          <w:tcPr>
            <w:tcW w:type="dxa" w:w="2464"/>
            <w:shd w:fill="0B4F6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Vincoli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CANONICAL_KEY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Chiave canonica o identificatore pubblico stabile.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Sì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Normalizzazione e uniqueness definite.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SOURCE_BINDING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Binding già noto source identity → Urban Object.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Sì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Binding ACTIVE e non conflict.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REFERENCE_TABLE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Lookup su master/reference data governato.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Sì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Versione della reference table tracciata.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ATTRIBUTE_EXACT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Match deterministico su set di attributi.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Sì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Tutti gli attributi obbligatori concordano.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ATTRIBUTE_WEIGHTED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Score su più attributi.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Solo sopra soglia HIGH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Evidence e threshold versionati.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SPATIAL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Relazione/identità supportata da geometry.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Solo se policy lo consente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CRS, tolerance e target class espliciti.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COMPOSITE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Combinazione di key/attribute/spatial.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Sì o review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Regola composta versionata.</w:t>
            </w:r>
          </w:p>
        </w:tc>
      </w:tr>
      <w:tr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MANUAL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Decisione umana.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No</w:t>
            </w:r>
          </w:p>
        </w:tc>
        <w:tc>
          <w:tcPr>
            <w:tcW w:type="dxa" w:w="24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Trusted surface + audit.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4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0B4F6C"/>
                <w:sz w:val="17"/>
              </w:rPr>
              <w:t xml:space="preserve">Regola OR-02 — </w:t>
            </w:r>
            <w:r>
              <w:rPr>
                <w:rFonts w:ascii="Noto Sans" w:hAnsi="Noto Sans" w:eastAsia="Noto Sans" w:cs="Noto Sans"/>
                <w:b w:val="0"/>
                <w:sz w:val="17"/>
              </w:rPr>
              <w:t>La strategia SPATIAL non implica automaticamente identità: di default produce candidati o relazioni. Un auto-match di identità basato sullo spazio è ammesso solo per domini in cui la policy dichiara esplicitamente che la geometria costituisce una chiave o evidenza sufficiente.</w:t>
            </w:r>
          </w:p>
        </w:tc>
      </w:tr>
    </w:tbl>
    <w:p>
      <w:pPr>
        <w:pStyle w:val="Heading1"/>
      </w:pPr>
      <w:r>
        <w:rPr>
          <w:rFonts w:ascii="Noto Sans" w:hAnsi="Noto Sans" w:eastAsia="Noto Sans"/>
        </w:rPr>
        <w:t>24. Candidate generation e blocking</w:t>
      </w:r>
    </w:p>
    <w:p>
      <w:r>
        <w:rPr>
          <w:rFonts w:ascii="Noto Sans" w:hAnsi="Noto Sans" w:eastAsia="Noto Sans"/>
          <w:b w:val="0"/>
          <w:sz w:val="18"/>
        </w:rPr>
        <w:t>Per evitare confronti quadratici, il motore genera un insieme limitato di candidati attraverso blocking key e indici. Il blocking non decide l’identità: riduce soltanto lo spazio di ricerca.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0B4F6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Blocking key</w:t>
            </w:r>
          </w:p>
        </w:tc>
        <w:tc>
          <w:tcPr>
            <w:tcW w:type="dxa" w:w="3286"/>
            <w:shd w:fill="0B4F6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Esempio</w:t>
            </w:r>
          </w:p>
        </w:tc>
        <w:tc>
          <w:tcPr>
            <w:tcW w:type="dxa" w:w="3286"/>
            <w:shd w:fill="0B4F6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Indice baseline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canonical/reference id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codice ISTAT, codice via, identificatore catastale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B-tree unique/lookup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normalized name + type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denominazione normalizzata + classe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GIN/trigram o indice funzionale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administrative area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comune/quartiere/circoscrizione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B-tree + FK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spatial envelope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BBox / tile / area prossima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GiST PostGIS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source binding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sourceId/typeCode/sourceObjectId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unique composite</w:t>
            </w:r>
          </w:p>
        </w:tc>
      </w:tr>
    </w:tbl>
    <w:p>
      <w:r>
        <w:rPr>
          <w:rFonts w:ascii="Noto Sans" w:hAnsi="Noto Sans" w:eastAsia="Noto Sans"/>
          <w:b w:val="0"/>
          <w:sz w:val="18"/>
        </w:rPr>
        <w:t>I limiti massimi dei candidati per candidate object sono configurabili. Il superamento del limite produce REVIEW_REQUIRED/RESOLUTION_TOO_BROAD e non una scelta arbitraria.</w:t>
      </w:r>
    </w:p>
    <w:p>
      <w:pPr>
        <w:pStyle w:val="Heading1"/>
      </w:pPr>
      <w:r>
        <w:rPr>
          <w:rFonts w:ascii="Noto Sans" w:hAnsi="Noto Sans" w:eastAsia="Noto Sans"/>
        </w:rPr>
        <w:t>25. Merge semantics e MergeImpactReport</w:t>
      </w:r>
    </w:p>
    <w:p>
      <w:r>
        <w:rPr>
          <w:rFonts w:ascii="Noto Sans" w:hAnsi="Noto Sans" w:eastAsia="Noto Sans"/>
          <w:b w:val="0"/>
          <w:sz w:val="18"/>
        </w:rPr>
        <w:t>Un merge è l’operazione governata con cui due Urban Object precedentemente distinti vengono riconosciuti come rappresentazioni della stessa entità canonica. Il merge non cancella le identità storiche: crea una relazione di sostituzione e trasferisce binding/contributi secondo regole esplicite.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>UrbanObject A (ACTIVE) ----+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 xml:space="preserve">                           +----&gt; UrbanObject C / survivor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>UrbanObject B (ACTIVE) ----+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>A.status = MERGED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>B.status = MERGED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>A.mergedInto = C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>B.mergedInto = C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>bindings/provenance/history = preserved</w:t>
      </w:r>
    </w:p>
    <w:p>
      <w:pPr>
        <w:pStyle w:val="Heading2"/>
      </w:pPr>
      <w:r>
        <w:rPr>
          <w:rFonts w:ascii="Noto Sans" w:hAnsi="Noto Sans" w:eastAsia="Noto Sans"/>
        </w:rPr>
        <w:t>25.1 Regole di merge</w:t>
      </w:r>
    </w:p>
    <w:p>
      <w:pPr>
        <w:pStyle w:val="ListBullet"/>
      </w:pPr>
      <w:r>
        <w:rPr>
          <w:rFonts w:ascii="Noto Sans" w:hAnsi="Noto Sans" w:eastAsia="Noto Sans"/>
          <w:b w:val="0"/>
          <w:sz w:val="18"/>
        </w:rPr>
        <w:t>Il merge è append-only dal punto di vista storico: nessuna revisione precedente viene riscritta.</w:t>
      </w:r>
    </w:p>
    <w:p>
      <w:pPr>
        <w:pStyle w:val="ListBullet"/>
      </w:pPr>
      <w:r>
        <w:rPr>
          <w:rFonts w:ascii="Noto Sans" w:hAnsi="Noto Sans" w:eastAsia="Noto Sans"/>
          <w:b w:val="0"/>
          <w:sz w:val="18"/>
        </w:rPr>
        <w:t>La policy decide se il survivor è A, B oppure un nuovo Urban Object C; la scelta è registrata.</w:t>
      </w:r>
    </w:p>
    <w:p>
      <w:pPr>
        <w:pStyle w:val="ListBullet"/>
      </w:pPr>
      <w:r>
        <w:rPr>
          <w:rFonts w:ascii="Noto Sans" w:hAnsi="Noto Sans" w:eastAsia="Noto Sans"/>
          <w:b w:val="0"/>
          <w:sz w:val="18"/>
        </w:rPr>
        <w:t>I SourceObjectBinding vengono riallocati in una transazione governata e mantengono history.</w:t>
      </w:r>
    </w:p>
    <w:p>
      <w:pPr>
        <w:pStyle w:val="ListBullet"/>
      </w:pPr>
      <w:r>
        <w:rPr>
          <w:rFonts w:ascii="Noto Sans" w:hAnsi="Noto Sans" w:eastAsia="Noto Sans"/>
          <w:b w:val="0"/>
          <w:sz w:val="18"/>
        </w:rPr>
        <w:t>Le relazioni inbound/outbound vengono ripuntate solo nella vista corrente; gli edge storici restano riferibili alle revisioni originali.</w:t>
      </w:r>
    </w:p>
    <w:p>
      <w:pPr>
        <w:pStyle w:val="ListBullet"/>
      </w:pPr>
      <w:r>
        <w:rPr>
          <w:rFonts w:ascii="Noto Sans" w:hAnsi="Noto Sans" w:eastAsia="Noto Sans"/>
          <w:b w:val="0"/>
          <w:sz w:val="18"/>
        </w:rPr>
        <w:t>Conflitti di proprietà non vengono risolti dal merge stesso: vengono rivalutati dall’Authority Engine.</w:t>
      </w:r>
    </w:p>
    <w:p>
      <w:pPr>
        <w:pStyle w:val="ListBullet"/>
      </w:pPr>
      <w:r>
        <w:rPr>
          <w:rFonts w:ascii="Noto Sans" w:hAnsi="Noto Sans" w:eastAsia="Noto Sans"/>
          <w:b w:val="0"/>
          <w:sz w:val="18"/>
        </w:rPr>
        <w:t>Merge ad alto impatto richiede HUMAN_USER e ApprovalChallenge; AI/MCP può proporre e mostrare l’impatto.</w:t>
      </w:r>
    </w:p>
    <w:p>
      <w:pPr>
        <w:pStyle w:val="Heading2"/>
      </w:pPr>
      <w:r>
        <w:rPr>
          <w:rFonts w:ascii="Noto Sans" w:hAnsi="Noto Sans" w:eastAsia="Noto Sans"/>
        </w:rPr>
        <w:t>25.2 MergeImpactReport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0B4F6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4929"/>
            <w:shd w:fill="0B4F6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Evidenza prima dell’approvazione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Bindings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Numero e lista sintetica di source bindings coinvolti.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Properties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Conflitti authority/value che cambierebbero il current view.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Relationships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Edge da riallocare, duplicati potenziali e self-loop.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Spatial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Geometrie divergenti e distanza/overlap.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Security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Access label/policy che cambierebbero sul survivor.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Consumers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Object ID deprecati e redirect/alias da mantenere.</w:t>
            </w:r>
          </w:p>
        </w:tc>
      </w:tr>
    </w:tbl>
    <w:p>
      <w:pPr>
        <w:pStyle w:val="Heading1"/>
      </w:pPr>
      <w:r>
        <w:rPr>
          <w:rFonts w:ascii="Noto Sans" w:hAnsi="Noto Sans" w:eastAsia="Noto Sans"/>
        </w:rPr>
        <w:t>26. Split semantics</w:t>
      </w:r>
    </w:p>
    <w:p>
      <w:r>
        <w:rPr>
          <w:rFonts w:ascii="Noto Sans" w:hAnsi="Noto Sans" w:eastAsia="Noto Sans"/>
          <w:b w:val="0"/>
          <w:sz w:val="18"/>
        </w:rPr>
        <w:t>Uno split è l’operazione con cui un Urban Object viene riconosciuto come aggregazione erronea o come entità che, per evoluzione del dominio, deve essere rappresentata da più oggetti canonici. È un’operazione più rischiosa del merge perché richiede allocare binding, proprietà e relazioni ai nuovi oggetti.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>UrbanObject A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 xml:space="preserve">    |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 xml:space="preserve">    +----&gt; UrbanObject B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 xml:space="preserve">    |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 xml:space="preserve">    +----&gt; UrbanObject C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>A.status = SPLIT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>A.successors = [B, C]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  <w:b w:val="0"/>
          <w:sz w:val="17"/>
        </w:rPr>
        <w:t>old revisions remain addressable</w:t>
      </w:r>
    </w:p>
    <w:p>
      <w:pPr>
        <w:pStyle w:val="Heading2"/>
      </w:pPr>
      <w:r>
        <w:rPr>
          <w:rFonts w:ascii="Noto Sans" w:hAnsi="Noto Sans" w:eastAsia="Noto Sans"/>
        </w:rPr>
        <w:t>26.1 Regole di split</w:t>
      </w:r>
    </w:p>
    <w:p>
      <w:pPr>
        <w:pStyle w:val="ListBullet"/>
      </w:pPr>
      <w:r>
        <w:rPr>
          <w:rFonts w:ascii="Noto Sans" w:hAnsi="Noto Sans" w:eastAsia="Noto Sans"/>
          <w:b w:val="0"/>
          <w:sz w:val="18"/>
        </w:rPr>
        <w:t>Lo split è sempre HUMAN_USER-only nella baseline.</w:t>
      </w:r>
    </w:p>
    <w:p>
      <w:pPr>
        <w:pStyle w:val="ListBullet"/>
      </w:pPr>
      <w:r>
        <w:rPr>
          <w:rFonts w:ascii="Noto Sans" w:hAnsi="Noto Sans" w:eastAsia="Noto Sans"/>
          <w:b w:val="0"/>
          <w:sz w:val="18"/>
        </w:rPr>
        <w:t>Ogni SourceObjectBinding deve essere assegnato a un successor oppure marcato UNRESOLVED; nessuna duplicazione silenziosa.</w:t>
      </w:r>
    </w:p>
    <w:p>
      <w:pPr>
        <w:pStyle w:val="ListBullet"/>
      </w:pPr>
      <w:r>
        <w:rPr>
          <w:rFonts w:ascii="Noto Sans" w:hAnsi="Noto Sans" w:eastAsia="Noto Sans"/>
          <w:b w:val="0"/>
          <w:sz w:val="18"/>
        </w:rPr>
        <w:t>Le proprietà possono essere copiate solo se la policy le definisce realmente comuni; altrimenti devono essere ricalcolate dai contributi.</w:t>
      </w:r>
    </w:p>
    <w:p>
      <w:pPr>
        <w:pStyle w:val="ListBullet"/>
      </w:pPr>
      <w:r>
        <w:rPr>
          <w:rFonts w:ascii="Noto Sans" w:hAnsi="Noto Sans" w:eastAsia="Noto Sans"/>
          <w:b w:val="0"/>
          <w:sz w:val="18"/>
        </w:rPr>
        <w:t>Gli edge vengono riesaminati: la relazione verso A non viene replicata automaticamente verso B e C.</w:t>
      </w:r>
    </w:p>
    <w:p>
      <w:pPr>
        <w:pStyle w:val="ListBullet"/>
      </w:pPr>
      <w:r>
        <w:rPr>
          <w:rFonts w:ascii="Noto Sans" w:hAnsi="Noto Sans" w:eastAsia="Noto Sans"/>
          <w:b w:val="0"/>
          <w:sz w:val="18"/>
        </w:rPr>
        <w:t>Gli ID storici e i riferimenti lineage ad A restano validi; la query corrente può restituire successor links.</w:t>
      </w:r>
    </w:p>
    <w:p>
      <w:pPr>
        <w:pStyle w:val="ListBullet"/>
      </w:pPr>
      <w:r>
        <w:rPr>
          <w:rFonts w:ascii="Noto Sans" w:hAnsi="Noto Sans" w:eastAsia="Noto Sans"/>
          <w:b w:val="0"/>
          <w:sz w:val="18"/>
        </w:rPr>
        <w:t>Il sistema produce SplitImpactReport e supporta dry-run prima dell’approvazione.</w:t>
      </w:r>
    </w:p>
    <w:p>
      <w:pPr>
        <w:pStyle w:val="Heading1"/>
      </w:pPr>
      <w:r>
        <w:rPr>
          <w:rFonts w:ascii="Noto Sans" w:hAnsi="Noto Sans" w:eastAsia="Noto Sans"/>
        </w:rPr>
        <w:t>27. Alias, redirect e stabilità degli identificativi</w:t>
      </w:r>
    </w:p>
    <w:p>
      <w:r>
        <w:rPr>
          <w:rFonts w:ascii="Noto Sans" w:hAnsi="Noto Sans" w:eastAsia="Noto Sans"/>
          <w:b w:val="0"/>
          <w:sz w:val="18"/>
        </w:rPr>
        <w:t>I consumer non devono perdere la capacità di risolvere un urbanObjectId dopo merge/split. La UDP mantiene un ObjectIdentityHistory con alias e redirect espliciti.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0B4F6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Stato ID richiesto</w:t>
            </w:r>
          </w:p>
        </w:tc>
        <w:tc>
          <w:tcPr>
            <w:tcW w:type="dxa" w:w="3286"/>
            <w:shd w:fill="0B4F6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Risposta query</w:t>
            </w:r>
          </w:p>
        </w:tc>
        <w:tc>
          <w:tcPr>
            <w:tcW w:type="dxa" w:w="3286"/>
            <w:shd w:fill="0B4F6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Nota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ACTIVE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Oggetto corrente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Risposta normale.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MERGED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Redirect/alias al survivor + historical summary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HTTP/API non deve fingere che l’ID non sia mai esistito.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SPLIT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Oggetto storico + lista successors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Il client sceglie/raffina il successore secondo use case.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RETIRED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Historical object + reason/replacement se presente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Nessuna nuova materializzazione sull’ID.</w:t>
            </w:r>
          </w:p>
        </w:tc>
      </w:tr>
    </w:tbl>
    <w:p>
      <w:pPr>
        <w:pStyle w:val="Heading1"/>
      </w:pPr>
      <w:r>
        <w:rPr>
          <w:rFonts w:ascii="Noto Sans" w:hAnsi="Noto Sans" w:eastAsia="Noto Sans"/>
        </w:rPr>
        <w:t>28. Relationship model e grafo urbano</w:t>
      </w:r>
    </w:p>
    <w:p>
      <w:pPr/>
      <w:r>
        <w:rPr>
          <w:rFonts w:ascii="Noto Sans" w:hAnsi="Noto Sans" w:eastAsia="Noto Sans"/>
          <w:sz w:val="18"/>
        </w:rPr>
        <w:t>Le relazioni definite semanticamente nel Registry vengono materializzate nella UDP come edge tra Urban Object. Ogni edge è una risorsa versionata con provenance e resolution evidence.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D4DF"/>
          <w:left w:val="single" w:sz="4" w:color="C9D4DF"/>
          <w:bottom w:val="single" w:sz="4" w:color="C9D4DF"/>
          <w:right w:val="single" w:sz="4" w:color="C9D4DF"/>
          <w:insideH w:val="single" w:sz="4" w:color="C9D4DF"/>
          <w:insideV w:val="single" w:sz="4" w:color="C9D4DF"/>
        </w:tblBorders>
      </w:tblPr>
      <w:tblGrid>
        <w:gridCol w:w="4929"/>
        <w:gridCol w:w="4929"/>
      </w:tblGrid>
      <w:tr>
        <w:tc>
          <w:tcPr>
            <w:tcW w:type="dxa" w:w="2835"/>
            <w:shd w:fill="0B4F6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Campo edge</w:t>
            </w:r>
          </w:p>
        </w:tc>
        <w:tc>
          <w:tcPr>
            <w:tcW w:type="dxa" w:w="6803"/>
            <w:shd w:fill="0B4F6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Significato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relationshipId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Identificativo stabile della relazione materializzata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sourceObjectId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Urban Object sorgente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relationIri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Relazione semanticamente autorizzata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targetObjectId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Urban Object target risolto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validFrom/validTo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Validità temporale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resolutionStrategy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LOOKUP / CANONICAL_KEY / SPATIAL / MANUAL / ...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resolutionEvidence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Chiave, match score, geometry evidence o decisione umana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provenanceRefs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Mapping/versioni/run che hanno generato l’edge</w:t>
            </w:r>
          </w:p>
        </w:tc>
      </w:tr>
    </w:tbl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>DEHOR-471 --ouf:locatedOn--&gt; STREET-00123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>WORKSITE-82 --ouf:occupies--&gt; STREET-00123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>WORKSITE-82 --ouf:authorisedBy--&gt; PROCEDURE-991</w:t>
      </w:r>
    </w:p>
    <w:p>
      <w:pPr>
        <w:pStyle w:val="Heading1"/>
      </w:pPr>
      <w:r>
        <w:rPr>
          <w:rFonts w:ascii="Noto Sans" w:hAnsi="Noto Sans" w:eastAsia="Noto Sans"/>
        </w:rPr>
        <w:t>29. Spatial Resolution e normalizzazione geometrica</w:t>
      </w:r>
    </w:p>
    <w:p>
      <w:r>
        <w:rPr>
          <w:rFonts w:ascii="Noto Sans" w:hAnsi="Noto Sans" w:eastAsia="Noto Sans"/>
          <w:b w:val="0"/>
          <w:sz w:val="18"/>
        </w:rPr>
        <w:t>La Spatial Resolution utilizza PostGIS come motore baseline e applica regole configurate nel PublishedConfigurationBundle. Le operazioni spaziali possono supportare candidate generation, object resolution o relationship resolution; il tipo di effetto deve essere dichiarato dalla strategy.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0B4F6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Predicate/strategy</w:t>
            </w:r>
          </w:p>
        </w:tc>
        <w:tc>
          <w:tcPr>
            <w:tcW w:type="dxa" w:w="3286"/>
            <w:shd w:fill="0B4F6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Uso tipico</w:t>
            </w:r>
          </w:p>
        </w:tc>
        <w:tc>
          <w:tcPr>
            <w:tcW w:type="dxa" w:w="3286"/>
            <w:shd w:fill="0B4F6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Guard principali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INTERSECTS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Cantiere &lt;-&gt; strada/area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geometry valid, CRS normalizzato, target class.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WITHIN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Dehor dentro area/quartiere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boundary policy + tolerance.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CONTAINS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Area contiene feature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geometry dimension compatibile.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NEAREST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Civico/feature → strada più vicina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maxDistanceMeters obbligatorio.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OVERLAP_RATIO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Confronto poligoni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minOverlapRatio esplicito.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CENTROID_DISTANCE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Candidate generation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Non sufficiente da sola per identità salvo policy.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SAME_GEOMETRY_HASH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Feature tecnicamente identiche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Normalization precision/version tracciata.</w:t>
            </w:r>
          </w:p>
        </w:tc>
      </w:tr>
    </w:tbl>
    <w:p>
      <w:pPr>
        <w:pStyle w:val="Heading2"/>
      </w:pPr>
      <w:r>
        <w:rPr>
          <w:rFonts w:ascii="Noto Sans" w:hAnsi="Noto Sans" w:eastAsia="Noto Sans"/>
        </w:rPr>
        <w:t>29.1 CRS e normalizzazione geometrica</w:t>
      </w:r>
    </w:p>
    <w:p>
      <w:pPr>
        <w:pStyle w:val="ListBullet"/>
      </w:pPr>
      <w:r>
        <w:rPr>
          <w:rFonts w:ascii="Noto Sans" w:hAnsi="Noto Sans" w:eastAsia="Noto Sans"/>
          <w:b w:val="0"/>
          <w:sz w:val="18"/>
        </w:rPr>
        <w:t>Il CRS sorgente deve essere noto e tracciato; coordinate senza CRS dichiarato non sono auto-interpretate.</w:t>
      </w:r>
    </w:p>
    <w:p>
      <w:pPr>
        <w:pStyle w:val="ListBullet"/>
      </w:pPr>
      <w:r>
        <w:rPr>
          <w:rFonts w:ascii="Noto Sans" w:hAnsi="Noto Sans" w:eastAsia="Noto Sans"/>
          <w:b w:val="0"/>
          <w:sz w:val="18"/>
        </w:rPr>
        <w:t>La UDP usa un CRS canonico di serving/configurato ma conserva il riferimento al CRS sorgente nel lineage.</w:t>
      </w:r>
    </w:p>
    <w:p>
      <w:pPr>
        <w:pStyle w:val="ListBullet"/>
      </w:pPr>
      <w:r>
        <w:rPr>
          <w:rFonts w:ascii="Noto Sans" w:hAnsi="Noto Sans" w:eastAsia="Noto Sans"/>
          <w:b w:val="0"/>
          <w:sz w:val="18"/>
        </w:rPr>
        <w:t>Le trasformazioni CRS sono versionate per libreria/parametri rilevanti quando influiscono sulla decisione.</w:t>
      </w:r>
    </w:p>
    <w:p>
      <w:pPr>
        <w:pStyle w:val="ListBullet"/>
      </w:pPr>
      <w:r>
        <w:rPr>
          <w:rFonts w:ascii="Noto Sans" w:hAnsi="Noto Sans" w:eastAsia="Noto Sans"/>
          <w:b w:val="0"/>
          <w:sz w:val="18"/>
        </w:rPr>
        <w:t>Geometry invalid produce SPATIAL_INVALID_GEOMETRY e non viene corretta silenziosamente; eventuale repair deve lasciare evidence.</w:t>
      </w:r>
    </w:p>
    <w:p>
      <w:pPr>
        <w:pStyle w:val="ListBullet"/>
      </w:pPr>
      <w:r>
        <w:rPr>
          <w:rFonts w:ascii="Noto Sans" w:hAnsi="Noto Sans" w:eastAsia="Noto Sans"/>
          <w:b w:val="0"/>
          <w:sz w:val="18"/>
        </w:rPr>
        <w:t>Precision reduction/snap-to-grid, se usati, sono policy tecniche esplicite.</w:t>
      </w:r>
    </w:p>
    <w:p>
      <w:pPr>
        <w:pStyle w:val="Heading2"/>
      </w:pPr>
      <w:r>
        <w:rPr>
          <w:rFonts w:ascii="Noto Sans" w:hAnsi="Noto Sans" w:eastAsia="Noto Sans"/>
        </w:rPr>
        <w:t>29.2 Multiple spatial matches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0B4F6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Caso</w:t>
            </w:r>
          </w:p>
        </w:tc>
        <w:tc>
          <w:tcPr>
            <w:tcW w:type="dxa" w:w="4929"/>
            <w:shd w:fill="0B4F6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Comportamento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0 target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NO_MATCH; applica onNoMatch.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1 target conforme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MATCH/RELATION secondo strategy.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N target con ranking forte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Auto-select solo se policy dichiara ranking + soglia + margin.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N target ambigui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REVIEW_REQUIRED; nessun nearest arbitrario.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Target non ACTIVE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TARGET_NOT_ACTIVE; relation non materializzata.</w:t>
            </w:r>
          </w:p>
        </w:tc>
      </w:tr>
    </w:tbl>
    <w:p>
      <w:pPr>
        <w:pStyle w:val="Heading1"/>
      </w:pPr>
      <w:r>
        <w:rPr>
          <w:rFonts w:ascii="Noto Sans" w:hAnsi="Noto Sans" w:eastAsia="Noto Sans"/>
        </w:rPr>
        <w:t>30. Relationship Resolution e deduplica degli edge</w:t>
      </w:r>
    </w:p>
    <w:p>
      <w:r>
        <w:rPr>
          <w:rFonts w:ascii="Noto Sans" w:hAnsi="Noto Sans" w:eastAsia="Noto Sans"/>
          <w:b w:val="0"/>
          <w:sz w:val="18"/>
        </w:rPr>
        <w:t>La risoluzione delle relazioni è distinta dalla risoluzione dell’identità del nodo. Un edge viene materializzato solo quando source object, relationIri, target object e resolution evidence sono coerenti.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0B4F6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Regola</w:t>
            </w:r>
          </w:p>
        </w:tc>
        <w:tc>
          <w:tcPr>
            <w:tcW w:type="dxa" w:w="4929"/>
            <w:shd w:fill="0B4F6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Vincolo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Edge identity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Stable relationshipId o natural key derivata da source evidence/configurazione.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Duplicate edge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Stesso source/relation/target/intervallo non crea duplicato; aggiorna contribution/evidence se previsto.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Self-loop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Consentito solo per relationIri che lo ammettono; altrimenti validation error.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Domain/range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Devono essere compatibili con Semantic Model publication pinned.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Historical edge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validFrom/validTo + revision/provenance; non cancellato fisicamente per semplice supersede.</w:t>
            </w:r>
          </w:p>
        </w:tc>
      </w:tr>
    </w:tbl>
    <w:p>
      <w:pPr>
        <w:pStyle w:val="Heading1"/>
      </w:pPr>
      <w:r>
        <w:rPr>
          <w:rFonts w:ascii="Noto Sans" w:hAnsi="Noto Sans" w:eastAsia="Noto Sans"/>
        </w:rPr>
        <w:t>31. Human review e governance conversazionale della resolution</w:t>
      </w:r>
    </w:p>
    <w:p>
      <w:r>
        <w:rPr>
          <w:rFonts w:ascii="Noto Sans" w:hAnsi="Noto Sans" w:eastAsia="Noto Sans"/>
          <w:b w:val="0"/>
          <w:sz w:val="18"/>
        </w:rPr>
        <w:t>Le issue di resolution devono essere governabili dalla stessa esperienza chatbot/MCP, mantenendo separata la proposta AI dalla decisione autoritativa umana.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0B4F6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Capability</w:t>
            </w:r>
          </w:p>
        </w:tc>
        <w:tc>
          <w:tcPr>
            <w:tcW w:type="dxa" w:w="3286"/>
            <w:shd w:fill="0B4F6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Uso</w:t>
            </w:r>
          </w:p>
        </w:tc>
        <w:tc>
          <w:tcPr>
            <w:tcW w:type="dxa" w:w="3286"/>
            <w:shd w:fill="0B4F6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MCP eligibility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resolution.issue.search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Elenca ambiguity/conflict filtrati.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Sì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resolution.issue.read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Mostra candidate, evidence e impatto.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Sì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resolution.candidates.explain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Spiega perché i candidati sono stati proposti.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Sì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resolution.match.propose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Prepara una proposta di match.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Sì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resolution.merge.impact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Calcola MergeImpactReport.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Sì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resolution.split.impact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Calcola SplitImpactReport.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Sì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resolution.match.approve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Conferma decisione ad alto impatto.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HUMAN_USER only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urban.object.merge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Esegue merge governato.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HUMAN_USER only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urban.object.split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Esegue split governato.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HUMAN_USER only</w:t>
            </w:r>
          </w:p>
        </w:tc>
      </w:tr>
      <w:tr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authority.override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Override eccezionale authority.</w:t>
            </w:r>
          </w:p>
        </w:tc>
        <w:tc>
          <w:tcPr>
            <w:tcW w:type="dxa" w:w="32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HUMAN_USER privilegiato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4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0B4F6C"/>
                <w:sz w:val="17"/>
              </w:rPr>
              <w:t xml:space="preserve">AI boundary — </w:t>
            </w:r>
            <w:r>
              <w:rPr>
                <w:rFonts w:ascii="Noto Sans" w:hAnsi="Noto Sans" w:eastAsia="Noto Sans" w:cs="Noto Sans"/>
                <w:b w:val="0"/>
                <w:sz w:val="17"/>
              </w:rPr>
              <w:t>Il chatbot può presentare candidate, differenze, mappe/geometry facts, lineage e impact report. Non può dichiarare da solo che due oggetti sono la stessa entità quando la policy richiede decisione umana, né può eseguire merge/split usando una service identity.</w:t>
            </w:r>
          </w:p>
        </w:tc>
      </w:tr>
    </w:tbl>
    <w:p>
      <w:pPr>
        <w:pStyle w:val="Heading1"/>
      </w:pPr>
      <w:r>
        <w:rPr>
          <w:rFonts w:ascii="Noto Sans" w:hAnsi="Noto Sans" w:eastAsia="Noto Sans"/>
        </w:rPr>
        <w:t>32. OUF_SYSTEM e INTERNAL_MANAGED</w:t>
      </w:r>
    </w:p>
    <w:p>
      <w:pPr/>
      <w:r>
        <w:rPr>
          <w:rFonts w:ascii="Noto Sans" w:hAnsi="Noto Sans" w:eastAsia="Noto Sans"/>
          <w:sz w:val="18"/>
        </w:rPr>
        <w:t>Gli oggetti caricati tramite file intake governato e onboardati come INTERNAL_MANAGED entrano nello stesso modello di handoff e materializzazione. OUF_SYSTEM è una fonte reale governata e mantiene provenance, versioning e authority esattamente come una fonte esterna.</w:t>
      </w:r>
    </w:p>
    <w:p>
      <w:pPr>
        <w:pStyle w:val="ListBullet"/>
      </w:pPr>
      <w:r>
        <w:rPr>
          <w:rFonts w:ascii="Noto Sans" w:hAnsi="Noto Sans" w:eastAsia="Noto Sans"/>
          <w:sz w:val="18"/>
        </w:rPr>
        <w:t>Il file originale è conservato nel tier RAW con checksum e upload/session metadata.</w:t>
      </w:r>
    </w:p>
    <w:p>
      <w:pPr>
        <w:pStyle w:val="ListBullet"/>
      </w:pPr>
      <w:r>
        <w:rPr>
          <w:rFonts w:ascii="Noto Sans" w:hAnsi="Noto Sans" w:eastAsia="Noto Sans"/>
          <w:sz w:val="18"/>
        </w:rPr>
        <w:t>Lo schema profilato e approvato è referenziato dal PublishedConfigurationBundle.</w:t>
      </w:r>
    </w:p>
    <w:p>
      <w:pPr>
        <w:pStyle w:val="ListBullet"/>
      </w:pPr>
      <w:r>
        <w:rPr>
          <w:rFonts w:ascii="Noto Sans" w:hAnsi="Noto Sans" w:eastAsia="Noto Sans"/>
          <w:sz w:val="18"/>
        </w:rPr>
        <w:t>Ogni riga/record deve avere una sourceObjectId stabile o una key strategy definita in onboarding.</w:t>
      </w:r>
    </w:p>
    <w:p>
      <w:pPr>
        <w:pStyle w:val="ListBullet"/>
      </w:pPr>
      <w:r>
        <w:rPr>
          <w:rFonts w:ascii="Noto Sans" w:hAnsi="Noto Sans" w:eastAsia="Noto Sans"/>
          <w:sz w:val="18"/>
        </w:rPr>
        <w:t>Aggiornamenti successivi del file producono nuove ingestion run e revisioni, non overwrite non tracciati.</w:t>
      </w:r>
    </w:p>
    <w:p>
      <w:pPr>
        <w:pStyle w:val="Heading1"/>
      </w:pPr>
      <w:r>
        <w:rPr>
          <w:rFonts w:ascii="Noto Sans" w:hAnsi="Noto Sans" w:eastAsia="Noto Sans"/>
        </w:rPr>
        <w:t>33. GIS conversational onboarding: WFS/OGC e layer statici</w:t>
      </w:r>
    </w:p>
    <w:p>
      <w:r>
        <w:rPr>
          <w:rFonts w:ascii="Noto Sans" w:hAnsi="Noto Sans" w:eastAsia="Noto Sans"/>
        </w:rPr>
        <w:t>OUF deve consentire all’utente di integrare un WFS/OGC endpoint o un layer GIS statico partendo da una conversazione. Il chatbot orchestra capability governate: discovery tecnico, profiling, proposta di mapping e resolution strategy; la decisione finale resta umana.</w:t>
      </w:r>
    </w:p>
    <w:p>
      <w:pPr>
        <w:pStyle w:val="Heading2"/>
      </w:pPr>
      <w:r>
        <w:rPr>
          <w:rFonts w:ascii="Noto Sans" w:hAnsi="Noto Sans" w:eastAsia="Noto Sans"/>
        </w:rPr>
        <w:t>33.1 WFS / OGC API - Features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>Utente: "Integra questo WFS: https://..."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-&gt; MCP/source draft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-&gt; GetCapabilities / feature types / CRS / schema / sample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-&gt; chatbot presenta layer disponibili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-&gt; domande su significato, identity key, temporalità, geometry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-&gt; proposta semantic mapping + spatial/object resolution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-&gt; review umana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-&gt; PublishedConfigurationBundle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-&gt; Ingestion</w:t>
      </w:r>
    </w:p>
    <w:p>
      <w:pPr>
        <w:pStyle w:val="ListBullet"/>
      </w:pPr>
      <w:r>
        <w:rPr>
          <w:rFonts w:ascii="Noto Sans" w:hAnsi="Noto Sans" w:eastAsia="Noto Sans"/>
        </w:rPr>
        <w:t>Il Gateway tratta WFS come protocollo sorgente e non fa semantic enrichment.</w:t>
      </w:r>
    </w:p>
    <w:p>
      <w:pPr>
        <w:pStyle w:val="ListBullet"/>
      </w:pPr>
      <w:r>
        <w:rPr>
          <w:rFonts w:ascii="Noto Sans" w:hAnsi="Noto Sans" w:eastAsia="Noto Sans"/>
        </w:rPr>
        <w:t>WMS resta principalmente servizio cartografico; può essere registrato/proxy ma non è una sorgente feature equivalente a WFS.</w:t>
      </w:r>
    </w:p>
    <w:p>
      <w:pPr>
        <w:pStyle w:val="ListBullet"/>
      </w:pPr>
      <w:r>
        <w:rPr>
          <w:rFonts w:ascii="Noto Sans" w:hAnsi="Noto Sans" w:eastAsia="Noto Sans"/>
        </w:rPr>
        <w:t>Per nuove integrazioni è preferibile OGC API - Features quando disponibile.</w:t>
      </w:r>
    </w:p>
    <w:p>
      <w:pPr>
        <w:pStyle w:val="Heading2"/>
      </w:pPr>
      <w:r>
        <w:rPr>
          <w:rFonts w:ascii="Noto Sans" w:hAnsi="Noto Sans" w:eastAsia="Noto Sans"/>
        </w:rPr>
        <w:t>33.2 Layer statici GIS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color="D9E2F3"/>
          <w:left w:val="single" w:sz="6" w:color="D9E2F3"/>
          <w:bottom w:val="single" w:sz="6" w:color="D9E2F3"/>
          <w:right w:val="single" w:sz="6" w:color="D9E2F3"/>
          <w:insideH w:val="single" w:sz="6" w:color="D9E2F3"/>
          <w:insideV w:val="single" w:sz="6" w:color="D9E2F3"/>
        </w:tblBorders>
      </w:tblPr>
      <w:tblGrid>
        <w:gridCol w:w="4929"/>
        <w:gridCol w:w="4929"/>
      </w:tblGrid>
      <w:tr>
        <w:trPr>
          <w:tblHeader w:val="true"/>
          <w:tblHeader w:val="true"/>
        </w:trPr>
        <w:tc>
          <w:tcPr>
            <w:tcW w:type="dxa" w:w="2835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b/>
                <w:sz w:val="17"/>
              </w:rPr>
              <w:t>Formato</w:t>
            </w:r>
          </w:p>
        </w:tc>
        <w:tc>
          <w:tcPr>
            <w:tcW w:type="dxa" w:w="6803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b/>
                <w:sz w:val="17"/>
              </w:rPr>
              <w:t>Trattamento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GeoPackage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Preferito per dataset GIS statici complessi.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GeoJSON / JSON-FG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Import diretto con profiling di properties/geometry/CRS.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Shapefile ZIP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Supporto legacy con validazione dei componenti e CRS.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CSV + coordinate/WKT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Profiling e costruzione geometry secondo configurazione.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XLSX con coordinate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INTERNAL_MANAGED/EXTERNAL_FILE con schema profiling e onboarding.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color="D9E2F3"/>
          <w:left w:val="single" w:sz="6" w:color="D9E2F3"/>
          <w:bottom w:val="single" w:sz="6" w:color="D9E2F3"/>
          <w:right w:val="single" w:sz="6" w:color="D9E2F3"/>
          <w:insideH w:val="single" w:sz="6" w:color="D9E2F3"/>
          <w:insideV w:val="single" w:sz="6" w:color="D9E2F3"/>
        </w:tblBorders>
      </w:tblPr>
      <w:tblGrid>
        <w:gridCol w:w="9858"/>
      </w:tblGrid>
      <w:tr>
        <w:tc>
          <w:tcPr>
            <w:tcW w:type="dxa" w:w="9858"/>
            <w:shd w:fill="EEF4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b/>
                <w:sz w:val="17"/>
              </w:rPr>
              <w:t xml:space="preserve">Governance — </w:t>
            </w:r>
            <w:r>
              <w:rPr>
                <w:rFonts w:ascii="Noto Sans" w:hAnsi="Noto Sans" w:eastAsia="Noto Sans"/>
                <w:sz w:val="17"/>
              </w:rPr>
              <w:t>Il file/dataset crea una source governata; ogni feature/riga crea una source-object identity e può produrre 0..N candidate Urban Object. La source identity non coincide con la singola riga.</w:t>
            </w:r>
          </w:p>
        </w:tc>
      </w:tr>
    </w:tbl>
    <w:p>
      <w:pPr>
        <w:pStyle w:val="Heading1"/>
      </w:pPr>
      <w:r>
        <w:rPr>
          <w:rFonts w:ascii="Noto Sans" w:hAnsi="Noto Sans" w:eastAsia="Noto Sans"/>
        </w:rPr>
        <w:t>34. Preflight Contract Check e schema drift in esercizio</w:t>
      </w:r>
    </w:p>
    <w:p>
      <w:r>
        <w:rPr>
          <w:rFonts w:ascii="Noto Sans" w:hAnsi="Noto Sans" w:eastAsia="Noto Sans"/>
        </w:rPr>
        <w:t>Prima di ogni run schedulata di acquisizione il Runtime deve verificare in modo leggero che la source capability e il contratto tecnico atteso siano ancora validi. Non è necessario riscaricare l’intero schema se la Source API espone version/fingerprint/ETag.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>Start ingestion run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-&gt; source/type presence check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-&gt; catalogVersion / schemaVersion / schemaFingerprint / ETag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-&gt; compare with ACTIVE/pinned contract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   -&gt; unchanged: proceed to snapshot/delta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   -&gt; changed: full discovery + classify drift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      -&gt; compatible: SchemaSurveillanceNotice; run according to policy</w:t>
      </w:r>
    </w:p>
    <w:p>
      <w:pPr>
        <w:pStyle w:val="OUFCode"/>
        <w:spacing w:after="0" w:before="0"/>
        <w:shd w:fill="F2F2F2"/>
        <w:ind w:left="142" w:right="142"/>
      </w:pPr>
      <w:r>
        <w:rPr>
          <w:rFonts w:ascii="DejaVu Sans Mono" w:hAnsi="DejaVu Sans Mono" w:eastAsia="DejaVu Sans Mono"/>
          <w:sz w:val="17"/>
        </w:rPr>
        <w:t xml:space="preserve">        -&gt; breaking: RuntimeIssue / pause-quarantine / re-onboarding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color="D9E2F3"/>
          <w:left w:val="single" w:sz="6" w:color="D9E2F3"/>
          <w:bottom w:val="single" w:sz="6" w:color="D9E2F3"/>
          <w:right w:val="single" w:sz="6" w:color="D9E2F3"/>
          <w:insideH w:val="single" w:sz="6" w:color="D9E2F3"/>
          <w:insideV w:val="single" w:sz="6" w:color="D9E2F3"/>
        </w:tblBorders>
      </w:tblPr>
      <w:tblGrid>
        <w:gridCol w:w="9858"/>
      </w:tblGrid>
      <w:tr>
        <w:tc>
          <w:tcPr>
            <w:tcW w:type="dxa" w:w="9858"/>
            <w:shd w:fill="EEF4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b/>
                <w:sz w:val="17"/>
              </w:rPr>
              <w:t xml:space="preserve">Invariante SCHEMA-01 — </w:t>
            </w:r>
            <w:r>
              <w:rPr>
                <w:rFonts w:ascii="Noto Sans" w:hAnsi="Noto Sans" w:eastAsia="Noto Sans"/>
                <w:sz w:val="17"/>
              </w:rPr>
              <w:t>Prima di interpretare nuovi record, il runtime verifica che il contratto utilizzato per interpretarli sia ancora valido. Un cambio breaking non viene adattato automaticamente né “indovinato” dall’AI.</w:t>
            </w:r>
          </w:p>
        </w:tc>
      </w:tr>
    </w:tbl>
    <w:p>
      <w:pPr>
        <w:pStyle w:val="Heading1"/>
      </w:pPr>
      <w:r>
        <w:rPr>
          <w:rFonts w:ascii="Noto Sans" w:hAnsi="Noto Sans" w:eastAsia="Noto Sans"/>
        </w:rPr>
        <w:t>35. DataAccessLabel e predisposizione a dati personali/sensibili</w:t>
      </w:r>
    </w:p>
    <w:p>
      <w:pPr/>
      <w:r>
        <w:rPr>
          <w:rFonts w:ascii="Noto Sans" w:hAnsi="Noto Sans" w:eastAsia="Noto Sans"/>
          <w:sz w:val="18"/>
        </w:rPr>
        <w:t>La release iniziale continua a operare su OPEN e ANONYMOUS. Tuttavia la v1.0 congela fin da ora il modello necessario a supportare in futuro dati personali o sensibili senza dover ridisegnare Urban Object, lineage, relazioni o API.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D4DF"/>
          <w:left w:val="single" w:sz="4" w:color="C9D4DF"/>
          <w:bottom w:val="single" w:sz="4" w:color="C9D4DF"/>
          <w:right w:val="single" w:sz="4" w:color="C9D4DF"/>
          <w:insideH w:val="single" w:sz="4" w:color="C9D4DF"/>
          <w:insideV w:val="single" w:sz="4" w:color="C9D4DF"/>
        </w:tblBorders>
      </w:tblPr>
      <w:tblGrid>
        <w:gridCol w:w="3286"/>
        <w:gridCol w:w="3286"/>
        <w:gridCol w:w="3286"/>
      </w:tblGrid>
      <w:tr>
        <w:tc>
          <w:tcPr>
            <w:tcW w:type="dxa" w:w="2268"/>
            <w:shd w:fill="0B4F6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Label</w:t>
            </w:r>
          </w:p>
        </w:tc>
        <w:tc>
          <w:tcPr>
            <w:tcW w:type="dxa" w:w="5102"/>
            <w:shd w:fill="0B4F6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Uso previsto</w:t>
            </w:r>
          </w:p>
        </w:tc>
        <w:tc>
          <w:tcPr>
            <w:tcW w:type="dxa" w:w="3402"/>
            <w:shd w:fill="0B4F6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Baseline iniziale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OPEN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Dato pubblicabile/ampiamente fruibile secondo policy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ABILITATO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ANONYMOUS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Dato non personale o già anonimizzato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ABILITATO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PERSONAL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Dato riferibile a persona identificata/identificabile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MODELLO PREDISPOSTO; non acquisito di default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SENSITIVE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Dato che richiede protezioni rafforzate secondo policy/norma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MODELLO PREDISPOSTO; non acquisito di default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RESTRICTED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Dato amministrativamente riservato o con accesso fortemente limitato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MODELLO PREDISPOSTO; non acquisito di default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D97706"/>
          <w:left w:val="single" w:sz="8" w:color="D97706"/>
          <w:bottom w:val="single" w:sz="8" w:color="D97706"/>
          <w:right w:val="single" w:sz="8" w:color="D97706"/>
          <w:insideH w:val="single" w:sz="8" w:color="D97706"/>
          <w:insideV w:val="single" w:sz="8" w:color="D97706"/>
        </w:tblBorders>
      </w:tblPr>
      <w:tblGrid>
        <w:gridCol w:w="9858"/>
      </w:tblGrid>
      <w:tr>
        <w:tc>
          <w:tcPr>
            <w:tcW w:type="dxa" w:w="9858"/>
            <w:shd w:fill="FFF6E8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rFonts w:ascii="Noto Sans" w:hAnsi="Noto Sans" w:eastAsia="Noto Sans" w:cs="Noto Sans"/>
                <w:b/>
                <w:color w:val="D97706"/>
                <w:sz w:val="17"/>
              </w:rPr>
              <w:t xml:space="preserve">Principio di sicurezza — </w:t>
            </w:r>
            <w:r>
              <w:rPr>
                <w:rFonts w:ascii="Noto Sans" w:hAnsi="Noto Sans" w:eastAsia="Noto Sans" w:cs="Noto Sans"/>
                <w:sz w:val="17"/>
              </w:rPr>
              <w:t>L’abilitazione futura di PERSONAL/SENSITIVE/RESTRICTED non avviene con un flag runtime: richiede nuova OnboardingVersion, nuova decisione INCLUDE, nuova policy di accesso applicabile e nuovo PublishedConfigurationBundle approvato.</w:t>
            </w:r>
          </w:p>
        </w:tc>
      </w:tr>
    </w:tbl>
    <w:p>
      <w:pPr>
        <w:pStyle w:val="Heading2"/>
      </w:pPr>
      <w:r>
        <w:rPr>
          <w:rFonts w:ascii="Noto Sans" w:hAnsi="Noto Sans" w:eastAsia="Noto Sans"/>
        </w:rPr>
        <w:t>35.1 Granularità della classificazione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D4DF"/>
          <w:left w:val="single" w:sz="4" w:color="C9D4DF"/>
          <w:bottom w:val="single" w:sz="4" w:color="C9D4DF"/>
          <w:right w:val="single" w:sz="4" w:color="C9D4DF"/>
          <w:insideH w:val="single" w:sz="4" w:color="C9D4DF"/>
          <w:insideV w:val="single" w:sz="4" w:color="C9D4DF"/>
        </w:tblBorders>
      </w:tblPr>
      <w:tblGrid>
        <w:gridCol w:w="3286"/>
        <w:gridCol w:w="3286"/>
        <w:gridCol w:w="3286"/>
      </w:tblGrid>
      <w:tr>
        <w:tc>
          <w:tcPr>
            <w:tcW w:type="dxa" w:w="2835"/>
            <w:shd w:fill="0B4F6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Risorsa</w:t>
            </w:r>
          </w:p>
        </w:tc>
        <w:tc>
          <w:tcPr>
            <w:tcW w:type="dxa" w:w="2268"/>
            <w:shd w:fill="0B4F6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Access label supportata</w:t>
            </w:r>
          </w:p>
        </w:tc>
        <w:tc>
          <w:tcPr>
            <w:tcW w:type="dxa" w:w="5669"/>
            <w:shd w:fill="0B4F6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Nota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Urban Object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Sì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Default/summary; non sostituisce le label delle proprietà.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Property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Sì — primaria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Consente field/property-level filtering e masking.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Relationship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Sì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La mera esistenza di un edge può essere informazione riservata.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Geometry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Sì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Geometrie di dettaglio possono avere accesso diverso dal resto dell’oggetto.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Lineage record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Sì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Il lineage può rivelare source IDs o valori originari.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RAW/NORMALIZED/CURATED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Sì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Il lake deve applicare policy proprie, non ereditare automaticamente il diritto di lettura UDP.</w:t>
            </w:r>
          </w:p>
        </w:tc>
      </w:tr>
    </w:tbl>
    <w:p>
      <w:pPr>
        <w:pStyle w:val="Heading1"/>
      </w:pPr>
      <w:r>
        <w:rPr>
          <w:rFonts w:ascii="Noto Sans" w:hAnsi="Noto Sans" w:eastAsia="Noto Sans"/>
        </w:rPr>
        <w:t>36. RBAC/ABAC, minimizzazione ed enforcement fine-grained</w:t>
      </w:r>
    </w:p>
    <w:p>
      <w:pPr/>
      <w:r>
        <w:rPr>
          <w:rFonts w:ascii="Noto Sans" w:hAnsi="Noto Sans" w:eastAsia="Noto Sans"/>
          <w:sz w:val="18"/>
        </w:rPr>
        <w:t>La UDP non espone dati sulla sola base del ruolo. Il disegno è compatibile con RBAC per profili semplici e con ABAC/policy-based authorization per casi futuri più restrittivi. Il servizio riceve un AuthorizationContext validato e applica la policy prima di costruire la risposta.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>Chatbot / Consumer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    |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    v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>MCP / API capability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    |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    v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>AuthorizationContext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    |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    v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>UDP Policy Enforcement Point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    |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    +--&gt; object-level guard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    +--&gt; property-level guard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    +--&gt; relationship-level guard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    +--&gt; operation-level guard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    |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    v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>Filtered / masked response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    |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    v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>Agent / client</w:t>
      </w:r>
    </w:p>
    <w:p>
      <w:pPr>
        <w:pStyle w:val="Heading2"/>
      </w:pPr>
      <w:r>
        <w:rPr>
          <w:rFonts w:ascii="Noto Sans" w:hAnsi="Noto Sans" w:eastAsia="Noto Sans"/>
        </w:rPr>
        <w:t>36.1 Operazioni governate separatamente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D4DF"/>
          <w:left w:val="single" w:sz="4" w:color="C9D4DF"/>
          <w:bottom w:val="single" w:sz="4" w:color="C9D4DF"/>
          <w:right w:val="single" w:sz="4" w:color="C9D4DF"/>
          <w:insideH w:val="single" w:sz="4" w:color="C9D4DF"/>
          <w:insideV w:val="single" w:sz="4" w:color="C9D4DF"/>
        </w:tblBorders>
      </w:tblPr>
      <w:tblGrid>
        <w:gridCol w:w="3286"/>
        <w:gridCol w:w="3286"/>
        <w:gridCol w:w="3286"/>
      </w:tblGrid>
      <w:tr>
        <w:tc>
          <w:tcPr>
            <w:tcW w:type="dxa" w:w="2835"/>
            <w:shd w:fill="0B4F6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Operazione</w:t>
            </w:r>
          </w:p>
        </w:tc>
        <w:tc>
          <w:tcPr>
            <w:tcW w:type="dxa" w:w="3969"/>
            <w:shd w:fill="0B4F6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Esempio capability</w:t>
            </w:r>
          </w:p>
        </w:tc>
        <w:tc>
          <w:tcPr>
            <w:tcW w:type="dxa" w:w="6236"/>
            <w:shd w:fill="0B4F6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Regola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Read object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urban.object.read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Può restituire un oggetto parzialmente redacted.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Search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urban.object.search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Filtri e risultati devono rispettare access label; nessun side channel da count non autorizzati.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Read relationship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urban.relationship.read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Edge filtrati secondo policy.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Read lineage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lineage.object.read / lineage.property.read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Valori/rawRef possono essere masked o omessi.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Bulk/export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urban.object.export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Capability distinta; non derivata automaticamente da read.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Aggregate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urban.aggregate.query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Policy e soglie dedicate per ridurre rischio di re-identificazione.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C62828"/>
          <w:left w:val="single" w:sz="8" w:color="C62828"/>
          <w:bottom w:val="single" w:sz="8" w:color="C62828"/>
          <w:right w:val="single" w:sz="8" w:color="C62828"/>
          <w:insideH w:val="single" w:sz="8" w:color="C62828"/>
          <w:insideV w:val="single" w:sz="8" w:color="C62828"/>
        </w:tblBorders>
      </w:tblPr>
      <w:tblGrid>
        <w:gridCol w:w="9858"/>
      </w:tblGrid>
      <w:tr>
        <w:tc>
          <w:tcPr>
            <w:tcW w:type="dxa" w:w="9858"/>
            <w:shd w:fill="FDEEEE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rFonts w:ascii="Noto Sans" w:hAnsi="Noto Sans" w:eastAsia="Noto Sans" w:cs="Noto Sans"/>
                <w:b/>
                <w:color w:val="C62828"/>
                <w:sz w:val="17"/>
              </w:rPr>
              <w:t xml:space="preserve">AI boundary — </w:t>
            </w:r>
            <w:r>
              <w:rPr>
                <w:rFonts w:ascii="Noto Sans" w:hAnsi="Noto Sans" w:eastAsia="Noto Sans" w:cs="Noto Sans"/>
                <w:sz w:val="17"/>
              </w:rPr>
              <w:t>Il modello AI non deve ricevere dati non autorizzati per poi “nasconderli”. Filtering/redaction avviene server-side nella UDP prima che la risposta raggiunga MCP/Agent Host.</w:t>
            </w:r>
          </w:p>
        </w:tc>
      </w:tr>
    </w:tbl>
    <w:p>
      <w:pPr>
        <w:pStyle w:val="Heading1"/>
      </w:pPr>
      <w:r>
        <w:rPr>
          <w:rFonts w:ascii="Noto Sans" w:hAnsi="Noto Sans" w:eastAsia="Noto Sans"/>
        </w:rPr>
        <w:t>37. Evoluzione governata da EXCLUDE a INCLUDE</w:t>
      </w:r>
    </w:p>
    <w:p>
      <w:pPr>
        <w:pStyle w:val="ListNumber"/>
      </w:pPr>
      <w:r>
        <w:rPr>
          <w:rFonts w:ascii="Noto Sans" w:hAnsi="Noto Sans" w:eastAsia="Noto Sans"/>
          <w:sz w:val="18"/>
        </w:rPr>
        <w:t>Il campo esiste già nello schema sorgente ed è classificato PERSONAL/SENSITIVE ma decisione acquisition=EXCLUDE.</w:t>
      </w:r>
    </w:p>
    <w:p>
      <w:pPr>
        <w:pStyle w:val="ListNumber"/>
      </w:pPr>
      <w:r>
        <w:rPr>
          <w:rFonts w:ascii="Noto Sans" w:hAnsi="Noto Sans" w:eastAsia="Noto Sans"/>
          <w:sz w:val="18"/>
        </w:rPr>
        <w:t>Una nuova esigenza normativa/operativa apre una nuova OnboardingVersion.</w:t>
      </w:r>
    </w:p>
    <w:p>
      <w:pPr>
        <w:pStyle w:val="ListNumber"/>
      </w:pPr>
      <w:r>
        <w:rPr>
          <w:rFonts w:ascii="Noto Sans" w:hAnsi="Noto Sans" w:eastAsia="Noto Sans"/>
          <w:sz w:val="18"/>
        </w:rPr>
        <w:t>L’operatore mantiene/aggiorna la classification e cambia acquisition=INCLUDE solo con policy di accesso compatibile.</w:t>
      </w:r>
    </w:p>
    <w:p>
      <w:pPr>
        <w:pStyle w:val="ListNumber"/>
      </w:pPr>
      <w:r>
        <w:rPr>
          <w:rFonts w:ascii="Noto Sans" w:hAnsi="Noto Sans" w:eastAsia="Noto Sans"/>
          <w:sz w:val="18"/>
        </w:rPr>
        <w:t>La Trusted Approval Surface approva la nuova versione e viene pubblicato un nuovo PublishedConfigurationBundle.</w:t>
      </w:r>
    </w:p>
    <w:p>
      <w:pPr>
        <w:pStyle w:val="ListNumber"/>
      </w:pPr>
      <w:r>
        <w:rPr>
          <w:rFonts w:ascii="Noto Sans" w:hAnsi="Noto Sans" w:eastAsia="Noto Sans"/>
          <w:sz w:val="18"/>
        </w:rPr>
        <w:t>L’Ingestion Runtime inizia ad acquisire il campo dal punto/versione stabiliti; nessun recupero storico automatico è implicito.</w:t>
      </w:r>
    </w:p>
    <w:p>
      <w:pPr>
        <w:pStyle w:val="ListNumber"/>
      </w:pPr>
      <w:r>
        <w:rPr>
          <w:rFonts w:ascii="Noto Sans" w:hAnsi="Noto Sans" w:eastAsia="Noto Sans"/>
          <w:sz w:val="18"/>
        </w:rPr>
        <w:t>La UDP materializza la proprietà con DataAccessLabel e policyRef; API/MCP applicano enforcement prima della risposta.</w:t>
      </w:r>
    </w:p>
    <w:p>
      <w:pPr>
        <w:pStyle w:val="ListNumber"/>
      </w:pPr>
      <w:r>
        <w:rPr>
          <w:rFonts w:ascii="Noto Sans" w:hAnsi="Noto Sans" w:eastAsia="Noto Sans"/>
          <w:sz w:val="18"/>
        </w:rPr>
        <w:t>Un eventuale backfill dei dati storici è una run esplicita, auditata e soggetta alle stesse policy.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D97706"/>
          <w:left w:val="single" w:sz="8" w:color="D97706"/>
          <w:bottom w:val="single" w:sz="8" w:color="D97706"/>
          <w:right w:val="single" w:sz="8" w:color="D97706"/>
          <w:insideH w:val="single" w:sz="8" w:color="D97706"/>
          <w:insideV w:val="single" w:sz="8" w:color="D97706"/>
        </w:tblBorders>
      </w:tblPr>
      <w:tblGrid>
        <w:gridCol w:w="9858"/>
      </w:tblGrid>
      <w:tr>
        <w:tc>
          <w:tcPr>
            <w:tcW w:type="dxa" w:w="9858"/>
            <w:shd w:fill="FFF6E8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rFonts w:ascii="Noto Sans" w:hAnsi="Noto Sans" w:eastAsia="Noto Sans" w:cs="Noto Sans"/>
                <w:b/>
                <w:color w:val="D97706"/>
                <w:sz w:val="17"/>
              </w:rPr>
              <w:t xml:space="preserve">Invariante UDP-SEC-02 — </w:t>
            </w:r>
            <w:r>
              <w:rPr>
                <w:rFonts w:ascii="Noto Sans" w:hAnsi="Noto Sans" w:eastAsia="Noto Sans" w:cs="Noto Sans"/>
                <w:sz w:val="17"/>
              </w:rPr>
              <w:t>Un campo precedentemente EXCLUDE non diventa disponibile nella UDP per semplice configurazione operativa. Serve un nuovo contratto approvato e versionato; la vecchia decisione resta nello storico.</w:t>
            </w:r>
          </w:p>
        </w:tc>
      </w:tr>
    </w:tbl>
    <w:p>
      <w:pPr>
        <w:pStyle w:val="Heading1"/>
      </w:pPr>
      <w:r>
        <w:rPr>
          <w:rFonts w:ascii="Noto Sans" w:hAnsi="Noto Sans" w:eastAsia="Noto Sans"/>
        </w:rPr>
        <w:t>38. Threat model e trust boundaries del data plane</w:t>
      </w:r>
    </w:p>
    <w:p>
      <w:r>
        <w:rPr>
          <w:rFonts w:ascii="Noto Sans" w:hAnsi="Noto Sans" w:eastAsia="Noto Sans"/>
        </w:rPr>
        <w:t>Il blocco dati tratta come non fidato ogni chiamante esterno al proprio processo, incluse altre componenti OUF. La co-residenza nello stesso cluster o namespace non costituisce autenticazione né autorizzazione. Il confine di fiducia è definito da service identity, token validato, policy applicativa, network policy e controllo del contratto.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0B4F6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Boundary</w:t>
            </w:r>
          </w:p>
        </w:tc>
        <w:tc>
          <w:tcPr>
            <w:tcW w:type="dxa" w:w="3286"/>
            <w:vAlign w:val="center"/>
            <w:shd w:fill="0B4F6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Minaccia principale</w:t>
            </w:r>
          </w:p>
        </w:tc>
        <w:tc>
          <w:tcPr>
            <w:tcW w:type="dxa" w:w="3286"/>
            <w:vAlign w:val="center"/>
            <w:shd w:fill="0B4F6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Contromisura baseline</w:t>
            </w:r>
          </w:p>
        </w:tc>
      </w:tr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Ingestion → UDP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Payload alterato, replay, bundle non coerente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mTLS/OAuth2 secondo scenario IAM; checksum; idempotency key; bundle/schema pinning; durable ACK.</w:t>
            </w:r>
          </w:p>
        </w:tc>
      </w:tr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Gateway/MCP → Serving API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Principal non autorizzato o query eccessiva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JWT validation, capability check, resource-level policy, query budget, rate limit e audit.</w:t>
            </w:r>
          </w:p>
        </w:tc>
      </w:tr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UDP → Object Storage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Accesso diretto a RAW o oggetti riservati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Credenziali workload dedicate, bucket policy, nessuna public ACL, cifratura at-rest e object key non enumerabile.</w:t>
            </w:r>
          </w:p>
        </w:tc>
      </w:tr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PostgreSQL/PostGIS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Escalation SQL o lettura bypass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DB non esposto ai consumer; account tecnici separati; least privilege; TLS; auditing amministrativo.</w:t>
            </w:r>
          </w:p>
        </w:tc>
      </w:tr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Operatori amministrativi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Uso improprio di export/replay/merge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Capability privilegiate, approval/policy, motivazione, audit append-only e separazione dei compiti dove richiesta.</w:t>
            </w:r>
          </w:p>
        </w:tc>
      </w:tr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AI/MCP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Data leakage, prompt-driven overreach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No SQL/raw query; tool allowlist; response filtering; size limits; labels e policy valutati prima del modello.</w:t>
            </w:r>
          </w:p>
        </w:tc>
      </w:tr>
    </w:tbl>
    <w:p/>
    <w:p>
      <w:pPr>
        <w:pStyle w:val="Heading2"/>
      </w:pPr>
      <w:r>
        <w:rPr>
          <w:rFonts w:ascii="Noto Sans" w:hAnsi="Noto Sans" w:eastAsia="Noto Sans"/>
        </w:rPr>
        <w:t>38.1 Security invariants</w:t>
      </w:r>
    </w:p>
    <w:p>
      <w:pPr>
        <w:pStyle w:val="ListBullet"/>
      </w:pPr>
      <w:r>
        <w:rPr>
          <w:rFonts w:ascii="Noto Sans" w:hAnsi="Noto Sans" w:eastAsia="Noto Sans"/>
        </w:rPr>
        <w:t>UDP-SEC-I01 — Internal network ≠ trusted identity: ogni service-to-service call è autenticata.</w:t>
      </w:r>
    </w:p>
    <w:p>
      <w:pPr>
        <w:pStyle w:val="ListBullet"/>
      </w:pPr>
      <w:r>
        <w:rPr>
          <w:rFonts w:ascii="Noto Sans" w:hAnsi="Noto Sans" w:eastAsia="Noto Sans"/>
        </w:rPr>
        <w:t>UDP-SEC-I02 — Nessun consumer riceve credenziali dirette PostgreSQL, PostGIS o object storage.</w:t>
      </w:r>
    </w:p>
    <w:p>
      <w:pPr>
        <w:pStyle w:val="ListBullet"/>
      </w:pPr>
      <w:r>
        <w:rPr>
          <w:rFonts w:ascii="Noto Sans" w:hAnsi="Noto Sans" w:eastAsia="Noto Sans"/>
        </w:rPr>
        <w:t>UDP-SEC-I03 — Il DataAccessLabel effettivo non può essere ridotto dal client; solo policy governate possono determinare declassificazione o masking.</w:t>
      </w:r>
    </w:p>
    <w:p>
      <w:pPr>
        <w:pStyle w:val="ListBullet"/>
      </w:pPr>
      <w:r>
        <w:rPr>
          <w:rFonts w:ascii="Noto Sans" w:hAnsi="Noto Sans" w:eastAsia="Noto Sans"/>
        </w:rPr>
        <w:t>UDP-SEC-I04 — Il lineage non costituisce un canale laterale per aggirare le policy applicate al dato.</w:t>
      </w:r>
    </w:p>
    <w:p>
      <w:pPr>
        <w:pStyle w:val="ListBullet"/>
      </w:pPr>
      <w:r>
        <w:rPr>
          <w:rFonts w:ascii="Noto Sans" w:hAnsi="Noto Sans" w:eastAsia="Noto Sans"/>
        </w:rPr>
        <w:t>UDP-SEC-I05 — Export, bulk read e raw access sono capability distinte dalla consultazione interattiva.</w:t>
      </w:r>
    </w:p>
    <w:p>
      <w:pPr>
        <w:pStyle w:val="ListBullet"/>
      </w:pPr>
      <w:r>
        <w:rPr>
          <w:rFonts w:ascii="Noto Sans" w:hAnsi="Noto Sans" w:eastAsia="Noto Sans"/>
        </w:rPr>
        <w:t>UDP-SEC-I06 — Ogni risposta MCP/AI è già minimizzata e autorizzata dal backend; il modello non è un enforcement point.</w:t>
      </w:r>
    </w:p>
    <w:p>
      <w:pPr>
        <w:pStyle w:val="Heading1"/>
      </w:pPr>
      <w:r>
        <w:rPr>
          <w:rFonts w:ascii="Noto Sans" w:hAnsi="Noto Sans" w:eastAsia="Noto Sans"/>
        </w:rPr>
        <w:t>39. Identità M2M e integrazione con Authorization</w:t>
      </w:r>
    </w:p>
    <w:p>
      <w:r>
        <w:rPr>
          <w:rFonts w:ascii="Noto Sans" w:hAnsi="Noto Sans" w:eastAsia="Noto Sans"/>
        </w:rPr>
        <w:t>La UDP resta indipendente dall’Identity Authority concreta. Supporta i tre scenari congelati dalla Authorization Specification: A) EVO/IAM supporta M2M; B) perimetro tecnico separato sul medesimo IAM; C) Technical IAM OUF minimale. In tutti i casi il servizio riceve un principal verificato e applica policy OUF sulle capability e sulle risorse.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AuthorizationContext</w:t>
            </w:r>
            <w:r>
              <w:rPr>
                <w:rFonts w:ascii="Noto Sans" w:hAnsi="Noto Sans" w:eastAsia="Noto Sans" w:cs="Noto Sans"/>
                <w:sz w:val="17"/>
              </w:rPr>
              <w:br/>
            </w:r>
            <w:r>
              <w:rPr>
                <w:rFonts w:ascii="Noto Sans" w:hAnsi="Noto Sans" w:eastAsia="Noto Sans" w:cs="Noto Sans"/>
                <w:sz w:val="17"/>
              </w:rPr>
              <w:t xml:space="preserve">  principal.type      = HUMAN_USER | AI_AGENT | MCP_SERVER | SERVICE_IDENTITY</w:t>
            </w:r>
            <w:r>
              <w:rPr>
                <w:rFonts w:ascii="Noto Sans" w:hAnsi="Noto Sans" w:eastAsia="Noto Sans" w:cs="Noto Sans"/>
                <w:sz w:val="17"/>
              </w:rPr>
              <w:br/>
            </w:r>
            <w:r>
              <w:rPr>
                <w:rFonts w:ascii="Noto Sans" w:hAnsi="Noto Sans" w:eastAsia="Noto Sans" w:cs="Noto Sans"/>
                <w:sz w:val="17"/>
              </w:rPr>
              <w:t xml:space="preserve">  principal.subject   = &lt;validated subject&gt;</w:t>
            </w:r>
            <w:r>
              <w:rPr>
                <w:rFonts w:ascii="Noto Sans" w:hAnsi="Noto Sans" w:eastAsia="Noto Sans" w:cs="Noto Sans"/>
                <w:sz w:val="17"/>
              </w:rPr>
              <w:br/>
            </w:r>
            <w:r>
              <w:rPr>
                <w:rFonts w:ascii="Noto Sans" w:hAnsi="Noto Sans" w:eastAsia="Noto Sans" w:cs="Noto Sans"/>
                <w:sz w:val="17"/>
              </w:rPr>
              <w:t xml:space="preserve">  delegatedVia        = &lt;optional agent/mcp context&gt;</w:t>
            </w:r>
            <w:r>
              <w:rPr>
                <w:rFonts w:ascii="Noto Sans" w:hAnsi="Noto Sans" w:eastAsia="Noto Sans" w:cs="Noto Sans"/>
                <w:sz w:val="17"/>
              </w:rPr>
              <w:br/>
            </w:r>
            <w:r>
              <w:rPr>
                <w:rFonts w:ascii="Noto Sans" w:hAnsi="Noto Sans" w:eastAsia="Noto Sans" w:cs="Noto Sans"/>
                <w:sz w:val="17"/>
              </w:rPr>
              <w:t xml:space="preserve">  roles               = [...]</w:t>
            </w:r>
            <w:r>
              <w:rPr>
                <w:rFonts w:ascii="Noto Sans" w:hAnsi="Noto Sans" w:eastAsia="Noto Sans" w:cs="Noto Sans"/>
                <w:sz w:val="17"/>
              </w:rPr>
              <w:br/>
            </w:r>
            <w:r>
              <w:rPr>
                <w:rFonts w:ascii="Noto Sans" w:hAnsi="Noto Sans" w:eastAsia="Noto Sans" w:cs="Noto Sans"/>
                <w:sz w:val="17"/>
              </w:rPr>
              <w:t xml:space="preserve">  orgUnit             = &lt;optional&gt;</w:t>
            </w:r>
            <w:r>
              <w:rPr>
                <w:rFonts w:ascii="Noto Sans" w:hAnsi="Noto Sans" w:eastAsia="Noto Sans" w:cs="Noto Sans"/>
                <w:sz w:val="17"/>
              </w:rPr>
              <w:br/>
            </w:r>
            <w:r>
              <w:rPr>
                <w:rFonts w:ascii="Noto Sans" w:hAnsi="Noto Sans" w:eastAsia="Noto Sans" w:cs="Noto Sans"/>
                <w:sz w:val="17"/>
              </w:rPr>
              <w:t xml:space="preserve">  scopes/capabilities = [...]</w:t>
            </w:r>
            <w:r>
              <w:rPr>
                <w:rFonts w:ascii="Noto Sans" w:hAnsi="Noto Sans" w:eastAsia="Noto Sans" w:cs="Noto Sans"/>
                <w:sz w:val="17"/>
              </w:rPr>
              <w:br/>
            </w:r>
            <w:r>
              <w:rPr>
                <w:rFonts w:ascii="Noto Sans" w:hAnsi="Noto Sans" w:eastAsia="Noto Sans" w:cs="Noto Sans"/>
                <w:sz w:val="17"/>
              </w:rPr>
              <w:t xml:space="preserve">  assurance           = &lt;acr/amr/auth_time when relevant&gt;</w:t>
            </w:r>
            <w:r>
              <w:rPr>
                <w:rFonts w:ascii="Noto Sans" w:hAnsi="Noto Sans" w:eastAsia="Noto Sans" w:cs="Noto Sans"/>
                <w:sz w:val="17"/>
              </w:rPr>
              <w:br/>
            </w:r>
            <w:r>
              <w:rPr>
                <w:rFonts w:ascii="Noto Sans" w:hAnsi="Noto Sans" w:eastAsia="Noto Sans" w:cs="Noto Sans"/>
                <w:sz w:val="17"/>
              </w:rPr>
              <w:t xml:space="preserve">  correlationId       = &lt;end-to-end id&gt;</w:t>
            </w:r>
          </w:p>
        </w:tc>
      </w:tr>
    </w:tbl>
    <w:p/>
    <w:p>
      <w:pPr>
        <w:pStyle w:val="Heading1"/>
      </w:pPr>
      <w:r>
        <w:rPr>
          <w:rFonts w:ascii="Noto Sans" w:hAnsi="Noto Sans" w:eastAsia="Noto Sans"/>
        </w:rPr>
        <w:t>40. Enforcement server-side: object, property, relationship e operation</w:t>
      </w:r>
    </w:p>
    <w:p>
      <w:r>
        <w:rPr>
          <w:rFonts w:ascii="Noto Sans" w:hAnsi="Noto Sans" w:eastAsia="Noto Sans"/>
        </w:rPr>
        <w:t>L’enforcement è applicato prima della serializzazione della risposta. La decisione considera capability, DataAccessLabel, source/owner, tipo di oggetto, proprietà, relazione, contesto organizzativo, stato della risorsa e modalità di accesso. La stessa policy si applica a REST, MCP e consumer applicativi.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request</w:t>
            </w:r>
            <w:r>
              <w:rPr>
                <w:rFonts w:ascii="Noto Sans" w:hAnsi="Noto Sans" w:eastAsia="Noto Sans" w:cs="Noto Sans"/>
                <w:sz w:val="17"/>
              </w:rPr>
              <w:br/>
            </w:r>
            <w:r>
              <w:rPr>
                <w:rFonts w:ascii="Noto Sans" w:hAnsi="Noto Sans" w:eastAsia="Noto Sans" w:cs="Noto Sans"/>
                <w:sz w:val="17"/>
              </w:rPr>
              <w:t xml:space="preserve">  ↓</w:t>
            </w:r>
            <w:r>
              <w:rPr>
                <w:rFonts w:ascii="Noto Sans" w:hAnsi="Noto Sans" w:eastAsia="Noto Sans" w:cs="Noto Sans"/>
                <w:sz w:val="17"/>
              </w:rPr>
              <w:br/>
            </w:r>
            <w:r>
              <w:rPr>
                <w:rFonts w:ascii="Noto Sans" w:hAnsi="Noto Sans" w:eastAsia="Noto Sans" w:cs="Noto Sans"/>
                <w:sz w:val="17"/>
              </w:rPr>
              <w:t>identity validation</w:t>
            </w:r>
            <w:r>
              <w:rPr>
                <w:rFonts w:ascii="Noto Sans" w:hAnsi="Noto Sans" w:eastAsia="Noto Sans" w:cs="Noto Sans"/>
                <w:sz w:val="17"/>
              </w:rPr>
              <w:br/>
            </w:r>
            <w:r>
              <w:rPr>
                <w:rFonts w:ascii="Noto Sans" w:hAnsi="Noto Sans" w:eastAsia="Noto Sans" w:cs="Noto Sans"/>
                <w:sz w:val="17"/>
              </w:rPr>
              <w:t xml:space="preserve">  ↓</w:t>
            </w:r>
            <w:r>
              <w:rPr>
                <w:rFonts w:ascii="Noto Sans" w:hAnsi="Noto Sans" w:eastAsia="Noto Sans" w:cs="Noto Sans"/>
                <w:sz w:val="17"/>
              </w:rPr>
              <w:br/>
            </w:r>
            <w:r>
              <w:rPr>
                <w:rFonts w:ascii="Noto Sans" w:hAnsi="Noto Sans" w:eastAsia="Noto Sans" w:cs="Noto Sans"/>
                <w:sz w:val="17"/>
              </w:rPr>
              <w:t>capability authorization</w:t>
            </w:r>
            <w:r>
              <w:rPr>
                <w:rFonts w:ascii="Noto Sans" w:hAnsi="Noto Sans" w:eastAsia="Noto Sans" w:cs="Noto Sans"/>
                <w:sz w:val="17"/>
              </w:rPr>
              <w:br/>
            </w:r>
            <w:r>
              <w:rPr>
                <w:rFonts w:ascii="Noto Sans" w:hAnsi="Noto Sans" w:eastAsia="Noto Sans" w:cs="Noto Sans"/>
                <w:sz w:val="17"/>
              </w:rPr>
              <w:t xml:space="preserve">  ↓</w:t>
            </w:r>
            <w:r>
              <w:rPr>
                <w:rFonts w:ascii="Noto Sans" w:hAnsi="Noto Sans" w:eastAsia="Noto Sans" w:cs="Noto Sans"/>
                <w:sz w:val="17"/>
              </w:rPr>
              <w:br/>
            </w:r>
            <w:r>
              <w:rPr>
                <w:rFonts w:ascii="Noto Sans" w:hAnsi="Noto Sans" w:eastAsia="Noto Sans" w:cs="Noto Sans"/>
                <w:sz w:val="17"/>
              </w:rPr>
              <w:t>resource + DataAccessLabel evaluation</w:t>
            </w:r>
            <w:r>
              <w:rPr>
                <w:rFonts w:ascii="Noto Sans" w:hAnsi="Noto Sans" w:eastAsia="Noto Sans" w:cs="Noto Sans"/>
                <w:sz w:val="17"/>
              </w:rPr>
              <w:br/>
            </w:r>
            <w:r>
              <w:rPr>
                <w:rFonts w:ascii="Noto Sans" w:hAnsi="Noto Sans" w:eastAsia="Noto Sans" w:cs="Noto Sans"/>
                <w:sz w:val="17"/>
              </w:rPr>
              <w:t xml:space="preserve">  ↓</w:t>
            </w:r>
            <w:r>
              <w:rPr>
                <w:rFonts w:ascii="Noto Sans" w:hAnsi="Noto Sans" w:eastAsia="Noto Sans" w:cs="Noto Sans"/>
                <w:sz w:val="17"/>
              </w:rPr>
              <w:br/>
            </w:r>
            <w:r>
              <w:rPr>
                <w:rFonts w:ascii="Noto Sans" w:hAnsi="Noto Sans" w:eastAsia="Noto Sans" w:cs="Noto Sans"/>
                <w:sz w:val="17"/>
              </w:rPr>
              <w:t>query execution with bounded scope</w:t>
            </w:r>
            <w:r>
              <w:rPr>
                <w:rFonts w:ascii="Noto Sans" w:hAnsi="Noto Sans" w:eastAsia="Noto Sans" w:cs="Noto Sans"/>
                <w:sz w:val="17"/>
              </w:rPr>
              <w:br/>
            </w:r>
            <w:r>
              <w:rPr>
                <w:rFonts w:ascii="Noto Sans" w:hAnsi="Noto Sans" w:eastAsia="Noto Sans" w:cs="Noto Sans"/>
                <w:sz w:val="17"/>
              </w:rPr>
              <w:t xml:space="preserve">  ↓</w:t>
            </w:r>
            <w:r>
              <w:rPr>
                <w:rFonts w:ascii="Noto Sans" w:hAnsi="Noto Sans" w:eastAsia="Noto Sans" w:cs="Noto Sans"/>
                <w:sz w:val="17"/>
              </w:rPr>
              <w:br/>
            </w:r>
            <w:r>
              <w:rPr>
                <w:rFonts w:ascii="Noto Sans" w:hAnsi="Noto Sans" w:eastAsia="Noto Sans" w:cs="Noto Sans"/>
                <w:sz w:val="17"/>
              </w:rPr>
              <w:t>property / edge / lineage filtering</w:t>
            </w:r>
            <w:r>
              <w:rPr>
                <w:rFonts w:ascii="Noto Sans" w:hAnsi="Noto Sans" w:eastAsia="Noto Sans" w:cs="Noto Sans"/>
                <w:sz w:val="17"/>
              </w:rPr>
              <w:br/>
            </w:r>
            <w:r>
              <w:rPr>
                <w:rFonts w:ascii="Noto Sans" w:hAnsi="Noto Sans" w:eastAsia="Noto Sans" w:cs="Noto Sans"/>
                <w:sz w:val="17"/>
              </w:rPr>
              <w:t xml:space="preserve">  ↓</w:t>
            </w:r>
            <w:r>
              <w:rPr>
                <w:rFonts w:ascii="Noto Sans" w:hAnsi="Noto Sans" w:eastAsia="Noto Sans" w:cs="Noto Sans"/>
                <w:sz w:val="17"/>
              </w:rPr>
              <w:br/>
            </w:r>
            <w:r>
              <w:rPr>
                <w:rFonts w:ascii="Noto Sans" w:hAnsi="Noto Sans" w:eastAsia="Noto Sans" w:cs="Noto Sans"/>
                <w:sz w:val="17"/>
              </w:rPr>
              <w:t>masking / suppression</w:t>
            </w:r>
            <w:r>
              <w:rPr>
                <w:rFonts w:ascii="Noto Sans" w:hAnsi="Noto Sans" w:eastAsia="Noto Sans" w:cs="Noto Sans"/>
                <w:sz w:val="17"/>
              </w:rPr>
              <w:br/>
            </w:r>
            <w:r>
              <w:rPr>
                <w:rFonts w:ascii="Noto Sans" w:hAnsi="Noto Sans" w:eastAsia="Noto Sans" w:cs="Noto Sans"/>
                <w:sz w:val="17"/>
              </w:rPr>
              <w:t xml:space="preserve">  ↓</w:t>
            </w:r>
            <w:r>
              <w:rPr>
                <w:rFonts w:ascii="Noto Sans" w:hAnsi="Noto Sans" w:eastAsia="Noto Sans" w:cs="Noto Sans"/>
                <w:sz w:val="17"/>
              </w:rPr>
              <w:br/>
            </w:r>
            <w:r>
              <w:rPr>
                <w:rFonts w:ascii="Noto Sans" w:hAnsi="Noto Sans" w:eastAsia="Noto Sans" w:cs="Noto Sans"/>
                <w:sz w:val="17"/>
              </w:rPr>
              <w:t>serialized response</w:t>
            </w:r>
            <w:r>
              <w:rPr>
                <w:rFonts w:ascii="Noto Sans" w:hAnsi="Noto Sans" w:eastAsia="Noto Sans" w:cs="Noto Sans"/>
                <w:sz w:val="17"/>
              </w:rPr>
              <w:br/>
            </w:r>
            <w:r>
              <w:rPr>
                <w:rFonts w:ascii="Noto Sans" w:hAnsi="Noto Sans" w:eastAsia="Noto Sans" w:cs="Noto Sans"/>
                <w:sz w:val="17"/>
              </w:rPr>
              <w:t xml:space="preserve">  ↓</w:t>
            </w:r>
            <w:r>
              <w:rPr>
                <w:rFonts w:ascii="Noto Sans" w:hAnsi="Noto Sans" w:eastAsia="Noto Sans" w:cs="Noto Sans"/>
                <w:sz w:val="17"/>
              </w:rPr>
              <w:br/>
            </w:r>
            <w:r>
              <w:rPr>
                <w:rFonts w:ascii="Noto Sans" w:hAnsi="Noto Sans" w:eastAsia="Noto Sans" w:cs="Noto Sans"/>
                <w:sz w:val="17"/>
              </w:rPr>
              <w:t>consumer / MCP / AI</w:t>
            </w:r>
          </w:p>
        </w:tc>
      </w:tr>
    </w:tbl>
    <w:p/>
    <w:p>
      <w:pPr>
        <w:pStyle w:val="Heading2"/>
      </w:pPr>
      <w:r>
        <w:rPr>
          <w:rFonts w:ascii="Noto Sans" w:hAnsi="Noto Sans" w:eastAsia="Noto Sans"/>
        </w:rPr>
        <w:t>40.1 Masking e denial semantics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0B4F6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Caso</w:t>
            </w:r>
          </w:p>
        </w:tc>
        <w:tc>
          <w:tcPr>
            <w:tcW w:type="dxa" w:w="4929"/>
            <w:vAlign w:val="center"/>
            <w:shd w:fill="0B4F6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Comportamento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Oggetto interamente non autorizzato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404 o 403 secondo anti-enumeration policy; nessun dettaglio sensibile.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Proprietà non autorizzata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Omission preferita; REDACTED solo quando il contratto richiede visibilità della presenza.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Edge non autorizzato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Edge omesso; il degree/count non deve rivelare indirettamente la relazione se classificata.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Lineage parzialmente autorizzato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Metadata tecnici consentiti, valori/source identifiers mascherati secondo policy.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Export con campi misti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Projection autorizzata congelata nel job; nessun campo aggiuntivo durante l’esecuzione.</w:t>
            </w:r>
          </w:p>
        </w:tc>
      </w:tr>
    </w:tbl>
    <w:p/>
    <w:p>
      <w:pPr>
        <w:pStyle w:val="Heading1"/>
      </w:pPr>
      <w:r>
        <w:rPr>
          <w:rFonts w:ascii="Noto Sans" w:hAnsi="Noto Sans" w:eastAsia="Noto Sans"/>
        </w:rPr>
        <w:t>41. MCP/AI hardening e conversational serving</w:t>
      </w:r>
    </w:p>
    <w:p>
      <w:r>
        <w:rPr>
          <w:rFonts w:ascii="Noto Sans" w:hAnsi="Noto Sans"/>
        </w:rPr>
        <w:t>Il MCP Server espone capability applicative e non un linguaggio di query arbitrario. Ogni tool definisce parametri tipizzati, limiti quantitativi, projection consentita e result budget. Le descrizioni dei tool e la strategia incrementale/adattiva servono a guidare l’Agent verso piani efficienti, ma NON costituiscono un controllo di sicurezza: OUF assume esplicitamente che un Agent possa scegliere un tool subottimale, ripetere chiamate, comporre strategie inefficienti o tentare correlazioni non appropriate. Ogni richiesta è pertanto rivalidata e governata server-side prima di raggiungere il datastore. L’AI può spiegare e comporre richieste, ma non può elevare privilegi, imporre il piano fisico né richiedere bypass delle policy.</w:t>
      </w:r>
    </w:p>
    <w:p>
      <w:pPr>
        <w:pStyle w:val="Heading2"/>
      </w:pPr>
      <w:r>
        <w:rPr>
          <w:rFonts w:ascii="Noto Sans" w:hAnsi="Noto Sans"/>
        </w:rPr>
        <w:t>41.1 Tool MCP specialistici e auto-esplicativi</w:t>
      </w:r>
    </w:p>
    <w:p>
      <w:pPr/>
      <w:r>
        <w:rPr>
          <w:rFonts w:ascii="Noto Sans" w:hAnsi="Noto Sans"/>
        </w:rPr>
        <w:t>La sicurezza del serving agentico non dipende dalla capacità dell’LLM di scegliere spontaneamente il piano più efficiente. Il catalogo MCP privilegia capability specialistiche con descrizioni positive e negative, esempi d’uso e input schema fortemente tipizzati. urban.graph.traverse è riservato a richieste intrinsecamente ricorsive o gerarchiche; correlazioni cross-domain note devono usare capability specialistiche.</w:t>
      </w:r>
    </w:p>
    <w:p>
      <w:pPr>
        <w:pStyle w:val="ListBullet"/>
      </w:pPr>
      <w:r>
        <w:rPr>
          <w:rFonts w:ascii="Noto Sans" w:hAnsi="Noto Sans"/>
        </w:rPr>
        <w:t>urban.object.related_search — pattern relazionali noti tra classi e relationIri, traducibili in join/index lookup.</w:t>
      </w:r>
    </w:p>
    <w:p>
      <w:pPr>
        <w:pStyle w:val="ListBullet"/>
      </w:pPr>
      <w:r>
        <w:rPr>
          <w:rFonts w:ascii="Noto Sans" w:hAnsi="Noto Sans"/>
        </w:rPr>
        <w:t>urban.spatial.intersection_search — correlazione di oggetti A/B che condividono un anchor C o una relazione spaziale/topologica governata.</w:t>
      </w:r>
    </w:p>
    <w:p>
      <w:pPr>
        <w:pStyle w:val="ListBullet"/>
      </w:pPr>
      <w:r>
        <w:rPr>
          <w:rFonts w:ascii="Noto Sans" w:hAnsi="Noto Sans"/>
        </w:rPr>
        <w:t>urban.graph.traverse — uso consentito per gerarchie, reti e catene realmente ricorsive; non per semplici correlazioni cross-domain.</w:t>
      </w:r>
    </w:p>
    <w:p>
      <w:pPr>
        <w:pStyle w:val="ListBullet"/>
      </w:pPr>
      <w:r>
        <w:rPr>
          <w:rFonts w:ascii="Noto Sans" w:hAnsi="Noto Sans"/>
        </w:rPr>
        <w:t>urban.graph.path — path bounded tra due identità note; non sostituisce una query analitica generale.</w:t>
      </w:r>
    </w:p>
    <w:p>
      <w:pPr/>
      <w:r>
        <w:rPr>
          <w:rFonts w:ascii="Noto Sans" w:hAnsi="Noto Sans"/>
        </w:rPr>
        <w:t>Regola MCP-QUERY-01 — il tool description contract è parte del security/performance contract e deve essere sottoposto a contract 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0B4F6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Tool/capability</w:t>
            </w:r>
          </w:p>
        </w:tc>
        <w:tc>
          <w:tcPr>
            <w:tcW w:type="dxa" w:w="4929"/>
            <w:vAlign w:val="center"/>
            <w:shd w:fill="0B4F6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Guardrail minimo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urban.object.search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pageSize massimo, filtri indicizzati, no wildcard non bounded su campi riservati.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urban.graph.traverse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r>
              <w:rPr>
                <w:rFonts w:ascii="Noto Sans" w:hAnsi="Noto Sans"/>
                <w:sz w:val="17"/>
              </w:rPr>
              <w:t>Solo pattern ricorsivi/gerarchici; non è il default per esplorazione. maxDepth/maxNodes/maxEdges, timeout, relationTypes allowlist e cumulative session budget.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/>
                <w:sz w:val="17"/>
              </w:rPr>
              <w:t>urban.spatial.intersection_search / spatial.*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/>
                <w:sz w:val="17"/>
              </w:rPr>
              <w:t>Cross-domain/spatial specialistico; target/anchor type, area/raggio, result cap e CRS governati.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lineage.*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policy su source identifiers e property values; nessun raw payload implicito.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urban.export.create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non tool-eligible di default; eventuale challenge/policy HIGH.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data.raw.read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non tool-eligible nella baseline iniziale.</w:t>
            </w:r>
          </w:p>
        </w:tc>
      </w:tr>
      <w:tr>
        <w:tc>
          <w:tcPr>
            <w:tcW w:type="dxa" w:w="4929"/>
          </w:tcPr>
          <w:p>
            <w:r>
              <w:rPr>
                <w:rFonts w:ascii="Noto Sans" w:hAnsi="Noto Sans"/>
                <w:sz w:val="17"/>
              </w:rPr>
              <w:t>urban.object.related_search</w:t>
            </w:r>
          </w:p>
        </w:tc>
        <w:tc>
          <w:tcPr>
            <w:tcW w:type="dxa" w:w="4929"/>
          </w:tcPr>
          <w:p>
            <w:r>
              <w:rPr>
                <w:rFonts w:ascii="Noto Sans" w:hAnsi="Noto Sans"/>
                <w:sz w:val="17"/>
              </w:rPr>
              <w:t>Pattern relazionali noti e tipizzati; preferibile a traversal multipli quando il pattern cross-domain è già determinabile; fixed JOIN/index lookup.</w:t>
            </w:r>
          </w:p>
        </w:tc>
      </w:tr>
      <w:tr>
        <w:tc>
          <w:tcPr>
            <w:tcW w:type="dxa" w:w="4929"/>
          </w:tcPr>
          <w:p>
            <w:r>
              <w:rPr>
                <w:rFonts w:ascii="Noto Sans" w:hAnsi="Noto Sans"/>
                <w:sz w:val="17"/>
              </w:rPr>
              <w:t>urban.graph.neighbors</w:t>
            </w:r>
          </w:p>
        </w:tc>
        <w:tc>
          <w:tcPr>
            <w:tcW w:type="dxa" w:w="4929"/>
          </w:tcPr>
          <w:p>
            <w:r>
              <w:rPr>
                <w:rFonts w:ascii="Noto Sans" w:hAnsi="Noto Sans"/>
                <w:sz w:val="17"/>
              </w:rPr>
              <w:t>Primitive preferito per esplorazione agentica 1-hop; candidate set bounded, projection minima e progressive pruning prima dell’hop successivo.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C65911"/>
                <w:sz w:val="17"/>
              </w:rPr>
              <w:t xml:space="preserve">Regola AI — </w:t>
            </w:r>
            <w:r>
              <w:rPr>
                <w:rFonts w:ascii="Noto Sans" w:hAnsi="Noto Sans" w:eastAsia="Noto Sans" w:cs="Noto Sans"/>
                <w:sz w:val="17"/>
              </w:rPr>
              <w:t>La risposta inviata al modello deve essere già conforme alle policy dell’utente. Non è ammesso restituire dati completi all’Agent confidando in un successivo masking nel prompt o nella UI.</w:t>
            </w:r>
          </w:p>
        </w:tc>
      </w:tr>
    </w:tbl>
    <w:p/>
    <w:p>
      <w:pPr>
        <w:pStyle w:val="Heading3"/>
      </w:pPr>
      <w:r>
        <w:rPr>
          <w:rFonts w:ascii="Noto Sans" w:hAnsi="Noto Sans"/>
        </w:rPr>
        <w:t>41.2 Traversal agentico incrementale, pruning e ricorsione controllata</w:t>
      </w:r>
    </w:p>
    <w:p>
      <w:pPr/>
      <w:r>
        <w:rPr>
          <w:rFonts w:ascii="Noto Sans" w:hAnsi="Noto Sans"/>
        </w:rPr>
        <w:t>Per richieste esplorative graph-driven, il comportamento RACCOMANDATO dell’Agent è una sequenza di chiamate bounded a un hop: analisi del risultato intermedio, progressive pruning e prosecuzione solo sul sottoinsieme rilevante. Tale comportamento migliora efficienza e spiegabilità, ma la stabilità della piattaforma non dipende dalla sua osservanza. Anche una sequenza non ottimale viene sottoposta a routing, validation, cost gate e budget cumulativi server-side; se il pattern è incompatibile con la capability scelta, la richiesta viene rifiutata o viene restituito un suggerimento di capability alternativa senza eseguire la query pericolosa.</w:t>
      </w:r>
    </w:p>
    <w:p>
      <w:pPr/>
      <w:r>
        <w:rPr>
          <w:rFonts w:ascii="Noto Sans" w:hAnsi="Noto Sans"/>
        </w:rPr>
        <w:t>Regola MCP-QUERY-02 — urban.graph.neighbors è la capability preferita per esplorazione agentica progressiva; urban.graph.traverse è riservata a strutture intrinsecamente ricorsive/gerarchiche oppure a pattern bounded che non possono essere espressi meglio da capability specialistiche.</w:t>
      </w:r>
    </w:p>
    <w:p>
      <w:pPr/>
      <w:r>
        <w:rPr>
          <w:rFonts w:ascii="Noto Sans" w:hAnsi="Noto Sans"/>
        </w:rPr>
        <w:t>Regola MCP-QUERY-03 — l’Agent applica progressive pruning: non propaga automaticamente tutti i nodi restituiti dall’hop precedente. Ogni passo deve ridurre o mantenere bounded il candidate set mediante filtri semantici, stato, tipo, relazione, authority, spazio o altri predicati ammessi.</w:t>
      </w:r>
    </w:p>
    <w:p>
      <w:pPr/>
      <w:r>
        <w:rPr>
          <w:rFonts w:ascii="Noto Sans" w:hAnsi="Noto Sans"/>
        </w:rPr>
        <w:t>Regola MCP-QUERY-04 — la ricorsione applicativa tramite più tool call correlate non costituisce un bypass dei guardrail: MCP Server e UDP applicano un budget cumulativo per correlation/session window su numero di chiamate, nodi/edge osservati, tempo di esecuzione e volume dei risultati.</w:t>
      </w:r>
    </w:p>
    <w:p>
      <w:pPr/>
      <w:r>
        <w:rPr>
          <w:rFonts w:ascii="Noto Sans" w:hAnsi="Noto Sans"/>
        </w:rPr>
        <w:t>Esempio preferito: Dehor → Street (1 hop); l’Agent seleziona solo le Street rilevanti → Worksite OPEN; seleziona solo i cantieri pertinenti → eventuale approfondimento sui LightingPole. Se invece la richiesta esprime un pattern cross-domain noto (“dehors, cantieri aperti e pali in allarme sulla stessa strada”), il backend deve preferire urban.object.related_search o urban.spatial.intersection_search con piano set-based, non quattro hop ricorsivi.</w:t>
      </w:r>
    </w:p>
    <w:p>
      <w:pPr>
        <w:pStyle w:val="Heading3"/>
      </w:pPr>
      <w:r>
        <w:rPr>
          <w:rFonts w:ascii="Noto Sans" w:hAnsi="Noto Sans"/>
        </w:rPr>
        <w:t>41.3 MCP Capability Router e principio Agent-not-trusted</w:t>
      </w:r>
    </w:p>
    <w:p>
      <w:pPr/>
      <w:r>
        <w:rPr>
          <w:rFonts w:ascii="Noto Sans" w:hAnsi="Noto Sans"/>
        </w:rPr>
        <w:t>OUF non assume un Agent disciplinato. Il MCP Capability Router costituisce il primo enforcement point funzionale dopo la tool call: verifica che la capability invocata sia compatibile con la forma logica della richiesta, con gli scope autorizzativi e con il profilo di costo ammesso. Il router non interpreta linguaggio naturale libero: opera su tool name, schema tipizzato, metadata della capability, correlation context e policy server-side.</w:t>
      </w:r>
    </w:p>
    <w:p>
      <w:pPr>
        <w:pStyle w:val="ListBullet"/>
      </w:pPr>
      <w:r>
        <w:rPr>
          <w:rFonts w:ascii="Noto Sans" w:hAnsi="Noto Sans"/>
        </w:rPr>
        <w:t>MCP-ROUTER-01 — Tool selection guidance e tool enforcement sono distinti: una descrizione auto-esplicativa aiuta l’Agent, ma il backend rivalida sempre l’uso della capability.</w:t>
      </w:r>
    </w:p>
    <w:p>
      <w:pPr>
        <w:pStyle w:val="ListBullet"/>
      </w:pPr>
      <w:r>
        <w:rPr>
          <w:rFonts w:ascii="Noto Sans" w:hAnsi="Noto Sans"/>
        </w:rPr>
        <w:t>MCP-ROUTER-02 — Se urban.graph.traverse riceve un pattern cross-domain non ricorsivo per il quale esiste urban.object.related_search o urban.spatial.intersection_search, il router rifiuta l’esecuzione con QUERY_CAPABILITY_MISMATCH e indica la capability suggerita.</w:t>
      </w:r>
    </w:p>
    <w:p>
      <w:pPr>
        <w:pStyle w:val="ListBullet"/>
      </w:pPr>
      <w:r>
        <w:rPr>
          <w:rFonts w:ascii="Noto Sans" w:hAnsi="Noto Sans"/>
        </w:rPr>
        <w:t>MCP-ROUTER-03 — Nessun redirect esegue automaticamente una query più ampia o con privilegi diversi: l’Agent deve effettuare una nuova tool call esplicita entro lo stesso correlation budget.</w:t>
      </w:r>
    </w:p>
    <w:p>
      <w:pPr>
        <w:pStyle w:val="ListBullet"/>
      </w:pPr>
      <w:r>
        <w:rPr>
          <w:rFonts w:ascii="Noto Sans" w:hAnsi="Noto Sans"/>
        </w:rPr>
        <w:t>MCP-ROUTER-04 — Sequenze di tool call semanticamente equivalenti a un traversal profondo sono contabilizzate come un unico workload correlato ai fini del budget e non possono aggirare maxDepth o cost limit.</w:t>
      </w:r>
    </w:p>
    <w:p>
      <w:pPr>
        <w:pStyle w:val="ListBullet"/>
      </w:pPr>
      <w:r>
        <w:rPr>
          <w:rFonts w:ascii="Noto Sans" w:hAnsi="Noto Sans"/>
        </w:rPr>
        <w:t>MCP-ROUTER-05 — Se la richiesta richiede un workload analitico composito non coperto dalle capability operative, il backend risponde QUERY_REQUIRES_ANALYTICAL_CAPABILITY o propone un percorso asincrono governato; non consente all’Agent di simulare analytics tramite centinaia di query operative.</w:t>
      </w:r>
    </w:p>
    <w:p>
      <w:pPr>
        <w:pStyle w:val="Heading1"/>
      </w:pPr>
      <w:r>
        <w:rPr>
          <w:rFonts w:ascii="Noto Sans" w:hAnsi="Noto Sans" w:eastAsia="Noto Sans"/>
        </w:rPr>
        <w:t>42. Security del Data Lake e object storage</w:t>
      </w:r>
    </w:p>
    <w:p>
      <w:r>
        <w:rPr>
          <w:rFonts w:ascii="Noto Sans" w:hAnsi="Noto Sans" w:eastAsia="Noto Sans"/>
        </w:rPr>
        <w:t>L’object storage è un repository interno del data plane. I bucket/container non sono pubblici e non costituiscono API di serving. Ogni oggetto è indirizzato tramite LakeObject/manifest, checksum e metadata di classificazione; il download avviene tramite capability controllate o URL temporanee generate server-side solo quando strettamente necessario.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0B4F6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Controllo</w:t>
            </w:r>
          </w:p>
        </w:tc>
        <w:tc>
          <w:tcPr>
            <w:tcW w:type="dxa" w:w="4929"/>
            <w:vAlign w:val="center"/>
            <w:shd w:fill="0B4F6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Decisione v1.0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Transport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TLS obbligatorio.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At rest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Server-side encryption del provider; KMS/customer-managed key se disponibile nella piattaforma condivisa.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Bucket policy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Default deny; workload identity dedicata; nessuna public ACL.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Object key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Non contenere dati personali leggibili; usare id tecnici/partition key.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Integrity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Checksum persistito e verificabile; integrity scan periodico.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Versioning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Abilitabile/obbligatorio secondo classe di retention e capacità del provider.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Presigned URL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TTL breve, scope object-specific, auditata; vietata come meccanismo di accesso persistente.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Deletion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Solo tramite lifecycle governato DELETION_PENDING → DELETED con legal-hold guard.</w:t>
            </w:r>
          </w:p>
        </w:tc>
      </w:tr>
    </w:tbl>
    <w:p/>
    <w:p>
      <w:pPr>
        <w:pStyle w:val="Heading1"/>
      </w:pPr>
      <w:r>
        <w:rPr>
          <w:rFonts w:ascii="Noto Sans" w:hAnsi="Noto Sans" w:eastAsia="Noto Sans"/>
        </w:rPr>
        <w:t>43. Cifratura, secret management e key rotation</w:t>
      </w:r>
    </w:p>
    <w:p>
      <w:r>
        <w:rPr>
          <w:rFonts w:ascii="Noto Sans" w:hAnsi="Noto Sans" w:eastAsia="Noto Sans"/>
        </w:rPr>
        <w:t>La UDP non conserva segreti applicativi nel database di dominio, nei bundle o nei manifest. Credenziali DB/object storage e chiavi sono referenziate tramite secretRef/workload identity e gestite dal secret manager condiviso. La rotazione deve essere eseguibile senza migrare i contratti dati.</w:t>
      </w:r>
    </w:p>
    <w:p>
      <w:pPr>
        <w:pStyle w:val="ListBullet"/>
      </w:pPr>
      <w:r>
        <w:rPr>
          <w:rFonts w:ascii="Noto Sans" w:hAnsi="Noto Sans" w:eastAsia="Noto Sans"/>
        </w:rPr>
        <w:t>Credenziali database distinte per API/worker/migration job quando la separazione riduce il blast radius.</w:t>
      </w:r>
    </w:p>
    <w:p>
      <w:pPr>
        <w:pStyle w:val="ListBullet"/>
      </w:pPr>
      <w:r>
        <w:rPr>
          <w:rFonts w:ascii="Noto Sans" w:hAnsi="Noto Sans" w:eastAsia="Noto Sans"/>
        </w:rPr>
        <w:t>Rotazione periodica o event-driven secondo policy dell’Ente; nessun secret statico nei repository Git.</w:t>
      </w:r>
    </w:p>
    <w:p>
      <w:pPr>
        <w:pStyle w:val="ListBullet"/>
      </w:pPr>
      <w:r>
        <w:rPr>
          <w:rFonts w:ascii="Noto Sans" w:hAnsi="Noto Sans" w:eastAsia="Noto Sans"/>
        </w:rPr>
        <w:t>Key rotation at-rest gestita dal provider/KMS senza cambiare object identity o lineage.</w:t>
      </w:r>
    </w:p>
    <w:p>
      <w:pPr>
        <w:pStyle w:val="ListBullet"/>
      </w:pPr>
      <w:r>
        <w:rPr>
          <w:rFonts w:ascii="Noto Sans" w:hAnsi="Noto Sans" w:eastAsia="Noto Sans"/>
        </w:rPr>
        <w:t>Backup e snapshot cifrati con policy equivalente o più restrittiva rispetto ai dati primari.</w:t>
      </w:r>
    </w:p>
    <w:p>
      <w:pPr>
        <w:pStyle w:val="Heading1"/>
      </w:pPr>
      <w:r>
        <w:rPr>
          <w:rFonts w:ascii="Noto Sans" w:hAnsi="Noto Sans" w:eastAsia="Noto Sans"/>
        </w:rPr>
        <w:t>44. Audit, evidence e non-repudiation applicativa</w:t>
      </w:r>
    </w:p>
    <w:p>
      <w:r>
        <w:rPr>
          <w:rFonts w:ascii="Noto Sans" w:hAnsi="Noto Sans" w:eastAsia="Noto Sans"/>
        </w:rPr>
        <w:t>La UDP produce audit events per azioni amministrative e accessi ad alto impatto. I normali read possono essere aggregati/loggati secondo policy per evitare volumi sproporzionati, ma raw access, export, merge/split, authority override, retention/legal hold e decisioni su dati classificati devono produrre evidenza esplicita.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0B4F6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Evento</w:t>
            </w:r>
          </w:p>
        </w:tc>
        <w:tc>
          <w:tcPr>
            <w:tcW w:type="dxa" w:w="4929"/>
            <w:vAlign w:val="center"/>
            <w:shd w:fill="0B4F6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Campi minimi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UDP_OBJECT_READ_RESTRICTED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actor, objectId, capability, classification, outcome, correlationId, timestamp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UDP_EXPORT_CREATED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actor, jobId, queryHash, projectionHash, classificationScope, purpose/reason se richiesto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UDP_RAW_READ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actor, lakeObjectId, sourceId, classification, outcome, reason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UDP_RESOLUTION_DECISION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actor, resolutionId, action, candidate/evidence hash, outcome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UDP_AUTHORITY_OVERRIDE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actor, object/property scope, previous/new authority, reason, effective interval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UDP_LEGAL_HOLD_CHANGED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actor, target, old/new, reason, timestamp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UDP_DELETION_EXECUTED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actor/service, lakeObjectId/data scope, policyRef, evidence, timestamp</w:t>
            </w:r>
          </w:p>
        </w:tc>
      </w:tr>
    </w:tbl>
    <w:p/>
    <w:p>
      <w:pPr>
        <w:pStyle w:val="Heading1"/>
      </w:pPr>
      <w:r>
        <w:rPr>
          <w:rFonts w:ascii="Noto Sans" w:hAnsi="Noto Sans" w:eastAsia="Noto Sans"/>
        </w:rPr>
        <w:t>45. Logging, privacy e observability hardening</w:t>
      </w:r>
    </w:p>
    <w:p>
      <w:r>
        <w:rPr>
          <w:rFonts w:ascii="Noto Sans" w:hAnsi="Noto Sans" w:eastAsia="Noto Sans"/>
        </w:rPr>
        <w:t>Log e trace non devono diventare un secondo Data Lake. Payload applicativi completi, property values classificati e raw data non vengono registrati per default. Le metriche usano label a cardinalità controllata e non includono identificativi personali.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0B4F6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Segnale</w:t>
            </w:r>
          </w:p>
        </w:tc>
        <w:tc>
          <w:tcPr>
            <w:tcW w:type="dxa" w:w="4929"/>
            <w:vAlign w:val="center"/>
            <w:shd w:fill="0B4F6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Regola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Application log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correlationId, route, latency, status, capability; no full payload.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Security log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principal, action, outcome, policy id; valori sensibili esclusi.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Trace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span tecnici; baggage non deve contenere property value personali.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Metriche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source/type aggregati; evitare objectId come label ad alta cardinalità.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Error reporting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stack trace solo nei sistemi interni; response sanitizzata.</w:t>
            </w:r>
          </w:p>
        </w:tc>
      </w:tr>
    </w:tbl>
    <w:p/>
    <w:p>
      <w:pPr>
        <w:pStyle w:val="Heading1"/>
      </w:pPr>
      <w:r>
        <w:rPr>
          <w:rFonts w:ascii="Noto Sans" w:hAnsi="Noto Sans" w:eastAsia="Noto Sans"/>
        </w:rPr>
        <w:t>46. Secure SDLC, SBOM e supply-chain security</w:t>
      </w:r>
    </w:p>
    <w:p>
      <w:r>
        <w:rPr>
          <w:rFonts w:ascii="Noto Sans" w:hAnsi="Noto Sans" w:eastAsia="Noto Sans"/>
        </w:rPr>
        <w:t>La realizzazione del modulo segue la pipeline condivisa OUF. Ogni release produce artefatti verificabili e non introduce componenti binari non tracciati.</w:t>
      </w:r>
    </w:p>
    <w:p>
      <w:pPr>
        <w:pStyle w:val="ListBullet"/>
      </w:pPr>
      <w:r>
        <w:rPr>
          <w:rFonts w:ascii="Noto Sans" w:hAnsi="Noto Sans" w:eastAsia="Noto Sans"/>
        </w:rPr>
        <w:t>SBOM per immagini/container e librerie principali, in formato supportato dalla pipeline OUF.</w:t>
      </w:r>
    </w:p>
    <w:p>
      <w:pPr>
        <w:pStyle w:val="ListBullet"/>
      </w:pPr>
      <w:r>
        <w:rPr>
          <w:rFonts w:ascii="Noto Sans" w:hAnsi="Noto Sans" w:eastAsia="Noto Sans"/>
        </w:rPr>
        <w:t>Vulnerability scanning di dipendenze e container con gate su severità concordate.</w:t>
      </w:r>
    </w:p>
    <w:p>
      <w:pPr>
        <w:pStyle w:val="ListBullet"/>
      </w:pPr>
      <w:r>
        <w:rPr>
          <w:rFonts w:ascii="Noto Sans" w:hAnsi="Noto Sans" w:eastAsia="Noto Sans"/>
        </w:rPr>
        <w:t>Image signing/provenance se supportato dalla piattaforma CI/CD condivisa.</w:t>
      </w:r>
    </w:p>
    <w:p>
      <w:pPr>
        <w:pStyle w:val="ListBullet"/>
      </w:pPr>
      <w:r>
        <w:rPr>
          <w:rFonts w:ascii="Noto Sans" w:hAnsi="Noto Sans" w:eastAsia="Noto Sans"/>
        </w:rPr>
        <w:t>Dependency pinning tramite BOM/lock policy; aggiornamenti critici tracciati.</w:t>
      </w:r>
    </w:p>
    <w:p>
      <w:pPr>
        <w:pStyle w:val="ListBullet"/>
      </w:pPr>
      <w:r>
        <w:rPr>
          <w:rFonts w:ascii="Noto Sans" w:hAnsi="Noto Sans" w:eastAsia="Noto Sans"/>
        </w:rPr>
        <w:t>SAST/secret scanning nel repository; nessun secret in source, test fixture o manifest.</w:t>
      </w:r>
    </w:p>
    <w:p>
      <w:pPr>
        <w:pStyle w:val="ListBullet"/>
      </w:pPr>
      <w:r>
        <w:rPr>
          <w:rFonts w:ascii="Noto Sans" w:hAnsi="Noto Sans" w:eastAsia="Noto Sans"/>
        </w:rPr>
        <w:t>OpenAPI/JSON Schema contract test come release gate.</w:t>
      </w:r>
    </w:p>
    <w:p>
      <w:pPr>
        <w:pStyle w:val="Heading1"/>
      </w:pPr>
      <w:r>
        <w:rPr>
          <w:rFonts w:ascii="Noto Sans" w:hAnsi="Noto Sans" w:eastAsia="Noto Sans"/>
        </w:rPr>
        <w:t>47. Deployment security e NetworkPolicy</w:t>
      </w:r>
    </w:p>
    <w:p>
      <w:r>
        <w:rPr>
          <w:rFonts w:ascii="Noto Sans" w:hAnsi="Noto Sans" w:eastAsia="Noto Sans"/>
        </w:rPr>
        <w:t>La baseline prevede namespace/workload isolati secondo le policy Kubernetes condivise. Non è necessario un service mesh per soddisfare la v1.0; mTLS può essere ottenuto tramite ingress/gateway, workload identity o meccanismi condivisi già disponibili.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0B4F6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Flusso</w:t>
            </w:r>
          </w:p>
        </w:tc>
        <w:tc>
          <w:tcPr>
            <w:tcW w:type="dxa" w:w="4929"/>
            <w:vAlign w:val="center"/>
            <w:shd w:fill="0B4F6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Network policy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Ingestion → UDP intake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Consentito solo dai workload/namespace autorizzati.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Gateway → UDP serving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Consentito sulle porte API definite.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UDP → PostgreSQL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Solo workload UDP e migration job.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UDP → Object Storage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Solo endpoint/storage necessari; egress limitato dove praticabile.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MCP → UDP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Preferibilmente tramite Gateway/capability exposure governata; nessun DB/storage direct.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Internet → UDP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Nessuna esposizione diretta del backend.</w:t>
            </w:r>
          </w:p>
        </w:tc>
      </w:tr>
    </w:tbl>
    <w:p/>
    <w:p>
      <w:pPr>
        <w:pStyle w:val="Heading1"/>
      </w:pPr>
      <w:r>
        <w:rPr>
          <w:rFonts w:ascii="Noto Sans" w:hAnsi="Noto Sans" w:eastAsia="Noto Sans"/>
        </w:rPr>
        <w:t>48. Query &amp; Graph Navigation Service</w:t>
      </w:r>
    </w:p>
    <w:p>
      <w:pPr/>
      <w:r>
        <w:rPr>
          <w:rFonts w:ascii="Noto Sans" w:hAnsi="Noto Sans" w:eastAsia="Noto Sans"/>
          <w:sz w:val="18"/>
        </w:rPr>
        <w:t>Il chatbot/MCP non interroga PostgreSQL direttamente. La v1.2 consolida una capability abstraction stabile che consente di usare PostgreSQL/PostGIS nella baseline e, in futuro, una graph projection senza modificare il contratto verso MCP o applicazioni.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>MCP / REST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 |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 v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>UrbanQueryService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 |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 +--&gt; ObjectQueryPort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 +--&gt; RelationshipQueryPort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 +--&gt; GraphTraversalPort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 +--&gt; SpatialQueryPort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 +--&gt; LineageQueryPort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 |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 xml:space="preserve">   v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>PostgreSQL/PostGIS adapters   [baseline]</w:t>
      </w:r>
    </w:p>
    <w:p>
      <w:pPr>
        <w:pStyle w:val="OUFCode"/>
        <w:shd w:fill="F1F3F5"/>
        <w:pBdr>
          <w:left w:val="single" w:sz="18" w:color="0B4F6C" w:space="8"/>
        </w:pBdr>
      </w:pPr>
      <w:r>
        <w:rPr>
          <w:rFonts w:ascii="DejaVu Sans Mono" w:hAnsi="DejaVu Sans Mono" w:eastAsia="DejaVu Sans Mono"/>
          <w:sz w:val="17"/>
        </w:rPr>
        <w:t>Graph projection adapter       [future, optional]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D4DF"/>
          <w:left w:val="single" w:sz="4" w:color="C9D4DF"/>
          <w:bottom w:val="single" w:sz="4" w:color="C9D4DF"/>
          <w:right w:val="single" w:sz="4" w:color="C9D4DF"/>
          <w:insideH w:val="single" w:sz="4" w:color="C9D4DF"/>
          <w:insideV w:val="single" w:sz="4" w:color="C9D4DF"/>
        </w:tblBorders>
      </w:tblPr>
      <w:tblGrid>
        <w:gridCol w:w="4929"/>
        <w:gridCol w:w="4929"/>
      </w:tblGrid>
      <w:tr>
        <w:tc>
          <w:tcPr>
            <w:tcW w:type="dxa" w:w="3969"/>
            <w:shd w:fill="0B4F6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Capability</w:t>
            </w:r>
          </w:p>
        </w:tc>
        <w:tc>
          <w:tcPr>
            <w:tcW w:type="dxa" w:w="6803"/>
            <w:shd w:fill="0B4F6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Guardrail baseline</w:t>
            </w:r>
          </w:p>
        </w:tc>
      </w:tr>
      <w:t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urban.object.search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Paginazione, max page size, filtri indicizzati.</w:t>
            </w:r>
          </w:p>
        </w:tc>
      </w:tr>
      <w:t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urban.graph.neighbors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sz w:val="17"/>
              </w:rPr>
              <w:t>Primitive preferito per esplorazione agentica; 1 hop, max nodes/edges, projection minima; l’Agent deve applicare pruning prima di richiamarlo.</w:t>
            </w:r>
          </w:p>
        </w:tc>
      </w:tr>
      <w:t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urban.graph.traverse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/>
                <w:sz w:val="17"/>
              </w:rPr>
              <w:t>Solo gerarchie/reti ricorsive o piano multi-hop validato; maxDepth basso + fan-out/node/edge/correlation budget; non sostituisce neighbors iterativo o capability specialistiche.</w:t>
            </w:r>
          </w:p>
        </w:tc>
      </w:tr>
      <w:t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urban.graph.path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Bounded path search; async ammesso per query pesanti.</w:t>
            </w:r>
          </w:p>
        </w:tc>
      </w:tr>
      <w:t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spatial.nearby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maxDistance obbligatoria + limit.</w:t>
            </w:r>
          </w:p>
        </w:tc>
      </w:tr>
      <w:t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spatial.intersects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BBox/area limits e targetClass.</w:t>
            </w:r>
          </w:p>
        </w:tc>
      </w:tr>
      <w:t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lineage.property.read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Una proprietà/revisione per lookup; masking secondo policy.</w:t>
            </w:r>
          </w:p>
        </w:tc>
      </w:tr>
      <w:tr>
        <w:tc>
          <w:tcPr>
            <w:tcW w:type="dxa" w:w="4929"/>
          </w:tcPr>
          <w:p>
            <w:r>
              <w:rPr>
                <w:rFonts w:ascii="Noto Sans" w:hAnsi="Noto Sans"/>
                <w:sz w:val="17"/>
              </w:rPr>
              <w:t>urban.object.related_search</w:t>
            </w:r>
          </w:p>
        </w:tc>
        <w:tc>
          <w:tcPr>
            <w:tcW w:type="dxa" w:w="4929"/>
          </w:tcPr>
          <w:p>
            <w:r>
              <w:rPr>
                <w:rFonts w:ascii="Noto Sans" w:hAnsi="Noto Sans"/>
                <w:sz w:val="17"/>
              </w:rPr>
              <w:t>Pattern cross-domain noti; fixed-pattern JOIN e filtri indicizzati.</w:t>
            </w:r>
          </w:p>
        </w:tc>
      </w:tr>
      <w:tr>
        <w:tc>
          <w:tcPr>
            <w:tcW w:type="dxa" w:w="4929"/>
          </w:tcPr>
          <w:p>
            <w:r>
              <w:rPr>
                <w:rFonts w:ascii="Noto Sans" w:hAnsi="Noto Sans"/>
                <w:sz w:val="17"/>
              </w:rPr>
              <w:t>urban.spatial.intersection_search</w:t>
            </w:r>
          </w:p>
        </w:tc>
        <w:tc>
          <w:tcPr>
            <w:tcW w:type="dxa" w:w="4929"/>
          </w:tcPr>
          <w:p>
            <w:r>
              <w:rPr>
                <w:rFonts w:ascii="Noto Sans" w:hAnsi="Noto Sans"/>
                <w:sz w:val="17"/>
              </w:rPr>
              <w:t>Anchor/target types obbligatori; planner PostGIS/relazionale; area/result budget.</w:t>
            </w:r>
          </w:p>
        </w:tc>
      </w:tr>
    </w:tbl>
    <w:p>
      <w:pPr/>
      <w:r>
        <w:rPr>
          <w:rFonts w:ascii="Noto Sans" w:hAnsi="Noto Sans"/>
        </w:rPr>
        <w:t>Baseline consigliata per MCP: urban.graph.neighbors è il primitive preferito per esplorazione progressiva; ogni chiamata è bounded e soggetta a maxNodes/maxEdges/result budget. urban.graph.traverse mantiene maxDepth=4 come tetto iniziale esclusivamente per ricorsione intrinseca. L’intera catena di tool call correlate è inoltre soggetta a budget cumulativo di sessione/correlation. I valori finali saranno affinati con dataset reali; il principio è fare il minimo numero di hop necessario, applicare pruning a ogni passo e impedire sia traversal monolitici sia ricorsione agentica illimitata.</w:t>
      </w:r>
    </w:p>
    <w:p>
      <w:pPr>
        <w:pStyle w:val="Heading2"/>
      </w:pPr>
      <w:r>
        <w:rPr>
          <w:rFonts w:ascii="Noto Sans" w:hAnsi="Noto Sans"/>
        </w:rPr>
        <w:t>48.1 Query Translation &amp; Planning Layer</w:t>
      </w:r>
    </w:p>
    <w:p>
      <w:pPr/>
      <w:r>
        <w:rPr>
          <w:rFonts w:ascii="Noto Sans" w:hAnsi="Noto Sans"/>
        </w:rPr>
        <w:t>La v1.2 introduce esplicitamente un layer server-side di Query Translation &amp; Planning. L’Agent non genera SQL, JPQL, Criteria, CTE, Cypher, SPARQL o predicati testuali arbitrari: invia DTO tipizzati della capability selezionata. Il backend valida lo schema, produce un LogicalQueryPlan, stima il costo e sceglie una strategia fisica consentita.</w:t>
      </w:r>
    </w:p>
    <w:p>
      <w:pPr>
        <w:pStyle w:val="OUFCode"/>
      </w:pPr>
      <w:r>
        <w:t>MCP typed tool</w:t>
      </w:r>
    </w:p>
    <w:p>
      <w:pPr>
        <w:pStyle w:val="OUFCode"/>
      </w:pPr>
      <w:r>
        <w:t xml:space="preserve">   -&gt; CapabilityRequest DTO</w:t>
      </w:r>
    </w:p>
    <w:p>
      <w:pPr>
        <w:pStyle w:val="OUFCode"/>
      </w:pPr>
      <w:r>
        <w:t xml:space="preserve">   -&gt; Query Validation</w:t>
      </w:r>
    </w:p>
    <w:p>
      <w:pPr>
        <w:pStyle w:val="OUFCode"/>
      </w:pPr>
      <w:r>
        <w:t xml:space="preserve">   -&gt; Logical Query Planner</w:t>
      </w:r>
    </w:p>
    <w:p>
      <w:pPr>
        <w:pStyle w:val="OUFCode"/>
      </w:pPr>
      <w:r>
        <w:t xml:space="preserve">   -&gt; Complexity / Cost Gate</w:t>
      </w:r>
    </w:p>
    <w:p>
      <w:pPr>
        <w:pStyle w:val="OUFCode"/>
      </w:pPr>
      <w:r>
        <w:t xml:space="preserve">   -&gt; Safe Query Translator</w:t>
      </w:r>
    </w:p>
    <w:p>
      <w:pPr>
        <w:pStyle w:val="OUFCode"/>
      </w:pPr>
      <w:r>
        <w:t xml:space="preserve">   -&gt; Repository / parameterized SQL</w:t>
      </w:r>
    </w:p>
    <w:p>
      <w:pPr>
        <w:pStyle w:val="OUFCode"/>
      </w:pPr>
      <w:r>
        <w:t xml:space="preserve">   -&gt; PostgreSQL / PostGIS</w:t>
      </w:r>
    </w:p>
    <w:p>
      <w:pPr>
        <w:pStyle w:val="Heading2"/>
      </w:pPr>
      <w:r>
        <w:rPr>
          <w:rFonts w:ascii="Noto Sans" w:hAnsi="Noto Sans"/>
        </w:rPr>
        <w:t>48.2 Strategie fisiche ammesse</w:t>
      </w:r>
    </w:p>
    <w:p>
      <w:pPr>
        <w:pStyle w:val="ListBullet"/>
      </w:pPr>
      <w:r>
        <w:rPr>
          <w:rFonts w:ascii="Noto Sans" w:hAnsi="Noto Sans"/>
        </w:rPr>
        <w:t>Direct indexed lookup per object identity e 1-hop adjacency; è la strategia preferita per gli hop esplorativi dell’Agent.</w:t>
      </w:r>
    </w:p>
    <w:p>
      <w:pPr>
        <w:pStyle w:val="ListBullet"/>
      </w:pPr>
      <w:r>
        <w:rPr>
          <w:rFonts w:ascii="Noto Sans" w:hAnsi="Noto Sans"/>
        </w:rPr>
        <w:t>Fixed-pattern JOIN per correlazioni cross-domain note e altamente selettive.</w:t>
      </w:r>
    </w:p>
    <w:p>
      <w:pPr>
        <w:pStyle w:val="ListBullet"/>
      </w:pPr>
      <w:r>
        <w:rPr>
          <w:rFonts w:ascii="Noto Sans" w:hAnsi="Noto Sans"/>
        </w:rPr>
        <w:t>PostGIS predicates/index scan per nearby/intersects/within e intersection search.</w:t>
      </w:r>
    </w:p>
    <w:p>
      <w:pPr>
        <w:pStyle w:val="ListBullet"/>
      </w:pPr>
      <w:r>
        <w:rPr>
          <w:rFonts w:ascii="Noto Sans" w:hAnsi="Noto Sans"/>
        </w:rPr>
        <w:t>Recursive CTE bounded solo per pattern realmente ricorsivi/gerarchici o per piani multi-hop esplicitamente validati; non viene usata per concatenare automaticamente risultati agentici non potati.</w:t>
      </w:r>
    </w:p>
    <w:p>
      <w:pPr>
        <w:pStyle w:val="Heading2"/>
      </w:pPr>
      <w:r>
        <w:rPr>
          <w:rFonts w:ascii="Noto Sans" w:hAnsi="Noto Sans"/>
        </w:rPr>
        <w:t>48.3 Query Governance Pipeline: Router, Governor e Physical Planner</w:t>
      </w:r>
    </w:p>
    <w:p>
      <w:pPr/>
      <w:r>
        <w:rPr>
          <w:rFonts w:ascii="Noto Sans" w:hAnsi="Noto Sans"/>
        </w:rPr>
        <w:t>La pipeline di query è progettata affinché nessuna decisione critica di sicurezza o stabilità dipenda dal comportamento dell’Agent. Tre responsabilità logiche sono obbligatorie nella baseline Spring Boot: MCP Capability Router, Query Complexity Governor e Physical Query Planner. Possono risiedere nello stesso deployable/modular monolith, ma devono avere contratti e test separati.</w:t>
      </w:r>
    </w:p>
    <w:p>
      <w:pPr>
        <w:pStyle w:val="OUFCode"/>
      </w:pPr>
      <w:r>
        <w:t>Agent / MCP tool call</w:t>
        <w:br/>
        <w:t xml:space="preserve">        |</w:t>
        <w:br/>
        <w:t xml:space="preserve">        v</w:t>
        <w:br/>
        <w:t>MCP Capability Router</w:t>
        <w:br/>
        <w:t xml:space="preserve">        |  validate tool semantics / authz / correlation</w:t>
        <w:br/>
        <w:t xml:space="preserve">        v</w:t>
        <w:br/>
        <w:t>Query Complexity Governor</w:t>
        <w:br/>
        <w:t xml:space="preserve">        |  request + cumulative session budget</w:t>
        <w:br/>
        <w:t xml:space="preserve">        v</w:t>
        <w:br/>
        <w:t>Logical Query Planner</w:t>
        <w:br/>
        <w:t xml:space="preserve">        |</w:t>
        <w:br/>
        <w:t xml:space="preserve">        v</w:t>
        <w:br/>
        <w:t>Physical Query Planner</w:t>
        <w:br/>
        <w:t xml:space="preserve">        +--&gt; indexed lookup / fixed JOIN</w:t>
        <w:br/>
        <w:t xml:space="preserve">        +--&gt; PostGIS indexed predicate</w:t>
        <w:br/>
        <w:t xml:space="preserve">        +--&gt; bounded recursive CTE</w:t>
        <w:br/>
        <w:t xml:space="preserve">        +--&gt; async analytical job</w:t>
        <w:br/>
        <w:t xml:space="preserve">        +--&gt; REJECT</w:t>
        <w:br/>
        <w:t xml:space="preserve">        v</w:t>
        <w:br/>
        <w:t>Parameterized repository / SQL</w:t>
        <w:br/>
        <w:t xml:space="preserve">        v</w:t>
        <w:br/>
        <w:t>PostgreSQL / PostGIS</w:t>
      </w:r>
    </w:p>
    <w:p>
      <w:pPr>
        <w:pStyle w:val="ListBullet"/>
      </w:pPr>
      <w:r>
        <w:rPr>
          <w:rFonts w:ascii="Noto Sans" w:hAnsi="Noto Sans"/>
        </w:rPr>
        <w:t>Il Capability Router decide se la forma logica della richiesta è ammissibile per il tool invocato; non decide il risultato della query.</w:t>
      </w:r>
    </w:p>
    <w:p>
      <w:pPr>
        <w:pStyle w:val="ListBullet"/>
      </w:pPr>
      <w:r>
        <w:rPr>
          <w:rFonts w:ascii="Noto Sans" w:hAnsi="Noto Sans"/>
        </w:rPr>
        <w:t>Il Complexity Governor contabilizza costo stimato e costo cumulativo già consumato dalla correlation/session window e può rifiutare la richiesta prima del planning fisico.</w:t>
      </w:r>
    </w:p>
    <w:p>
      <w:pPr>
        <w:pStyle w:val="ListBullet"/>
      </w:pPr>
      <w:r>
        <w:rPr>
          <w:rFonts w:ascii="Noto Sans" w:hAnsi="Noto Sans"/>
        </w:rPr>
        <w:t>Il Physical Query Planner sceglie la strategia tecnica. L’Agent non può richiedere direttamente CTE, JOIN order, indice, SQL hint o query plan datastore-specifico.</w:t>
      </w:r>
    </w:p>
    <w:p>
      <w:pPr>
        <w:pStyle w:val="ListBullet"/>
      </w:pPr>
      <w:r>
        <w:rPr>
          <w:rFonts w:ascii="Noto Sans" w:hAnsi="Noto Sans"/>
        </w:rPr>
        <w:t>Il planner può scegliere un piano set-based anche quando l’Agent ha espresso una richiesta apparentemente graph-oriented, purché la semantica della capability resti invariata.</w:t>
      </w:r>
    </w:p>
    <w:p>
      <w:pPr>
        <w:pStyle w:val="ListBullet"/>
      </w:pPr>
      <w:r>
        <w:rPr>
          <w:rFonts w:ascii="Noto Sans" w:hAnsi="Noto Sans"/>
        </w:rPr>
        <w:t>statement_timeout, cancellation e pool quota intervengono come ultima difesa nel caso in cui stima e planning non prevedano correttamente il costo reale.</w:t>
      </w:r>
    </w:p>
    <w:p>
      <w:pPr>
        <w:pStyle w:val="ListBullet"/>
      </w:pPr>
      <w:r>
        <w:rPr>
          <w:rFonts w:ascii="Noto Sans" w:hAnsi="Noto Sans"/>
        </w:rPr>
        <w:t>Async analytical query o rifiuto quando il costo stimato supera il budget sincrono.</w:t>
      </w:r>
    </w:p>
    <w:p>
      <w:pPr/>
      <w:r>
        <w:rPr>
          <w:rFonts w:ascii="Noto Sans" w:hAnsi="Noto Sans"/>
        </w:rPr>
        <w:t>L’implementazione può usare jOOQ, Criteria API o repository SQL dedicati; la scelta tecnologica non modifica il contratto. Il vincolo normativo è che il set di query fisiche producibili sia determinato dal backend e non dal modello AI.</w:t>
      </w:r>
    </w:p>
    <w:p>
      <w:pPr>
        <w:pStyle w:val="Heading1"/>
      </w:pPr>
      <w:r>
        <w:rPr>
          <w:rFonts w:ascii="Noto Sans" w:hAnsi="Noto Sans" w:eastAsia="Noto Sans"/>
        </w:rPr>
        <w:t>49. Serving Contracts v1</w:t>
      </w:r>
    </w:p>
    <w:p>
      <w:pPr/>
      <w:r>
        <w:rPr>
          <w:rFonts w:ascii="Noto Sans" w:hAnsi="Noto Sans" w:eastAsia="Noto Sans"/>
          <w:sz w:val="18"/>
        </w:rPr>
        <w:t>La UDP espone capability governate e versionate. I consumer, incluso MCP, non interrogano direttamente PostgreSQL/PostGIS o bucket S3. Il serving contract distingue current view, historical view, graph/spatial navigation, lineage ed export.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551"/>
            <w:shd w:fill="0B4F6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Capability/API logica</w:t>
            </w:r>
          </w:p>
        </w:tc>
        <w:tc>
          <w:tcPr>
            <w:tcW w:type="dxa" w:w="4649"/>
            <w:shd w:fill="0B4F6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Scopo</w:t>
            </w:r>
          </w:p>
        </w:tc>
        <w:tc>
          <w:tcPr>
            <w:tcW w:type="dxa" w:w="1531"/>
            <w:shd w:fill="0B4F6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MCP</w:t>
            </w:r>
          </w:p>
        </w:tc>
      </w:tr>
      <w:tr>
        <w:tc>
          <w:tcPr>
            <w:tcW w:type="dxa" w:w="25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urban.object.read</w:t>
            </w:r>
          </w:p>
        </w:tc>
        <w:tc>
          <w:tcPr>
            <w:tcW w:type="dxa" w:w="464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Current canonical view per urbanObjectId.</w:t>
            </w:r>
          </w:p>
        </w:tc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Sì</w:t>
            </w:r>
          </w:p>
        </w:tc>
      </w:tr>
      <w:tr>
        <w:tc>
          <w:tcPr>
            <w:tcW w:type="dxa" w:w="25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urban.object.history</w:t>
            </w:r>
          </w:p>
        </w:tc>
        <w:tc>
          <w:tcPr>
            <w:tcW w:type="dxa" w:w="464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Revisioni e change history.</w:t>
            </w:r>
          </w:p>
        </w:tc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Sì, policy-limited</w:t>
            </w:r>
          </w:p>
        </w:tc>
      </w:tr>
      <w:tr>
        <w:tc>
          <w:tcPr>
            <w:tcW w:type="dxa" w:w="25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urban.object.asOf</w:t>
            </w:r>
          </w:p>
        </w:tc>
        <w:tc>
          <w:tcPr>
            <w:tcW w:type="dxa" w:w="464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Vista valida/registrata a un istante.</w:t>
            </w:r>
          </w:p>
        </w:tc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Sì</w:t>
            </w:r>
          </w:p>
        </w:tc>
      </w:tr>
      <w:tr>
        <w:tc>
          <w:tcPr>
            <w:tcW w:type="dxa" w:w="25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urban.object.search</w:t>
            </w:r>
          </w:p>
        </w:tc>
        <w:tc>
          <w:tcPr>
            <w:tcW w:type="dxa" w:w="464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Ricerca per type/property/authority/status.</w:t>
            </w:r>
          </w:p>
        </w:tc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Sì</w:t>
            </w:r>
          </w:p>
        </w:tc>
      </w:tr>
      <w:tr>
        <w:tc>
          <w:tcPr>
            <w:tcW w:type="dxa" w:w="25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urban.relationships</w:t>
            </w:r>
          </w:p>
        </w:tc>
        <w:tc>
          <w:tcPr>
            <w:tcW w:type="dxa" w:w="464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Edge inbound/outbound governati.</w:t>
            </w:r>
          </w:p>
        </w:tc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Sì</w:t>
            </w:r>
          </w:p>
        </w:tc>
      </w:tr>
      <w:tr>
        <w:tc>
          <w:tcPr>
            <w:tcW w:type="dxa" w:w="25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urban.graph.traverse</w:t>
            </w:r>
          </w:p>
        </w:tc>
        <w:tc>
          <w:tcPr>
            <w:tcW w:type="dxa" w:w="464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r>
              <w:rPr>
                <w:rFonts w:ascii="Noto Sans" w:hAnsi="Noto Sans"/>
                <w:sz w:val="17"/>
              </w:rPr>
              <w:t>Traversal ricorsivo/gerarchico bounded; non usare come default per esplorazione progressiva o cross-domain join.</w:t>
            </w:r>
          </w:p>
        </w:tc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Sì con limiti</w:t>
            </w:r>
          </w:p>
        </w:tc>
      </w:tr>
      <w:tr>
        <w:tc>
          <w:tcPr>
            <w:tcW w:type="dxa" w:w="25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urban.spatial.search</w:t>
            </w:r>
          </w:p>
        </w:tc>
        <w:tc>
          <w:tcPr>
            <w:tcW w:type="dxa" w:w="464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BBox/intersects/within/nearby.</w:t>
            </w:r>
          </w:p>
        </w:tc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Sì</w:t>
            </w:r>
          </w:p>
        </w:tc>
      </w:tr>
      <w:tr>
        <w:tc>
          <w:tcPr>
            <w:tcW w:type="dxa" w:w="25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lineage.object.read</w:t>
            </w:r>
          </w:p>
        </w:tc>
        <w:tc>
          <w:tcPr>
            <w:tcW w:type="dxa" w:w="464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Lineage dell’oggetto/revisione.</w:t>
            </w:r>
          </w:p>
        </w:tc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Sì</w:t>
            </w:r>
          </w:p>
        </w:tc>
      </w:tr>
      <w:tr>
        <w:tc>
          <w:tcPr>
            <w:tcW w:type="dxa" w:w="25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lineage.property.read</w:t>
            </w:r>
          </w:p>
        </w:tc>
        <w:tc>
          <w:tcPr>
            <w:tcW w:type="dxa" w:w="464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Provenance property-level.</w:t>
            </w:r>
          </w:p>
        </w:tc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Sì con masking</w:t>
            </w:r>
          </w:p>
        </w:tc>
      </w:tr>
      <w:tr>
        <w:tc>
          <w:tcPr>
            <w:tcW w:type="dxa" w:w="25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lake.raw.read</w:t>
            </w:r>
          </w:p>
        </w:tc>
        <w:tc>
          <w:tcPr>
            <w:tcW w:type="dxa" w:w="464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Accesso al payload RAW.</w:t>
            </w:r>
          </w:p>
        </w:tc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No di default; privilegiato</w:t>
            </w:r>
          </w:p>
        </w:tc>
      </w:tr>
      <w:tr>
        <w:tc>
          <w:tcPr>
            <w:tcW w:type="dxa" w:w="25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urban.export.create</w:t>
            </w:r>
          </w:p>
        </w:tc>
        <w:tc>
          <w:tcPr>
            <w:tcW w:type="dxa" w:w="464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Export asincrono filtrato e policy-enforced.</w:t>
            </w:r>
          </w:p>
        </w:tc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Sì se autorizzato</w:t>
            </w:r>
          </w:p>
        </w:tc>
      </w:tr>
      <w:tr>
        <w:tc>
          <w:tcPr>
            <w:tcW w:type="dxa" w:w="3286"/>
          </w:tcPr>
          <w:p>
            <w:r>
              <w:rPr>
                <w:rFonts w:ascii="Noto Sans" w:hAnsi="Noto Sans"/>
                <w:sz w:val="17"/>
              </w:rPr>
              <w:t>urban.object.related_search</w:t>
            </w:r>
          </w:p>
        </w:tc>
        <w:tc>
          <w:tcPr>
            <w:tcW w:type="dxa" w:w="3286"/>
          </w:tcPr>
          <w:p>
            <w:r>
              <w:rPr>
                <w:rFonts w:ascii="Noto Sans" w:hAnsi="Noto Sans"/>
                <w:sz w:val="17"/>
              </w:rPr>
              <w:t>Correlazione tipizzata tra classi/relazioni note.</w:t>
            </w:r>
          </w:p>
        </w:tc>
        <w:tc>
          <w:tcPr>
            <w:tcW w:type="dxa" w:w="3286"/>
          </w:tcPr>
          <w:p>
            <w:r>
              <w:rPr>
                <w:rFonts w:ascii="Noto Sans" w:hAnsi="Noto Sans"/>
                <w:sz w:val="17"/>
              </w:rPr>
              <w:t>Sì</w:t>
            </w:r>
          </w:p>
        </w:tc>
      </w:tr>
      <w:tr>
        <w:tc>
          <w:tcPr>
            <w:tcW w:type="dxa" w:w="3286"/>
          </w:tcPr>
          <w:p>
            <w:r>
              <w:rPr>
                <w:rFonts w:ascii="Noto Sans" w:hAnsi="Noto Sans"/>
                <w:sz w:val="17"/>
              </w:rPr>
              <w:t>urban.spatial.intersection_search</w:t>
            </w:r>
          </w:p>
        </w:tc>
        <w:tc>
          <w:tcPr>
            <w:tcW w:type="dxa" w:w="3286"/>
          </w:tcPr>
          <w:p>
            <w:r>
              <w:rPr>
                <w:rFonts w:ascii="Noto Sans" w:hAnsi="Noto Sans"/>
                <w:sz w:val="17"/>
              </w:rPr>
              <w:t>Cross-domain su anchor/relazioni spaziali/topologiche.</w:t>
            </w:r>
          </w:p>
        </w:tc>
        <w:tc>
          <w:tcPr>
            <w:tcW w:type="dxa" w:w="3286"/>
          </w:tcPr>
          <w:p>
            <w:r>
              <w:rPr>
                <w:rFonts w:ascii="Noto Sans" w:hAnsi="Noto Sans"/>
                <w:sz w:val="17"/>
              </w:rPr>
              <w:t>Sì</w:t>
            </w:r>
          </w:p>
        </w:tc>
      </w:tr>
      <w:tr>
        <w:tc>
          <w:tcPr>
            <w:tcW w:type="dxa" w:w="3286"/>
          </w:tcPr>
          <w:p>
            <w:r>
              <w:rPr>
                <w:rFonts w:ascii="Noto Sans" w:hAnsi="Noto Sans"/>
                <w:sz w:val="17"/>
              </w:rPr>
              <w:t>urban.graph.neighbors</w:t>
            </w:r>
          </w:p>
        </w:tc>
        <w:tc>
          <w:tcPr>
            <w:tcW w:type="dxa" w:w="3286"/>
          </w:tcPr>
          <w:p>
            <w:r>
              <w:rPr>
                <w:rFonts w:ascii="Noto Sans" w:hAnsi="Noto Sans"/>
                <w:sz w:val="17"/>
              </w:rPr>
              <w:t>Adiacenza 1-hop per esplorazione agentica incrementale con pruning progressivo.</w:t>
            </w:r>
          </w:p>
        </w:tc>
        <w:tc>
          <w:tcPr>
            <w:tcW w:type="dxa" w:w="3286"/>
          </w:tcPr>
          <w:p>
            <w:r>
              <w:rPr>
                <w:rFonts w:ascii="Noto Sans" w:hAnsi="Noto Sans"/>
                <w:sz w:val="17"/>
              </w:rPr>
              <w:t>Sì, preferito per exploratory navigation</w:t>
            </w:r>
          </w:p>
        </w:tc>
      </w:tr>
    </w:tbl>
    <w:p/>
    <w:p>
      <w:pPr>
        <w:pStyle w:val="Heading2"/>
      </w:pPr>
      <w:r>
        <w:rPr>
          <w:rFonts w:ascii="Noto Sans" w:hAnsi="Noto Sans" w:eastAsia="Noto Sans"/>
        </w:rPr>
        <w:t>49.1 Contratto current vs historical</w:t>
      </w: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>GET /api/udp/v1/objects/{urbanObjectId}</w:t>
      </w: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 xml:space="preserve">  -&gt; current canonical view</w:t>
      </w:r>
    </w:p>
    <w:p>
      <w:pPr>
        <w:pStyle w:val="OUFCode"/>
      </w:pP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>GET /api/udp/v1/objects/{urbanObjectId}/revisions/{revisionId}</w:t>
      </w: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 xml:space="preserve">  -&gt; immutable historical revision</w:t>
      </w:r>
    </w:p>
    <w:p>
      <w:pPr>
        <w:pStyle w:val="OUFCode"/>
      </w:pP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>GET /api/udp/v1/objects/{urbanObjectId}?asOf=2028-06-01T10:00:00Z</w:t>
      </w: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 xml:space="preserve">  -&gt; temporal view according to documented time axis</w:t>
      </w:r>
    </w:p>
    <w:p>
      <w:pPr/>
      <w:r>
        <w:rPr>
          <w:rFonts w:ascii="Noto Sans" w:hAnsi="Noto Sans" w:eastAsia="Noto Sans"/>
          <w:sz w:val="18"/>
        </w:rPr>
        <w:t>Le API devono dichiarare esplicitamente se asOf usa transaction time, valid time o entrambi. Nessun consumer deve inferire la semantica temporale dal solo timestamp.</w:t>
      </w:r>
    </w:p>
    <w:p>
      <w:pPr>
        <w:pStyle w:val="Heading2"/>
      </w:pPr>
      <w:r>
        <w:rPr>
          <w:rFonts w:ascii="Noto Sans" w:hAnsi="Noto Sans" w:eastAsia="Noto Sans"/>
        </w:rPr>
        <w:t>49.2 Pagination, cursor ed ETag</w:t>
      </w:r>
    </w:p>
    <w:p>
      <w:pPr>
        <w:pStyle w:val="ListBullet"/>
      </w:pPr>
      <w:r>
        <w:rPr>
          <w:rFonts w:ascii="Noto Sans" w:hAnsi="Noto Sans" w:eastAsia="Noto Sans"/>
          <w:sz w:val="18"/>
        </w:rPr>
        <w:t>Liste e search usano cursor opaco; offset pagination è ammessa solo per insiemi piccoli/non mutabili.</w:t>
      </w:r>
    </w:p>
    <w:p>
      <w:pPr>
        <w:pStyle w:val="ListBullet"/>
      </w:pPr>
      <w:r>
        <w:rPr>
          <w:rFonts w:ascii="Noto Sans" w:hAnsi="Noto Sans" w:eastAsia="Noto Sans"/>
          <w:sz w:val="18"/>
        </w:rPr>
        <w:t>Ogni response list dichiara limit applicato, nextCursor e ordinamento deterministico.</w:t>
      </w:r>
    </w:p>
    <w:p>
      <w:pPr>
        <w:pStyle w:val="ListBullet"/>
      </w:pPr>
      <w:r>
        <w:rPr>
          <w:rFonts w:ascii="Noto Sans" w:hAnsi="Noto Sans" w:eastAsia="Noto Sans"/>
          <w:sz w:val="18"/>
        </w:rPr>
        <w:t>Object current view espone ETag/version token basato su currentRevisionId o hash equivalente.</w:t>
      </w:r>
    </w:p>
    <w:p>
      <w:pPr>
        <w:pStyle w:val="ListBullet"/>
      </w:pPr>
      <w:r>
        <w:rPr>
          <w:rFonts w:ascii="Noto Sans" w:hAnsi="Noto Sans" w:eastAsia="Noto Sans"/>
          <w:sz w:val="18"/>
        </w:rPr>
        <w:t>If-None-Match può restituire 304 per ridurre carico; nessuna cache deve bypassare policy di accesso.</w:t>
      </w:r>
    </w:p>
    <w:p>
      <w:pPr>
        <w:pStyle w:val="ListBullet"/>
      </w:pPr>
      <w:r>
        <w:rPr>
          <w:rFonts w:ascii="Noto Sans" w:hAnsi="Noto Sans" w:eastAsia="Noto Sans"/>
          <w:sz w:val="18"/>
        </w:rPr>
        <w:t>Page size e max result sono capability-specific e governabili dal Gateway/UDP.</w:t>
      </w:r>
    </w:p>
    <w:p>
      <w:pPr>
        <w:pStyle w:val="Heading1"/>
      </w:pPr>
      <w:r>
        <w:rPr>
          <w:rFonts w:ascii="Noto Sans" w:hAnsi="Noto Sans" w:eastAsia="Noto Sans"/>
        </w:rPr>
        <w:t>50. Data access enforcement nel serving e anti-enumeration</w:t>
      </w:r>
    </w:p>
    <w:p>
      <w:pPr/>
      <w:r>
        <w:rPr>
          <w:rFonts w:ascii="Noto Sans" w:hAnsi="Noto Sans" w:eastAsia="Noto Sans"/>
          <w:sz w:val="18"/>
        </w:rPr>
        <w:t>Le regole introdotte in v1.0 diventano requisiti operativi del serving: policy e DataAccessLabel vengono applicati prima della serializzazione della risposta. Un campo negato non deve essere inviato a MCP/AI per una successiva redazione client-side.</w:t>
      </w: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>Query result candidate</w:t>
      </w: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 xml:space="preserve">      |</w:t>
      </w: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 xml:space="preserve">      v</w:t>
      </w: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>AuthorizationContext + DataAccessLabel</w:t>
      </w: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 xml:space="preserve">      |</w:t>
      </w: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 xml:space="preserve">      v</w:t>
      </w: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>Policy Enforcement Point</w:t>
      </w: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 xml:space="preserve">      |--- DENY property --&gt; omit / mask according to contract</w:t>
      </w: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 xml:space="preserve">      |--- DENY edge     --&gt; do not expose relationship</w:t>
      </w: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 xml:space="preserve">      |--- DENY lineage  --&gt; redact protected evidence</w:t>
      </w: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 xml:space="preserve">      v</w:t>
      </w: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>Filtered response --&gt; Gateway --&gt; MCP / application</w:t>
      </w:r>
    </w:p>
    <w:p>
      <w:pPr>
        <w:pStyle w:val="Heading2"/>
      </w:pPr>
      <w:r>
        <w:rPr>
          <w:rFonts w:ascii="Noto Sans" w:hAnsi="Noto Sans" w:eastAsia="Noto Sans"/>
        </w:rPr>
        <w:t>50.1 Anti-enumeration</w:t>
      </w:r>
    </w:p>
    <w:p>
      <w:pPr/>
      <w:r>
        <w:rPr>
          <w:rFonts w:ascii="Noto Sans" w:hAnsi="Noto Sans" w:eastAsia="Noto Sans"/>
          <w:sz w:val="18"/>
        </w:rPr>
        <w:t>Per risorse riservate la policy può rendere indistinguibili NOT_FOUND e NOT_AUTHORIZED verso consumer non privilegiati, evitando che search, count, graph traversal o lineage vengano usati per inferire l’esistenza di dati protetti.</w:t>
      </w:r>
    </w:p>
    <w:p>
      <w:pPr>
        <w:pStyle w:val="Heading1"/>
      </w:pPr>
      <w:r>
        <w:rPr>
          <w:rFonts w:ascii="Noto Sans" w:hAnsi="Noto Sans" w:eastAsia="Noto Sans"/>
        </w:rPr>
        <w:t>51. Export e bulk serving</w:t>
      </w:r>
    </w:p>
    <w:p>
      <w:pPr/>
      <w:r>
        <w:rPr>
          <w:rFonts w:ascii="Noto Sans" w:hAnsi="Noto Sans" w:eastAsia="Noto Sans"/>
          <w:sz w:val="18"/>
        </w:rPr>
        <w:t>Gli export massivi sono separati dalla query interattiva. La creazione è asincrona, produce un ExportManifest e applica le policy alla selezione prima della materializzazione. Nessun export può includere proprietà/edge che il richiedente non è autorizzato a leggere nella specifica operation scope.</w:t>
      </w: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>POST /api/udp/v1/exports</w:t>
      </w: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 xml:space="preserve">  -&gt; 202 Accepted + exportJobId</w:t>
      </w:r>
    </w:p>
    <w:p>
      <w:pPr>
        <w:pStyle w:val="OUFCode"/>
      </w:pP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>worker -&gt; policy-enforced query -&gt; temporary lake EXPORT object</w:t>
      </w: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 xml:space="preserve">       -&gt; checksum + ExportManifest + expiry</w:t>
      </w:r>
    </w:p>
    <w:p>
      <w:pPr>
        <w:pStyle w:val="OUFCode"/>
      </w:pP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>GET /api/udp/v1/exports/{id}</w:t>
      </w: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 xml:space="preserve">  -&gt; status / governed download capability</w:t>
      </w:r>
    </w:p>
    <w:p>
      <w:pPr>
        <w:pStyle w:val="ListBullet"/>
      </w:pPr>
      <w:r>
        <w:rPr>
          <w:rFonts w:ascii="Noto Sans" w:hAnsi="Noto Sans" w:eastAsia="Noto Sans"/>
          <w:sz w:val="18"/>
        </w:rPr>
        <w:t>Export object con retention class temporanea e expiry.</w:t>
      </w:r>
    </w:p>
    <w:p>
      <w:pPr>
        <w:pStyle w:val="ListBullet"/>
      </w:pPr>
      <w:r>
        <w:rPr>
          <w:rFonts w:ascii="Noto Sans" w:hAnsi="Noto Sans" w:eastAsia="Noto Sans"/>
          <w:sz w:val="18"/>
        </w:rPr>
        <w:t>Audit di actor, query/filter, classification mix, record count e checksum.</w:t>
      </w:r>
    </w:p>
    <w:p>
      <w:pPr>
        <w:pStyle w:val="ListBullet"/>
      </w:pPr>
      <w:r>
        <w:rPr>
          <w:rFonts w:ascii="Noto Sans" w:hAnsi="Noto Sans" w:eastAsia="Noto Sans"/>
          <w:sz w:val="18"/>
        </w:rPr>
        <w:t>Rate limit e concurrency separati dalle query interattive.</w:t>
      </w:r>
    </w:p>
    <w:p>
      <w:pPr>
        <w:pStyle w:val="ListBullet"/>
      </w:pPr>
      <w:r>
        <w:rPr>
          <w:rFonts w:ascii="Noto Sans" w:hAnsi="Noto Sans" w:eastAsia="Noto Sans"/>
          <w:sz w:val="18"/>
        </w:rPr>
        <w:t>Per dati PERSONAL/SENSITIVE futuri possono essere richiesti approval, purpose/context o step-up secondo Authorization Policy.</w:t>
      </w:r>
    </w:p>
    <w:p>
      <w:pPr>
        <w:pStyle w:val="ListBullet"/>
      </w:pPr>
      <w:r>
        <w:rPr>
          <w:rFonts w:ascii="Noto Sans" w:hAnsi="Noto Sans" w:eastAsia="Noto Sans"/>
          <w:sz w:val="18"/>
        </w:rPr>
        <w:t>Il bucket non è esposto come directory browsable ai consumer.</w:t>
      </w:r>
    </w:p>
    <w:p>
      <w:pPr>
        <w:pStyle w:val="Heading1"/>
      </w:pPr>
      <w:r>
        <w:rPr>
          <w:rFonts w:ascii="Noto Sans" w:hAnsi="Noto Sans" w:eastAsia="Noto Sans"/>
        </w:rPr>
        <w:t>52. Query governance, backpressure e resource isolation</w:t>
      </w:r>
    </w:p>
    <w:p>
      <w:pPr/>
      <w:r>
        <w:rPr>
          <w:rFonts w:ascii="Noto Sans" w:hAnsi="Noto Sans" w:eastAsia="Noto Sans"/>
          <w:sz w:val="18"/>
        </w:rPr>
        <w:t>Serving interattivo, materializzazione, resolution, compaction e maintenance condividono la piattaforma ma hanno priorità differenti. La baseline evita che un traversal agentico o un export massivo degradi ingestion e query operative.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381"/>
            <w:shd w:fill="0B4F6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Classe workload</w:t>
            </w:r>
          </w:p>
        </w:tc>
        <w:tc>
          <w:tcPr>
            <w:tcW w:type="dxa" w:w="1417"/>
            <w:shd w:fill="0B4F6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Priorità</w:t>
            </w:r>
          </w:p>
        </w:tc>
        <w:tc>
          <w:tcPr>
            <w:tcW w:type="dxa" w:w="4819"/>
            <w:shd w:fill="0B4F6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Guardrail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Interactive object/read</w:t>
            </w:r>
          </w:p>
        </w:tc>
        <w:tc>
          <w:tcPr>
            <w:tcW w:type="dxa" w:w="141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Alta</w:t>
            </w:r>
          </w:p>
        </w:tc>
        <w:tc>
          <w:tcPr>
            <w:tcW w:type="dxa" w:w="481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Timeout breve, pool dedicato, bounded response.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Search/spatial</w:t>
            </w:r>
          </w:p>
        </w:tc>
        <w:tc>
          <w:tcPr>
            <w:tcW w:type="dxa" w:w="141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Alta-media</w:t>
            </w:r>
          </w:p>
        </w:tc>
        <w:tc>
          <w:tcPr>
            <w:tcW w:type="dxa" w:w="481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Result cap, index-required path, statement timeout.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Graph traversal</w:t>
            </w:r>
          </w:p>
        </w:tc>
        <w:tc>
          <w:tcPr>
            <w:tcW w:type="dxa" w:w="141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Media</w:t>
            </w:r>
          </w:p>
        </w:tc>
        <w:tc>
          <w:tcPr>
            <w:tcW w:type="dxa" w:w="481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maxDepth/maxNodes/maxEdges + complexity budget.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Lineage/history</w:t>
            </w:r>
          </w:p>
        </w:tc>
        <w:tc>
          <w:tcPr>
            <w:tcW w:type="dxa" w:w="141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Media</w:t>
            </w:r>
          </w:p>
        </w:tc>
        <w:tc>
          <w:tcPr>
            <w:tcW w:type="dxa" w:w="481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Pagination e limiti temporali/record.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Ingestion/materialization</w:t>
            </w:r>
          </w:p>
        </w:tc>
        <w:tc>
          <w:tcPr>
            <w:tcW w:type="dxa" w:w="141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Alta</w:t>
            </w:r>
          </w:p>
        </w:tc>
        <w:tc>
          <w:tcPr>
            <w:tcW w:type="dxa" w:w="481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Queue bounded; durable intake preservato.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Export</w:t>
            </w:r>
          </w:p>
        </w:tc>
        <w:tc>
          <w:tcPr>
            <w:tcW w:type="dxa" w:w="141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Bassa-media</w:t>
            </w:r>
          </w:p>
        </w:tc>
        <w:tc>
          <w:tcPr>
            <w:tcW w:type="dxa" w:w="481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Async, concurrency quota e throttling.</w:t>
            </w:r>
          </w:p>
        </w:tc>
      </w:tr>
      <w:tr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Compaction/integrity scan</w:t>
            </w:r>
          </w:p>
        </w:tc>
        <w:tc>
          <w:tcPr>
            <w:tcW w:type="dxa" w:w="141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Bassa</w:t>
            </w:r>
          </w:p>
        </w:tc>
        <w:tc>
          <w:tcPr>
            <w:tcW w:type="dxa" w:w="481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Eseguiti fuori picco o con I/O budget.</w:t>
            </w:r>
          </w:p>
        </w:tc>
      </w:tr>
    </w:tbl>
    <w:p/>
    <w:p>
      <w:pPr>
        <w:pStyle w:val="Heading2"/>
      </w:pPr>
      <w:r>
        <w:rPr>
          <w:rFonts w:ascii="Noto Sans" w:hAnsi="Noto Sans" w:eastAsia="Noto Sans"/>
        </w:rPr>
        <w:t>52.1 Overload behavior</w:t>
      </w:r>
    </w:p>
    <w:p>
      <w:pPr>
        <w:pStyle w:val="ListBullet"/>
      </w:pPr>
      <w:r>
        <w:rPr>
          <w:rFonts w:ascii="Noto Sans" w:hAnsi="Noto Sans" w:eastAsia="Noto Sans"/>
          <w:sz w:val="18"/>
        </w:rPr>
        <w:t>429 per quota/rate limit applicativo; 503 con Retry-After per saturazione temporanea.</w:t>
      </w:r>
    </w:p>
    <w:p>
      <w:pPr>
        <w:pStyle w:val="ListBullet"/>
      </w:pPr>
      <w:r>
        <w:rPr>
          <w:rFonts w:ascii="Noto Sans" w:hAnsi="Noto Sans" w:eastAsia="Noto Sans"/>
          <w:sz w:val="18"/>
        </w:rPr>
        <w:t>Il sistema degrada prima funzionalità costose (deep traversal/export) e protegge object read e durable ingestion.</w:t>
      </w:r>
    </w:p>
    <w:p>
      <w:pPr>
        <w:pStyle w:val="ListBullet"/>
      </w:pPr>
      <w:r>
        <w:rPr>
          <w:rFonts w:ascii="Noto Sans" w:hAnsi="Noto Sans" w:eastAsia="Noto Sans"/>
          <w:sz w:val="18"/>
        </w:rPr>
        <w:t>Una query che supera complexity budget viene rifiutata prima dell’esecuzione quando possibile.</w:t>
      </w:r>
    </w:p>
    <w:p>
      <w:pPr>
        <w:pStyle w:val="ListBullet"/>
      </w:pPr>
      <w:r>
        <w:rPr>
          <w:rFonts w:ascii="Noto Sans" w:hAnsi="Noto Sans" w:eastAsia="Noto Sans"/>
          <w:sz w:val="18"/>
        </w:rPr>
        <w:t>PostgreSQL statement_timeout e connection pool limit sono parte del safety envelope.</w:t>
      </w:r>
    </w:p>
    <w:p>
      <w:pPr>
        <w:pStyle w:val="ListBullet"/>
      </w:pPr>
      <w:r>
        <w:rPr>
          <w:rFonts w:ascii="Noto Sans" w:hAnsi="Noto Sans" w:eastAsia="Noto Sans"/>
          <w:sz w:val="18"/>
        </w:rPr>
        <w:t>Nessun retry aggressivo server-side su query user-driven che aumenti il carico durante overload.</w:t>
      </w:r>
    </w:p>
    <w:p>
      <w:pPr>
        <w:pStyle w:val="Heading2"/>
      </w:pPr>
      <w:r>
        <w:rPr>
          <w:rFonts w:ascii="Noto Sans" w:hAnsi="Noto Sans"/>
        </w:rPr>
        <w:t>52.2 Graph complexity budget e budget per correlazione agentica</w:t>
      </w:r>
    </w:p>
    <w:p>
      <w:pPr/>
      <w:r>
        <w:rPr>
          <w:rFonts w:ascii="Noto Sans" w:hAnsi="Noto Sans"/>
        </w:rPr>
        <w:t>maxDepth non è un controllo sufficiente: il rischio principale è il fan-out. Il planner valuta almeno depth, estimated fan-out, relation count, spatial predicates, filtri non indicizzati e result budget. Una richiesta UNBOUNDED o con costo stimato superiore alla soglia viene rifiutata prima dell’esecuzione o trasformata in job asincrono.</w:t>
      </w:r>
    </w:p>
    <w:p>
      <w:pPr>
        <w:pStyle w:val="ListBullet"/>
      </w:pPr>
      <w:r>
        <w:rPr>
          <w:rFonts w:ascii="Noto Sans" w:hAnsi="Noto Sans"/>
        </w:rPr>
        <w:t>Per singola tool call: maxNodes, maxEdges, maxRows, maxExecutionTime e result bytes.</w:t>
      </w:r>
    </w:p>
    <w:p>
      <w:pPr>
        <w:pStyle w:val="ListBullet"/>
      </w:pPr>
      <w:r>
        <w:rPr>
          <w:rFonts w:ascii="Noto Sans" w:hAnsi="Noto Sans"/>
        </w:rPr>
        <w:t>Per correlation/session window: numero massimo di graph calls e budget cumulativo di nodi/edge/bytes/tempo esplorabili. Il budget non vieta il traversal iterativo: lo rende governato. L’Agent può procedere hop-by-hop solo applicando progressive pruning e finché il costo cumulativo resta entro soglia; sequenze che mantengono o amplificano indiscriminatamente il fan-out vengono fermate o richiedono una capability specialistica/set-based.</w:t>
      </w:r>
    </w:p>
    <w:p>
      <w:pPr>
        <w:pStyle w:val="ListBullet"/>
      </w:pPr>
      <w:r>
        <w:rPr>
          <w:rFonts w:ascii="Noto Sans" w:hAnsi="Noto Sans"/>
        </w:rPr>
        <w:t>statement_timeout, pool quota e cancellation restano l’ultima cintura di sicurezza, non il meccanismo principale di query governance.</w:t>
      </w:r>
    </w:p>
    <w:p>
      <w:pPr/>
      <w:r>
        <w:rPr>
          <w:rFonts w:ascii="Noto Sans" w:hAnsi="Noto Sans"/>
        </w:rPr>
        <w:t>Policy AGENT-GRAPH-01 — ordine di preferenza: (1) capability specialistica/set-based se il pattern è noto; (2) urban.graph.neighbors con pruning progressivo per esplorazione; (3) urban.graph.path/traverse solo se la ricorsione o il path sono intrinseci. La scelta della strategia fisica resta sempre del Query Planner.</w:t>
      </w:r>
    </w:p>
    <w:p>
      <w:pPr>
        <w:pStyle w:val="Heading2"/>
      </w:pPr>
      <w:r>
        <w:rPr>
          <w:rFonts w:ascii="Noto Sans" w:hAnsi="Noto Sans"/>
        </w:rPr>
        <w:t>52.3 Query Complexity Governor e protezione da Agent subottimale</w:t>
      </w:r>
    </w:p>
    <w:p>
      <w:pPr/>
      <w:r>
        <w:rPr>
          <w:rFonts w:ascii="Noto Sans" w:hAnsi="Noto Sans"/>
        </w:rPr>
        <w:t>Il Query Complexity Governor applica limiti indipendentemente dal tool scelto e dal numero di chiamate con cui l’Agent tenta di realizzare l’analisi. Il budget è associato a correlation/session window e, quando disponibile, a principal, tenant/organizational context e workload class. Una nuova tool call non azzera il budget.</w:t>
      </w:r>
    </w:p>
    <w:p>
      <w:pPr>
        <w:pStyle w:val="ListBullet"/>
      </w:pPr>
      <w:r>
        <w:rPr>
          <w:rFonts w:ascii="Noto Sans" w:hAnsi="Noto Sans"/>
        </w:rPr>
        <w:t>Metriche minime: dbExecutionTime, estimatedRows, rowsObserved, nodesObserved, edgesObserved, resultBytes, graphCalls, spatialArea/radius e numero di query correlate.</w:t>
      </w:r>
    </w:p>
    <w:p>
      <w:pPr>
        <w:pStyle w:val="ListBullet"/>
      </w:pPr>
      <w:r>
        <w:rPr>
          <w:rFonts w:ascii="Noto Sans" w:hAnsi="Noto Sans"/>
        </w:rPr>
        <w:t>Il Governor può rispondere 429/422 con remaining budget e retry/alternative hints non sensibili; non espone SQL o statistiche interne che facilitino probing del datastore.</w:t>
      </w:r>
    </w:p>
    <w:p>
      <w:pPr>
        <w:pStyle w:val="ListBullet"/>
      </w:pPr>
      <w:r>
        <w:rPr>
          <w:rFonts w:ascii="Noto Sans" w:hAnsi="Noto Sans"/>
        </w:rPr>
        <w:t>Un Agent che non applica progressive pruning può continuare solo finché resta entro il budget; il backend non presume che il modello riduca spontaneamente il fan-out.</w:t>
      </w:r>
    </w:p>
    <w:p>
      <w:pPr>
        <w:pStyle w:val="ListBullet"/>
      </w:pPr>
      <w:r>
        <w:rPr>
          <w:rFonts w:ascii="Noto Sans" w:hAnsi="Noto Sans"/>
        </w:rPr>
        <w:t>Le workload class interactive, graph, spatial, lineage ed analytical possono avere budget differenti e pool/concurrency quota distinte.</w:t>
      </w:r>
    </w:p>
    <w:p>
      <w:pPr>
        <w:pStyle w:val="ListBullet"/>
      </w:pPr>
      <w:r>
        <w:rPr>
          <w:rFonts w:ascii="Noto Sans" w:hAnsi="Noto Sans"/>
        </w:rPr>
        <w:t>Le query analitiche ampie vengono isolate in job asincroni o rifiutate se il relativo servizio/capability non è disponibile; durable ingestion e current object read hanno priorità superiore.</w:t>
      </w:r>
    </w:p>
    <w:p>
      <w:pPr>
        <w:pStyle w:val="Heading2"/>
      </w:pPr>
      <w:r>
        <w:rPr>
          <w:rFonts w:ascii="Noto Sans" w:hAnsi="Noto Sans"/>
        </w:rPr>
        <w:t>52.4 Stato distribuito del Query Complexity Governor</w:t>
      </w:r>
    </w:p>
    <w:p>
      <w:pPr/>
      <w:r>
        <w:rPr>
          <w:rFonts w:ascii="Noto Sans" w:hAnsi="Noto Sans"/>
        </w:rPr>
        <w:t>Il budget cumulativo non può essere autoritativo in memoria locale del singolo Pod. In produzione udp-api può avere più repliche e chiamate della stessa correlation/session possono essere bilanciate su Pod differenti. ConcurrentHashMap, Caffeine o sticky session possono essere usati solo come cache/ottimizzazione locale, mai come source of truth del budget.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tcBorders>
              <w:top w:val="single" w:sz="4" w:space="0" w:color="C7D4E2"/>
              <w:left w:val="single" w:sz="4" w:space="0" w:color="C7D4E2"/>
              <w:bottom w:val="single" w:sz="4" w:space="0" w:color="C7D4E2"/>
              <w:right w:val="single" w:sz="4" w:space="0" w:color="C7D4E2"/>
              <w:insideH w:val="single" w:sz="4" w:space="0" w:color="C7D4E2"/>
              <w:insideV w:val="single" w:sz="4" w:space="0" w:color="C7D4E2"/>
            </w:tcBorders>
            <w:shd w:fill="0B4F6C"/>
          </w:tcPr>
          <w:p>
            <w:r>
              <w:rPr>
                <w:rFonts w:ascii="Noto Sans" w:hAnsi="Noto Sans"/>
                <w:b/>
                <w:color w:val="FFFFFF"/>
                <w:sz w:val="17"/>
              </w:rPr>
              <w:t>Aspetto</w:t>
            </w:r>
          </w:p>
        </w:tc>
        <w:tc>
          <w:tcPr>
            <w:tcW w:type="dxa" w:w="4929"/>
            <w:tcBorders>
              <w:top w:val="single" w:sz="4" w:space="0" w:color="C7D4E2"/>
              <w:left w:val="single" w:sz="4" w:space="0" w:color="C7D4E2"/>
              <w:bottom w:val="single" w:sz="4" w:space="0" w:color="C7D4E2"/>
              <w:right w:val="single" w:sz="4" w:space="0" w:color="C7D4E2"/>
              <w:insideH w:val="single" w:sz="4" w:space="0" w:color="C7D4E2"/>
              <w:insideV w:val="single" w:sz="4" w:space="0" w:color="C7D4E2"/>
            </w:tcBorders>
            <w:shd w:fill="0B4F6C"/>
          </w:tcPr>
          <w:p>
            <w:r>
              <w:rPr>
                <w:rFonts w:ascii="Noto Sans" w:hAnsi="Noto Sans"/>
                <w:b/>
                <w:color w:val="FFFFFF"/>
                <w:sz w:val="17"/>
              </w:rPr>
              <w:t>Baseline v1.2</w:t>
            </w:r>
          </w:p>
        </w:tc>
      </w:tr>
      <w:tr>
        <w:tc>
          <w:tcPr>
            <w:tcW w:type="dxa" w:w="4929"/>
            <w:tcBorders>
              <w:top w:val="single" w:sz="4" w:space="0" w:color="C7D4E2"/>
              <w:left w:val="single" w:sz="4" w:space="0" w:color="C7D4E2"/>
              <w:bottom w:val="single" w:sz="4" w:space="0" w:color="C7D4E2"/>
              <w:right w:val="single" w:sz="4" w:space="0" w:color="C7D4E2"/>
              <w:insideH w:val="single" w:sz="4" w:space="0" w:color="C7D4E2"/>
              <w:insideV w:val="single" w:sz="4" w:space="0" w:color="C7D4E2"/>
            </w:tcBorders>
            <w:shd w:fill="FFFFFF"/>
          </w:tcPr>
          <w:p>
            <w:r>
              <w:rPr>
                <w:rFonts w:ascii="Noto Sans" w:hAnsi="Noto Sans"/>
                <w:sz w:val="17"/>
              </w:rPr>
              <w:t>System of record budget</w:t>
            </w:r>
          </w:p>
        </w:tc>
        <w:tc>
          <w:tcPr>
            <w:tcW w:type="dxa" w:w="4929"/>
            <w:tcBorders>
              <w:top w:val="single" w:sz="4" w:space="0" w:color="C7D4E2"/>
              <w:left w:val="single" w:sz="4" w:space="0" w:color="C7D4E2"/>
              <w:bottom w:val="single" w:sz="4" w:space="0" w:color="C7D4E2"/>
              <w:right w:val="single" w:sz="4" w:space="0" w:color="C7D4E2"/>
              <w:insideH w:val="single" w:sz="4" w:space="0" w:color="C7D4E2"/>
              <w:insideV w:val="single" w:sz="4" w:space="0" w:color="C7D4E2"/>
            </w:tcBorders>
            <w:shd w:fill="FFFFFF"/>
          </w:tcPr>
          <w:p>
            <w:r>
              <w:rPr>
                <w:rFonts w:ascii="Noto Sans" w:hAnsi="Noto Sans"/>
                <w:sz w:val="17"/>
              </w:rPr>
              <w:t>PostgreSQL condiviso, tabella query_budget dedicata con TTL logico.</w:t>
            </w:r>
          </w:p>
        </w:tc>
      </w:tr>
      <w:tr>
        <w:tc>
          <w:tcPr>
            <w:tcW w:type="dxa" w:w="4929"/>
            <w:tcBorders>
              <w:top w:val="single" w:sz="4" w:space="0" w:color="C7D4E2"/>
              <w:left w:val="single" w:sz="4" w:space="0" w:color="C7D4E2"/>
              <w:bottom w:val="single" w:sz="4" w:space="0" w:color="C7D4E2"/>
              <w:right w:val="single" w:sz="4" w:space="0" w:color="C7D4E2"/>
              <w:insideH w:val="single" w:sz="4" w:space="0" w:color="C7D4E2"/>
              <w:insideV w:val="single" w:sz="4" w:space="0" w:color="C7D4E2"/>
            </w:tcBorders>
            <w:shd w:fill="F3F6F9"/>
          </w:tcPr>
          <w:p>
            <w:r>
              <w:rPr>
                <w:rFonts w:ascii="Noto Sans" w:hAnsi="Noto Sans"/>
                <w:sz w:val="17"/>
              </w:rPr>
              <w:t>Chiave</w:t>
            </w:r>
          </w:p>
        </w:tc>
        <w:tc>
          <w:tcPr>
            <w:tcW w:type="dxa" w:w="4929"/>
            <w:tcBorders>
              <w:top w:val="single" w:sz="4" w:space="0" w:color="C7D4E2"/>
              <w:left w:val="single" w:sz="4" w:space="0" w:color="C7D4E2"/>
              <w:bottom w:val="single" w:sz="4" w:space="0" w:color="C7D4E2"/>
              <w:right w:val="single" w:sz="4" w:space="0" w:color="C7D4E2"/>
              <w:insideH w:val="single" w:sz="4" w:space="0" w:color="C7D4E2"/>
              <w:insideV w:val="single" w:sz="4" w:space="0" w:color="C7D4E2"/>
            </w:tcBorders>
            <w:shd w:fill="F3F6F9"/>
          </w:tcPr>
          <w:p>
            <w:r>
              <w:rPr>
                <w:rFonts w:ascii="Noto Sans" w:hAnsi="Noto Sans"/>
                <w:sz w:val="17"/>
              </w:rPr>
              <w:t>correlationId/sessionWindow + principal/tenant/workloadClass quando disponibili.</w:t>
            </w:r>
          </w:p>
        </w:tc>
      </w:tr>
      <w:tr>
        <w:tc>
          <w:tcPr>
            <w:tcW w:type="dxa" w:w="4929"/>
            <w:tcBorders>
              <w:top w:val="single" w:sz="4" w:space="0" w:color="C7D4E2"/>
              <w:left w:val="single" w:sz="4" w:space="0" w:color="C7D4E2"/>
              <w:bottom w:val="single" w:sz="4" w:space="0" w:color="C7D4E2"/>
              <w:right w:val="single" w:sz="4" w:space="0" w:color="C7D4E2"/>
              <w:insideH w:val="single" w:sz="4" w:space="0" w:color="C7D4E2"/>
              <w:insideV w:val="single" w:sz="4" w:space="0" w:color="C7D4E2"/>
            </w:tcBorders>
            <w:shd w:fill="FFFFFF"/>
          </w:tcPr>
          <w:p>
            <w:r>
              <w:rPr>
                <w:rFonts w:ascii="Noto Sans" w:hAnsi="Noto Sans"/>
                <w:sz w:val="17"/>
              </w:rPr>
              <w:t>Aggiornamento</w:t>
            </w:r>
          </w:p>
        </w:tc>
        <w:tc>
          <w:tcPr>
            <w:tcW w:type="dxa" w:w="4929"/>
            <w:tcBorders>
              <w:top w:val="single" w:sz="4" w:space="0" w:color="C7D4E2"/>
              <w:left w:val="single" w:sz="4" w:space="0" w:color="C7D4E2"/>
              <w:bottom w:val="single" w:sz="4" w:space="0" w:color="C7D4E2"/>
              <w:right w:val="single" w:sz="4" w:space="0" w:color="C7D4E2"/>
              <w:insideH w:val="single" w:sz="4" w:space="0" w:color="C7D4E2"/>
              <w:insideV w:val="single" w:sz="4" w:space="0" w:color="C7D4E2"/>
            </w:tcBorders>
            <w:shd w:fill="FFFFFF"/>
          </w:tcPr>
          <w:p>
            <w:r>
              <w:rPr>
                <w:rFonts w:ascii="Noto Sans" w:hAnsi="Noto Sans"/>
                <w:sz w:val="17"/>
              </w:rPr>
              <w:t>Atomico: consumo ammesso solo se il nuovo totale resta entro il limite.</w:t>
            </w:r>
          </w:p>
        </w:tc>
      </w:tr>
      <w:tr>
        <w:tc>
          <w:tcPr>
            <w:tcW w:type="dxa" w:w="4929"/>
            <w:tcBorders>
              <w:top w:val="single" w:sz="4" w:space="0" w:color="C7D4E2"/>
              <w:left w:val="single" w:sz="4" w:space="0" w:color="C7D4E2"/>
              <w:bottom w:val="single" w:sz="4" w:space="0" w:color="C7D4E2"/>
              <w:right w:val="single" w:sz="4" w:space="0" w:color="C7D4E2"/>
              <w:insideH w:val="single" w:sz="4" w:space="0" w:color="C7D4E2"/>
              <w:insideV w:val="single" w:sz="4" w:space="0" w:color="C7D4E2"/>
            </w:tcBorders>
            <w:shd w:fill="F3F6F9"/>
          </w:tcPr>
          <w:p>
            <w:r>
              <w:rPr>
                <w:rFonts w:ascii="Noto Sans" w:hAnsi="Noto Sans"/>
                <w:sz w:val="17"/>
              </w:rPr>
              <w:t>Scadenza</w:t>
            </w:r>
          </w:p>
        </w:tc>
        <w:tc>
          <w:tcPr>
            <w:tcW w:type="dxa" w:w="4929"/>
            <w:tcBorders>
              <w:top w:val="single" w:sz="4" w:space="0" w:color="C7D4E2"/>
              <w:left w:val="single" w:sz="4" w:space="0" w:color="C7D4E2"/>
              <w:bottom w:val="single" w:sz="4" w:space="0" w:color="C7D4E2"/>
              <w:right w:val="single" w:sz="4" w:space="0" w:color="C7D4E2"/>
              <w:insideH w:val="single" w:sz="4" w:space="0" w:color="C7D4E2"/>
              <w:insideV w:val="single" w:sz="4" w:space="0" w:color="C7D4E2"/>
            </w:tcBorders>
            <w:shd w:fill="F3F6F9"/>
          </w:tcPr>
          <w:p>
            <w:r>
              <w:rPr>
                <w:rFonts w:ascii="Noto Sans" w:hAnsi="Noto Sans"/>
                <w:sz w:val="17"/>
              </w:rPr>
              <w:t>expiresAt + cleanup batch; nessuna dipendenza da memoria del Pod.</w:t>
            </w:r>
          </w:p>
        </w:tc>
      </w:tr>
      <w:tr>
        <w:tc>
          <w:tcPr>
            <w:tcW w:type="dxa" w:w="4929"/>
            <w:tcBorders>
              <w:top w:val="single" w:sz="4" w:space="0" w:color="C7D4E2"/>
              <w:left w:val="single" w:sz="4" w:space="0" w:color="C7D4E2"/>
              <w:bottom w:val="single" w:sz="4" w:space="0" w:color="C7D4E2"/>
              <w:right w:val="single" w:sz="4" w:space="0" w:color="C7D4E2"/>
              <w:insideH w:val="single" w:sz="4" w:space="0" w:color="C7D4E2"/>
              <w:insideV w:val="single" w:sz="4" w:space="0" w:color="C7D4E2"/>
            </w:tcBorders>
            <w:shd w:fill="FFFFFF"/>
          </w:tcPr>
          <w:p>
            <w:r>
              <w:rPr>
                <w:rFonts w:ascii="Noto Sans" w:hAnsi="Noto Sans"/>
                <w:sz w:val="17"/>
              </w:rPr>
              <w:t>Caching locale</w:t>
            </w:r>
          </w:p>
        </w:tc>
        <w:tc>
          <w:tcPr>
            <w:tcW w:type="dxa" w:w="4929"/>
            <w:tcBorders>
              <w:top w:val="single" w:sz="4" w:space="0" w:color="C7D4E2"/>
              <w:left w:val="single" w:sz="4" w:space="0" w:color="C7D4E2"/>
              <w:bottom w:val="single" w:sz="4" w:space="0" w:color="C7D4E2"/>
              <w:right w:val="single" w:sz="4" w:space="0" w:color="C7D4E2"/>
              <w:insideH w:val="single" w:sz="4" w:space="0" w:color="C7D4E2"/>
              <w:insideV w:val="single" w:sz="4" w:space="0" w:color="C7D4E2"/>
            </w:tcBorders>
            <w:shd w:fill="FFFFFF"/>
          </w:tcPr>
          <w:p>
            <w:r>
              <w:rPr>
                <w:rFonts w:ascii="Noto Sans" w:hAnsi="Noto Sans"/>
                <w:sz w:val="17"/>
              </w:rPr>
              <w:t>Solo advisory; una cache miss non azzera né ricrea il budget.</w:t>
            </w:r>
          </w:p>
        </w:tc>
      </w:tr>
      <w:tr>
        <w:tc>
          <w:tcPr>
            <w:tcW w:type="dxa" w:w="4929"/>
            <w:tcBorders>
              <w:top w:val="single" w:sz="4" w:space="0" w:color="C7D4E2"/>
              <w:left w:val="single" w:sz="4" w:space="0" w:color="C7D4E2"/>
              <w:bottom w:val="single" w:sz="4" w:space="0" w:color="C7D4E2"/>
              <w:right w:val="single" w:sz="4" w:space="0" w:color="C7D4E2"/>
              <w:insideH w:val="single" w:sz="4" w:space="0" w:color="C7D4E2"/>
              <w:insideV w:val="single" w:sz="4" w:space="0" w:color="C7D4E2"/>
            </w:tcBorders>
            <w:shd w:fill="F3F6F9"/>
          </w:tcPr>
          <w:p>
            <w:r>
              <w:rPr>
                <w:rFonts w:ascii="Noto Sans" w:hAnsi="Noto Sans"/>
                <w:sz w:val="17"/>
              </w:rPr>
              <w:t>Sticky session</w:t>
            </w:r>
          </w:p>
        </w:tc>
        <w:tc>
          <w:tcPr>
            <w:tcW w:type="dxa" w:w="4929"/>
            <w:tcBorders>
              <w:top w:val="single" w:sz="4" w:space="0" w:color="C7D4E2"/>
              <w:left w:val="single" w:sz="4" w:space="0" w:color="C7D4E2"/>
              <w:bottom w:val="single" w:sz="4" w:space="0" w:color="C7D4E2"/>
              <w:right w:val="single" w:sz="4" w:space="0" w:color="C7D4E2"/>
              <w:insideH w:val="single" w:sz="4" w:space="0" w:color="C7D4E2"/>
              <w:insideV w:val="single" w:sz="4" w:space="0" w:color="C7D4E2"/>
            </w:tcBorders>
            <w:shd w:fill="F3F6F9"/>
          </w:tcPr>
          <w:p>
            <w:r>
              <w:rPr>
                <w:rFonts w:ascii="Noto Sans" w:hAnsi="Noto Sans"/>
                <w:sz w:val="17"/>
              </w:rPr>
              <w:t>Non requisito di correttezza e non meccanismo di sicurezza.</w:t>
            </w:r>
          </w:p>
        </w:tc>
      </w:tr>
      <w:tr>
        <w:tc>
          <w:tcPr>
            <w:tcW w:type="dxa" w:w="4929"/>
            <w:tcBorders>
              <w:top w:val="single" w:sz="4" w:space="0" w:color="C7D4E2"/>
              <w:left w:val="single" w:sz="4" w:space="0" w:color="C7D4E2"/>
              <w:bottom w:val="single" w:sz="4" w:space="0" w:color="C7D4E2"/>
              <w:right w:val="single" w:sz="4" w:space="0" w:color="C7D4E2"/>
              <w:insideH w:val="single" w:sz="4" w:space="0" w:color="C7D4E2"/>
              <w:insideV w:val="single" w:sz="4" w:space="0" w:color="C7D4E2"/>
            </w:tcBorders>
            <w:shd w:fill="FFFFFF"/>
          </w:tcPr>
          <w:p>
            <w:r>
              <w:rPr>
                <w:rFonts w:ascii="Noto Sans" w:hAnsi="Noto Sans"/>
                <w:sz w:val="17"/>
              </w:rPr>
              <w:t>Redis/cache distribuita</w:t>
            </w:r>
          </w:p>
        </w:tc>
        <w:tc>
          <w:tcPr>
            <w:tcW w:type="dxa" w:w="4929"/>
            <w:tcBorders>
              <w:top w:val="single" w:sz="4" w:space="0" w:color="C7D4E2"/>
              <w:left w:val="single" w:sz="4" w:space="0" w:color="C7D4E2"/>
              <w:bottom w:val="single" w:sz="4" w:space="0" w:color="C7D4E2"/>
              <w:right w:val="single" w:sz="4" w:space="0" w:color="C7D4E2"/>
              <w:insideH w:val="single" w:sz="4" w:space="0" w:color="C7D4E2"/>
              <w:insideV w:val="single" w:sz="4" w:space="0" w:color="C7D4E2"/>
            </w:tcBorders>
            <w:shd w:fill="FFFFFF"/>
          </w:tcPr>
          <w:p>
            <w:r>
              <w:rPr>
                <w:rFonts w:ascii="Noto Sans" w:hAnsi="Noto Sans"/>
                <w:sz w:val="17"/>
              </w:rPr>
              <w:t>Non baseline obbligatoria; introdotta solo su trigger misurabili di contention/latency.</w:t>
            </w:r>
          </w:p>
        </w:tc>
      </w:tr>
    </w:tbl>
    <w:p>
      <w:pPr>
        <w:pStyle w:val="OUFCode"/>
      </w:pPr>
      <w:r>
        <w:t>query_budget(correlation_id, principal_id, workload_class, window_started_at, expires_at, graph_calls, query_calls, mismatch_calls, nodes_observed, edges_observed, db_time_ms, result_bytes, lock_version)</w:t>
      </w:r>
    </w:p>
    <w:p>
      <w:pPr/>
      <w:r>
        <w:rPr>
          <w:rFonts w:ascii="Noto Sans" w:hAnsi="Noto Sans"/>
        </w:rPr>
        <w:t>Regola GOV-01 — L'operazione consumeBudget deve essere atomica e race-safe. Due Pod concorrenti non possono entrambi accettare costo che, sommato, supera il limite. Sono ammessi UPDATE condizionale, row lock breve o optimistic versioning; il percorso scelto deve essere coperto da test concorrenti.</w:t>
      </w:r>
    </w:p>
    <w:p>
      <w:pPr/>
      <w:r>
        <w:rPr>
          <w:rFonts w:ascii="Noto Sans" w:hAnsi="Noto Sans"/>
        </w:rPr>
        <w:t>Regola GOV-02 — La tabella budget è intentionally high-churn e deve avere tuning indipendente: indici minimi, fillfactor/autovacuum appropriati, cleanup per expiresAt e metriche su dead tuples/lock contention. Il suo lifecycle non deve contaminare le grandi tabelle append-only della UDP.</w:t>
      </w:r>
    </w:p>
    <w:p>
      <w:pPr/>
      <w:r>
        <w:rPr>
          <w:rFonts w:ascii="Noto Sans" w:hAnsi="Noto Sans"/>
        </w:rPr>
        <w:t>Regola GOV-03 — Se p95/p99 della consumeBudget, lock contention o write amplification superano soglie definite dal capacity test, è ammessa una Distributed Budget Store dedicata (es. Redis-compatible) mantenendo identica l'interfaccia BudgetStore. L'introduzione è un Technology Economy Gate, non un prerequisito della prima release.</w:t>
      </w:r>
    </w:p>
    <w:p>
      <w:pPr>
        <w:pStyle w:val="Heading2"/>
      </w:pPr>
      <w:r>
        <w:rPr>
          <w:rFonts w:ascii="Noto Sans" w:hAnsi="Noto Sans"/>
        </w:rPr>
        <w:t>52.5 Separazione Query Execution Budget e Agent Orchestration Budget</w:t>
      </w:r>
    </w:p>
    <w:p>
      <w:pPr/>
      <w:r>
        <w:rPr>
          <w:rFonts w:ascii="Noto Sans" w:hAnsi="Noto Sans"/>
        </w:rPr>
        <w:t>I retry, i mismatch di capability e le richieste respinte prima dell'accesso al datastore non consumano dbExecutionTime, nodesObserved o edgesObserved come una query eseguita, ma non sono gratuiti. Il Governor mantiene due budget correlati: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tcBorders>
              <w:top w:val="single" w:sz="4" w:space="0" w:color="C7D4E2"/>
              <w:left w:val="single" w:sz="4" w:space="0" w:color="C7D4E2"/>
              <w:bottom w:val="single" w:sz="4" w:space="0" w:color="C7D4E2"/>
              <w:right w:val="single" w:sz="4" w:space="0" w:color="C7D4E2"/>
              <w:insideH w:val="single" w:sz="4" w:space="0" w:color="C7D4E2"/>
              <w:insideV w:val="single" w:sz="4" w:space="0" w:color="C7D4E2"/>
            </w:tcBorders>
            <w:shd w:fill="0B4F6C"/>
          </w:tcPr>
          <w:p>
            <w:r>
              <w:rPr>
                <w:rFonts w:ascii="Noto Sans" w:hAnsi="Noto Sans"/>
                <w:b/>
                <w:color w:val="FFFFFF"/>
                <w:sz w:val="17"/>
              </w:rPr>
              <w:t>Budget</w:t>
            </w:r>
          </w:p>
        </w:tc>
        <w:tc>
          <w:tcPr>
            <w:tcW w:type="dxa" w:w="3286"/>
            <w:tcBorders>
              <w:top w:val="single" w:sz="4" w:space="0" w:color="C7D4E2"/>
              <w:left w:val="single" w:sz="4" w:space="0" w:color="C7D4E2"/>
              <w:bottom w:val="single" w:sz="4" w:space="0" w:color="C7D4E2"/>
              <w:right w:val="single" w:sz="4" w:space="0" w:color="C7D4E2"/>
              <w:insideH w:val="single" w:sz="4" w:space="0" w:color="C7D4E2"/>
              <w:insideV w:val="single" w:sz="4" w:space="0" w:color="C7D4E2"/>
            </w:tcBorders>
            <w:shd w:fill="0B4F6C"/>
          </w:tcPr>
          <w:p>
            <w:r>
              <w:rPr>
                <w:rFonts w:ascii="Noto Sans" w:hAnsi="Noto Sans"/>
                <w:b/>
                <w:color w:val="FFFFFF"/>
                <w:sz w:val="17"/>
              </w:rPr>
              <w:t>Metriche tipiche</w:t>
            </w:r>
          </w:p>
        </w:tc>
        <w:tc>
          <w:tcPr>
            <w:tcW w:type="dxa" w:w="3286"/>
            <w:tcBorders>
              <w:top w:val="single" w:sz="4" w:space="0" w:color="C7D4E2"/>
              <w:left w:val="single" w:sz="4" w:space="0" w:color="C7D4E2"/>
              <w:bottom w:val="single" w:sz="4" w:space="0" w:color="C7D4E2"/>
              <w:right w:val="single" w:sz="4" w:space="0" w:color="C7D4E2"/>
              <w:insideH w:val="single" w:sz="4" w:space="0" w:color="C7D4E2"/>
              <w:insideV w:val="single" w:sz="4" w:space="0" w:color="C7D4E2"/>
            </w:tcBorders>
            <w:shd w:fill="0B4F6C"/>
          </w:tcPr>
          <w:p>
            <w:r>
              <w:rPr>
                <w:rFonts w:ascii="Noto Sans" w:hAnsi="Noto Sans"/>
                <w:b/>
                <w:color w:val="FFFFFF"/>
                <w:sz w:val="17"/>
              </w:rPr>
              <w:t>Scopo</w:t>
            </w:r>
          </w:p>
        </w:tc>
      </w:tr>
      <w:tr>
        <w:tc>
          <w:tcPr>
            <w:tcW w:type="dxa" w:w="3286"/>
            <w:tcBorders>
              <w:top w:val="single" w:sz="4" w:space="0" w:color="C7D4E2"/>
              <w:left w:val="single" w:sz="4" w:space="0" w:color="C7D4E2"/>
              <w:bottom w:val="single" w:sz="4" w:space="0" w:color="C7D4E2"/>
              <w:right w:val="single" w:sz="4" w:space="0" w:color="C7D4E2"/>
              <w:insideH w:val="single" w:sz="4" w:space="0" w:color="C7D4E2"/>
              <w:insideV w:val="single" w:sz="4" w:space="0" w:color="C7D4E2"/>
            </w:tcBorders>
            <w:shd w:fill="FFFFFF"/>
          </w:tcPr>
          <w:p>
            <w:r>
              <w:rPr>
                <w:rFonts w:ascii="Noto Sans" w:hAnsi="Noto Sans"/>
                <w:sz w:val="17"/>
              </w:rPr>
              <w:t>Query Execution Budget</w:t>
            </w:r>
          </w:p>
        </w:tc>
        <w:tc>
          <w:tcPr>
            <w:tcW w:type="dxa" w:w="3286"/>
            <w:tcBorders>
              <w:top w:val="single" w:sz="4" w:space="0" w:color="C7D4E2"/>
              <w:left w:val="single" w:sz="4" w:space="0" w:color="C7D4E2"/>
              <w:bottom w:val="single" w:sz="4" w:space="0" w:color="C7D4E2"/>
              <w:right w:val="single" w:sz="4" w:space="0" w:color="C7D4E2"/>
              <w:insideH w:val="single" w:sz="4" w:space="0" w:color="C7D4E2"/>
              <w:insideV w:val="single" w:sz="4" w:space="0" w:color="C7D4E2"/>
            </w:tcBorders>
            <w:shd w:fill="FFFFFF"/>
          </w:tcPr>
          <w:p>
            <w:r>
              <w:rPr>
                <w:rFonts w:ascii="Noto Sans" w:hAnsi="Noto Sans"/>
                <w:sz w:val="17"/>
              </w:rPr>
              <w:t>dbExecutionTime, rows/nodes/edges observed, resultBytes, spatialArea, query count</w:t>
            </w:r>
          </w:p>
        </w:tc>
        <w:tc>
          <w:tcPr>
            <w:tcW w:type="dxa" w:w="3286"/>
            <w:tcBorders>
              <w:top w:val="single" w:sz="4" w:space="0" w:color="C7D4E2"/>
              <w:left w:val="single" w:sz="4" w:space="0" w:color="C7D4E2"/>
              <w:bottom w:val="single" w:sz="4" w:space="0" w:color="C7D4E2"/>
              <w:right w:val="single" w:sz="4" w:space="0" w:color="C7D4E2"/>
              <w:insideH w:val="single" w:sz="4" w:space="0" w:color="C7D4E2"/>
              <w:insideV w:val="single" w:sz="4" w:space="0" w:color="C7D4E2"/>
            </w:tcBorders>
            <w:shd w:fill="FFFFFF"/>
          </w:tcPr>
          <w:p>
            <w:r>
              <w:rPr>
                <w:rFonts w:ascii="Noto Sans" w:hAnsi="Noto Sans"/>
                <w:sz w:val="17"/>
              </w:rPr>
              <w:t>Protegge PostgreSQL/PostGIS e workload serving.</w:t>
            </w:r>
          </w:p>
        </w:tc>
      </w:tr>
      <w:tr>
        <w:tc>
          <w:tcPr>
            <w:tcW w:type="dxa" w:w="3286"/>
            <w:tcBorders>
              <w:top w:val="single" w:sz="4" w:space="0" w:color="C7D4E2"/>
              <w:left w:val="single" w:sz="4" w:space="0" w:color="C7D4E2"/>
              <w:bottom w:val="single" w:sz="4" w:space="0" w:color="C7D4E2"/>
              <w:right w:val="single" w:sz="4" w:space="0" w:color="C7D4E2"/>
              <w:insideH w:val="single" w:sz="4" w:space="0" w:color="C7D4E2"/>
              <w:insideV w:val="single" w:sz="4" w:space="0" w:color="C7D4E2"/>
            </w:tcBorders>
            <w:shd w:fill="F3F6F9"/>
          </w:tcPr>
          <w:p>
            <w:r>
              <w:rPr>
                <w:rFonts w:ascii="Noto Sans" w:hAnsi="Noto Sans"/>
                <w:sz w:val="17"/>
              </w:rPr>
              <w:t>Agent Orchestration Budget</w:t>
            </w:r>
          </w:p>
        </w:tc>
        <w:tc>
          <w:tcPr>
            <w:tcW w:type="dxa" w:w="3286"/>
            <w:tcBorders>
              <w:top w:val="single" w:sz="4" w:space="0" w:color="C7D4E2"/>
              <w:left w:val="single" w:sz="4" w:space="0" w:color="C7D4E2"/>
              <w:bottom w:val="single" w:sz="4" w:space="0" w:color="C7D4E2"/>
              <w:right w:val="single" w:sz="4" w:space="0" w:color="C7D4E2"/>
              <w:insideH w:val="single" w:sz="4" w:space="0" w:color="C7D4E2"/>
              <w:insideV w:val="single" w:sz="4" w:space="0" w:color="C7D4E2"/>
            </w:tcBorders>
            <w:shd w:fill="F3F6F9"/>
          </w:tcPr>
          <w:p>
            <w:r>
              <w:rPr>
                <w:rFonts w:ascii="Noto Sans" w:hAnsi="Noto Sans"/>
                <w:sz w:val="17"/>
              </w:rPr>
              <w:t>toolCalls, capabilityMismatchCount, replanningAttempts, repeatedEquivalentRequests</w:t>
            </w:r>
          </w:p>
        </w:tc>
        <w:tc>
          <w:tcPr>
            <w:tcW w:type="dxa" w:w="3286"/>
            <w:tcBorders>
              <w:top w:val="single" w:sz="4" w:space="0" w:color="C7D4E2"/>
              <w:left w:val="single" w:sz="4" w:space="0" w:color="C7D4E2"/>
              <w:bottom w:val="single" w:sz="4" w:space="0" w:color="C7D4E2"/>
              <w:right w:val="single" w:sz="4" w:space="0" w:color="C7D4E2"/>
              <w:insideH w:val="single" w:sz="4" w:space="0" w:color="C7D4E2"/>
              <w:insideV w:val="single" w:sz="4" w:space="0" w:color="C7D4E2"/>
            </w:tcBorders>
            <w:shd w:fill="F3F6F9"/>
          </w:tcPr>
          <w:p>
            <w:r>
              <w:rPr>
                <w:rFonts w:ascii="Noto Sans" w:hAnsi="Noto Sans"/>
                <w:sz w:val="17"/>
              </w:rPr>
              <w:t>Evita loop agentici e retry infiniti senza contabilizzarli come DB work.</w:t>
            </w:r>
          </w:p>
        </w:tc>
      </w:tr>
    </w:tbl>
    <w:p>
      <w:pPr>
        <w:pStyle w:val="Heading2"/>
      </w:pPr>
      <w:r>
        <w:rPr>
          <w:rFonts w:ascii="Noto Sans" w:hAnsi="Noto Sans"/>
        </w:rPr>
        <w:t>52.6 Timeout e bulkhead del BudgetStore</w:t>
      </w:r>
    </w:p>
    <w:p>
      <w:pPr/>
      <w:r>
        <w:rPr>
          <w:rFonts w:ascii="Noto Sans" w:hAnsi="Noto Sans"/>
        </w:rPr>
        <w:t>Il percorso consumeBudget e intenzionalmente molto breve e non deve trasformarsi in un punto di accodamento sul pool JDBC. L implementazione Spring Boot deve usare un timeout transazionale/statement dedicato e significativamente inferiore a quello delle normali query applicative. Il valore assoluto non e congelato dal Blue Paper: viene dimensionato tramite load test e capacity test per evitare falsi timeout dovuti a jitter, CPU throttling o checkpoint PostgreSQL.</w:t>
      </w:r>
    </w:p>
    <w:p>
      <w:pPr/>
      <w:r>
        <w:rPr>
          <w:rFonts w:ascii="Noto Sans" w:hAnsi="Noto Sans"/>
        </w:rPr>
        <w:t>Regola GOV-04 - consumeBudget deve fallire rapidamente e in modalita fail-closed quando non riesce a completare l aggiornamento atomico entro il timeout dedicato. Il timeout di HikariCP non e il meccanismo primario di protezione: lock/statement/transaction timeout devono impedire che richieste agentiche concorrenti occupino a lungo connessioni del pool.</w:t>
      </w:r>
    </w:p>
    <w:p>
      <w:pPr/>
      <w:r>
        <w:rPr>
          <w:rFonts w:ascii="Noto Sans" w:hAnsi="Noto Sans"/>
        </w:rPr>
        <w:t>Regola GOV-05 - Il BudgetStore deve essere protetto da un bulkhead applicativo/concurrency limit dedicato, implementabile con semaforo o executor bounded, separato dalle normali richieste di serving. Una tempesta di tool call non deve poter saturare i worker thread o tutte le connessioni HikariCP in attesa del contatore di budget.</w:t>
      </w:r>
    </w:p>
    <w:p>
      <w:pPr>
        <w:pStyle w:val="OUFCode"/>
      </w:pPr>
      <w:r>
        <w:t>Profilo iniziale di collaudo, non normativo: timeout consumeBudget nell ordine di decine di millisecondi, con lock/statement timeout piu basso del transaction timeout. I valori finali devono essere derivati da benchmark sul cluster target e osservati con metriche p95/p99, timeout rate, queue depth, Hikari active/pending e lock wait.</w:t>
      </w:r>
    </w:p>
    <w:p>
      <w:pPr>
        <w:pStyle w:val="Heading1"/>
      </w:pPr>
      <w:r>
        <w:rPr>
          <w:rFonts w:ascii="Noto Sans" w:hAnsi="Noto Sans" w:eastAsia="Noto Sans"/>
        </w:rPr>
        <w:t>53. Serving API v1</w:t>
      </w:r>
    </w:p>
    <w:p>
      <w:r>
        <w:rPr>
          <w:rFonts w:ascii="Noto Sans" w:hAnsi="Noto Sans" w:eastAsia="Noto Sans"/>
        </w:rPr>
        <w:t>La baseline congela il profilo delle API di serving. I path sono normativi come famiglie di capability; la specifica OpenAPI 3.1 di implementazione dovrà rispettarne semantica, security, pagination e error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0B4F6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Metodo / path logico</w:t>
            </w:r>
          </w:p>
        </w:tc>
        <w:tc>
          <w:tcPr>
            <w:tcW w:type="dxa" w:w="3286"/>
            <w:vAlign w:val="center"/>
            <w:shd w:fill="0B4F6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Capability</w:t>
            </w:r>
          </w:p>
        </w:tc>
        <w:tc>
          <w:tcPr>
            <w:tcW w:type="dxa" w:w="3286"/>
            <w:vAlign w:val="center"/>
            <w:shd w:fill="0B4F6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Semantica</w:t>
            </w:r>
          </w:p>
        </w:tc>
      </w:tr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GET /api/udp/v1/objects/{id}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urban.object.read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Current canonical view autorizzata.</w:t>
            </w:r>
          </w:p>
        </w:tc>
      </w:tr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GET /api/udp/v1/objects/{id}/history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urban.object.history.read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Revisioni paginated; supporto asOf.</w:t>
            </w:r>
          </w:p>
        </w:tc>
      </w:tr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GET /api/udp/v1/objects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urban.object.search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Ricerca filtrata/paginata su campi indicizzati.</w:t>
            </w:r>
          </w:p>
        </w:tc>
      </w:tr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GET /api/udp/v1/objects/{id}/relationships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urban.relationship.read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Edge autorizzati e target summary.</w:t>
            </w:r>
          </w:p>
        </w:tc>
      </w:tr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POST /api/udp/v1/graph/traverse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urban.graph.traverse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/>
                <w:sz w:val="17"/>
              </w:rPr>
              <w:t>Traversal ricorsivo bounded; planner applicativo sceglie strategia fisica sicura.</w:t>
            </w:r>
          </w:p>
        </w:tc>
      </w:tr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POST /api/udp/v1/spatial/search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urban.spatial.search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Query PostGIS governate.</w:t>
            </w:r>
          </w:p>
        </w:tc>
      </w:tr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GET /api/udp/v1/objects/{id}/lineage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lineage.object.read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Lineage oggetto con redaction.</w:t>
            </w:r>
          </w:p>
        </w:tc>
      </w:tr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GET /api/udp/v1/objects/{id}/properties/{property}/lineage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lineage.property.read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Lineage property-level.</w:t>
            </w:r>
          </w:p>
        </w:tc>
      </w:tr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POST /api/udp/v1/exports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urban.export.create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Job asincrono e snapshot della policy/projection.</w:t>
            </w:r>
          </w:p>
        </w:tc>
      </w:tr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GET /api/udp/v1/exports/{jobId}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urban.export.read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Status/metadata; download separato e autorizzato.</w:t>
            </w:r>
          </w:p>
        </w:tc>
      </w:tr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GET /api/udp/v1/resolution/issues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urban.resolution.review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Issue/candidati di resolution.</w:t>
            </w:r>
          </w:p>
        </w:tc>
      </w:tr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POST /api/udp/v1/resolution/{id}/decisions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urban.resolution.merge/split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Decisione governata secondo action type.</w:t>
            </w:r>
          </w:p>
        </w:tc>
      </w:tr>
      <w:tr>
        <w:tc>
          <w:tcPr>
            <w:tcW w:type="dxa" w:w="3286"/>
          </w:tcPr>
          <w:p>
            <w:r>
              <w:rPr>
                <w:rFonts w:ascii="Noto Sans" w:hAnsi="Noto Sans"/>
                <w:sz w:val="17"/>
              </w:rPr>
              <w:t>POST /api/udp/v1/objects/related-search</w:t>
            </w:r>
          </w:p>
        </w:tc>
        <w:tc>
          <w:tcPr>
            <w:tcW w:type="dxa" w:w="3286"/>
          </w:tcPr>
          <w:p>
            <w:r>
              <w:rPr>
                <w:rFonts w:ascii="Noto Sans" w:hAnsi="Noto Sans"/>
                <w:sz w:val="17"/>
              </w:rPr>
              <w:t>urban.object.related_search</w:t>
            </w:r>
          </w:p>
        </w:tc>
        <w:tc>
          <w:tcPr>
            <w:tcW w:type="dxa" w:w="3286"/>
          </w:tcPr>
          <w:p>
            <w:r>
              <w:rPr>
                <w:rFonts w:ascii="Noto Sans" w:hAnsi="Noto Sans"/>
                <w:sz w:val="17"/>
              </w:rPr>
              <w:t>Pattern tipizzato cross-domain tradotto server-side.</w:t>
            </w:r>
          </w:p>
        </w:tc>
      </w:tr>
      <w:tr>
        <w:tc>
          <w:tcPr>
            <w:tcW w:type="dxa" w:w="3286"/>
          </w:tcPr>
          <w:p>
            <w:r>
              <w:rPr>
                <w:rFonts w:ascii="Noto Sans" w:hAnsi="Noto Sans"/>
                <w:sz w:val="17"/>
              </w:rPr>
              <w:t>POST /api/udp/v1/spatial/intersection-search</w:t>
            </w:r>
          </w:p>
        </w:tc>
        <w:tc>
          <w:tcPr>
            <w:tcW w:type="dxa" w:w="3286"/>
          </w:tcPr>
          <w:p>
            <w:r>
              <w:rPr>
                <w:rFonts w:ascii="Noto Sans" w:hAnsi="Noto Sans"/>
                <w:sz w:val="17"/>
              </w:rPr>
              <w:t>urban.spatial.intersection_search</w:t>
            </w:r>
          </w:p>
        </w:tc>
        <w:tc>
          <w:tcPr>
            <w:tcW w:type="dxa" w:w="3286"/>
          </w:tcPr>
          <w:p>
            <w:r>
              <w:rPr>
                <w:rFonts w:ascii="Noto Sans" w:hAnsi="Noto Sans"/>
                <w:sz w:val="17"/>
              </w:rPr>
              <w:t>Correlazione spaziale/topologica tipizzata con cost gate.</w:t>
            </w:r>
          </w:p>
        </w:tc>
      </w:tr>
      <w:tr>
        <w:tc>
          <w:tcPr>
            <w:tcW w:type="dxa" w:w="3286"/>
          </w:tcPr>
          <w:p>
            <w:r>
              <w:rPr>
                <w:rFonts w:ascii="Noto Sans" w:hAnsi="Noto Sans"/>
                <w:sz w:val="17"/>
              </w:rPr>
              <w:t>GET /api/udp/v1/objects/{id}/neighbors</w:t>
            </w:r>
          </w:p>
        </w:tc>
        <w:tc>
          <w:tcPr>
            <w:tcW w:type="dxa" w:w="3286"/>
          </w:tcPr>
          <w:p>
            <w:r>
              <w:rPr>
                <w:rFonts w:ascii="Noto Sans" w:hAnsi="Noto Sans"/>
                <w:sz w:val="17"/>
              </w:rPr>
              <w:t>urban.graph.neighbors</w:t>
            </w:r>
          </w:p>
        </w:tc>
        <w:tc>
          <w:tcPr>
            <w:tcW w:type="dxa" w:w="3286"/>
          </w:tcPr>
          <w:p>
            <w:r>
              <w:rPr>
                <w:rFonts w:ascii="Noto Sans" w:hAnsi="Noto Sans"/>
                <w:sz w:val="17"/>
              </w:rPr>
              <w:t>Adiacenza 1-hop bounded; projection minima; base per progressive agentic traversal.</w:t>
            </w:r>
          </w:p>
        </w:tc>
      </w:tr>
    </w:tbl>
    <w:p/>
    <w:p>
      <w:pPr>
        <w:pStyle w:val="Heading2"/>
      </w:pPr>
      <w:r>
        <w:rPr>
          <w:rFonts w:ascii="Noto Sans" w:hAnsi="Noto Sans" w:eastAsia="Noto Sans"/>
        </w:rPr>
        <w:t>53.1 API headers e correlation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0B4F6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Header</w:t>
            </w:r>
          </w:p>
        </w:tc>
        <w:tc>
          <w:tcPr>
            <w:tcW w:type="dxa" w:w="4929"/>
            <w:vAlign w:val="center"/>
            <w:shd w:fill="0B4F6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Authorization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Bearer token validato dal Gateway e/o servizio secondo trust model.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X-Correlation-ID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Correlazione end-to-end obbligatoria; generato se assente secondo policy.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If-None-Match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Conditional GET su rappresentazioni current/history quando applicabile.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If-Match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Operazioni amministrative concorrenti su resource versioned.</w:t>
            </w:r>
          </w:p>
        </w:tc>
      </w:tr>
      <w:tr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Idempotency-Key</w:t>
            </w:r>
          </w:p>
        </w:tc>
        <w:tc>
          <w:tcPr>
            <w:tcW w:type="dxa" w:w="49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POST con side effect amministrativo/job creation quando previsto.</w:t>
            </w:r>
          </w:p>
        </w:tc>
      </w:tr>
    </w:tbl>
    <w:p/>
    <w:p>
      <w:pPr>
        <w:pStyle w:val="Heading1"/>
      </w:pPr>
      <w:r>
        <w:rPr>
          <w:rFonts w:ascii="Noto Sans" w:hAnsi="Noto Sans" w:eastAsia="Noto Sans"/>
        </w:rPr>
        <w:t>54. Query contract: filtri, pagination e limiti</w:t>
      </w:r>
    </w:p>
    <w:p>
      <w:r>
        <w:rPr>
          <w:rFonts w:ascii="Noto Sans" w:hAnsi="Noto Sans" w:eastAsia="Noto Sans"/>
        </w:rPr>
        <w:t>Le query di serving sono bounded. Il backend rifiuta richieste che non possono rispettare query budget, privacy guard o indici previsti, anziché eseguire scansioni indiscriminate. La pagination usa cursor opaco; offset è ammesso solo su dataset piccoli/non mutabili quando esplicitamente supportato.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POST /api/udp/v1/graph/traverse</w:t>
            </w:r>
            <w:r>
              <w:rPr>
                <w:rFonts w:ascii="Noto Sans" w:hAnsi="Noto Sans" w:eastAsia="Noto Sans" w:cs="Noto Sans"/>
                <w:sz w:val="17"/>
              </w:rPr>
              <w:br/>
            </w:r>
            <w:r>
              <w:rPr>
                <w:rFonts w:ascii="Noto Sans" w:hAnsi="Noto Sans" w:eastAsia="Noto Sans" w:cs="Noto Sans"/>
                <w:sz w:val="17"/>
              </w:rPr>
              <w:t>{</w:t>
            </w:r>
            <w:r>
              <w:rPr>
                <w:rFonts w:ascii="Noto Sans" w:hAnsi="Noto Sans" w:eastAsia="Noto Sans" w:cs="Noto Sans"/>
                <w:sz w:val="17"/>
              </w:rPr>
              <w:br/>
            </w:r>
            <w:r>
              <w:rPr>
                <w:rFonts w:ascii="Noto Sans" w:hAnsi="Noto Sans" w:eastAsia="Noto Sans" w:cs="Noto Sans"/>
                <w:sz w:val="17"/>
              </w:rPr>
              <w:t xml:space="preserve">  "startObjectId": "DEHOR-471",</w:t>
            </w:r>
            <w:r>
              <w:rPr>
                <w:rFonts w:ascii="Noto Sans" w:hAnsi="Noto Sans" w:eastAsia="Noto Sans" w:cs="Noto Sans"/>
                <w:sz w:val="17"/>
              </w:rPr>
              <w:br/>
            </w:r>
            <w:r>
              <w:rPr>
                <w:rFonts w:ascii="Noto Sans" w:hAnsi="Noto Sans" w:eastAsia="Noto Sans" w:cs="Noto Sans"/>
                <w:sz w:val="17"/>
              </w:rPr>
              <w:t xml:space="preserve">  "relationTypes": ["ouf:locatedOn", "ouf:belongsTo"],</w:t>
            </w:r>
            <w:r>
              <w:rPr>
                <w:rFonts w:ascii="Noto Sans" w:hAnsi="Noto Sans" w:eastAsia="Noto Sans" w:cs="Noto Sans"/>
                <w:sz w:val="17"/>
              </w:rPr>
              <w:br/>
            </w:r>
            <w:r>
              <w:rPr>
                <w:rFonts w:ascii="Noto Sans" w:hAnsi="Noto Sans" w:eastAsia="Noto Sans" w:cs="Noto Sans"/>
                <w:sz w:val="17"/>
              </w:rPr>
              <w:t xml:space="preserve">  "maxDepth": 3,</w:t>
            </w:r>
            <w:r>
              <w:rPr>
                <w:rFonts w:ascii="Noto Sans" w:hAnsi="Noto Sans" w:eastAsia="Noto Sans" w:cs="Noto Sans"/>
                <w:sz w:val="17"/>
              </w:rPr>
              <w:br/>
            </w:r>
            <w:r>
              <w:rPr>
                <w:rFonts w:ascii="Noto Sans" w:hAnsi="Noto Sans" w:eastAsia="Noto Sans" w:cs="Noto Sans"/>
                <w:sz w:val="17"/>
              </w:rPr>
              <w:t xml:space="preserve">  "maxNodes": 200,</w:t>
            </w:r>
            <w:r>
              <w:rPr>
                <w:rFonts w:ascii="Noto Sans" w:hAnsi="Noto Sans" w:eastAsia="Noto Sans" w:cs="Noto Sans"/>
                <w:sz w:val="17"/>
              </w:rPr>
              <w:br/>
            </w:r>
            <w:r>
              <w:rPr>
                <w:rFonts w:ascii="Noto Sans" w:hAnsi="Noto Sans" w:eastAsia="Noto Sans" w:cs="Noto Sans"/>
                <w:sz w:val="17"/>
              </w:rPr>
              <w:t xml:space="preserve">  "asOf": null,</w:t>
            </w:r>
            <w:r>
              <w:rPr>
                <w:rFonts w:ascii="Noto Sans" w:hAnsi="Noto Sans" w:eastAsia="Noto Sans" w:cs="Noto Sans"/>
                <w:sz w:val="17"/>
              </w:rPr>
              <w:br/>
            </w:r>
            <w:r>
              <w:rPr>
                <w:rFonts w:ascii="Noto Sans" w:hAnsi="Noto Sans" w:eastAsia="Noto Sans" w:cs="Noto Sans"/>
                <w:sz w:val="17"/>
              </w:rPr>
              <w:t xml:space="preserve">  "projection": ["id", "type", "label"]</w:t>
            </w:r>
            <w:r>
              <w:rPr>
                <w:rFonts w:ascii="Noto Sans" w:hAnsi="Noto Sans" w:eastAsia="Noto Sans" w:cs="Noto Sans"/>
                <w:sz w:val="17"/>
              </w:rPr>
              <w:br/>
            </w:r>
            <w:r>
              <w:rPr>
                <w:rFonts w:ascii="Noto Sans" w:hAnsi="Noto Sans" w:eastAsia="Noto Sans" w:cs="Noto Sans"/>
                <w:sz w:val="17"/>
              </w:rPr>
              <w:t>}</w:t>
            </w:r>
          </w:p>
        </w:tc>
      </w:tr>
    </w:tbl>
    <w:p/>
    <w:p>
      <w:pPr>
        <w:pStyle w:val="Heading1"/>
      </w:pPr>
      <w:r>
        <w:rPr>
          <w:rFonts w:ascii="Noto Sans" w:hAnsi="Noto Sans" w:eastAsia="Noto Sans"/>
        </w:rPr>
        <w:t>55. Problem Details ed error model</w:t>
      </w:r>
    </w:p>
    <w:p>
      <w:r>
        <w:rPr>
          <w:rFonts w:ascii="Noto Sans" w:hAnsi="Noto Sans" w:eastAsia="Noto Sans"/>
        </w:rPr>
        <w:t>Le API adottano Problem Details compatibile RFC 9457/HTTP problem details e codici OUF stabili. Il detail non deve includere valori protetti, SQL, path fisici dello storage o stack trace.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0B4F6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Codice OUF</w:t>
            </w:r>
          </w:p>
        </w:tc>
        <w:tc>
          <w:tcPr>
            <w:tcW w:type="dxa" w:w="3286"/>
            <w:vAlign w:val="center"/>
            <w:shd w:fill="0B4F6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HTTP</w:t>
            </w:r>
          </w:p>
        </w:tc>
        <w:tc>
          <w:tcPr>
            <w:tcW w:type="dxa" w:w="3286"/>
            <w:vAlign w:val="center"/>
            <w:shd w:fill="0B4F6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Significato</w:t>
            </w:r>
          </w:p>
        </w:tc>
      </w:tr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UDP-AUTH-001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401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Identità assente/non valida.</w:t>
            </w:r>
          </w:p>
        </w:tc>
      </w:tr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UDP-AUTH-002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403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Capability o policy non soddisfatta.</w:t>
            </w:r>
          </w:p>
        </w:tc>
      </w:tr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UDP-RES-001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404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Oggetto non visibile/non esistente secondo anti-enumeration policy.</w:t>
            </w:r>
          </w:p>
        </w:tc>
      </w:tr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UDP-CONC-001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409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Conflitto di versione/decisione concorrente.</w:t>
            </w:r>
          </w:p>
        </w:tc>
      </w:tr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UDP-QUERY-001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422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Query semanticamente non accettabile o budget ecceduto.</w:t>
            </w:r>
          </w:p>
        </w:tc>
      </w:tr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UDP-QUERY-002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429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Rate/query limit.</w:t>
            </w:r>
          </w:p>
        </w:tc>
      </w:tr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UDP-LAKE-001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503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Object storage non disponibile.</w:t>
            </w:r>
          </w:p>
        </w:tc>
      </w:tr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UDP-DB-001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503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Persistence backend non disponibile.</w:t>
            </w:r>
          </w:p>
        </w:tc>
      </w:tr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UDP-INTEGRITY-001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500/503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Checksum/manifest inconsistente; oggetto non servito come valido.</w:t>
            </w:r>
          </w:p>
        </w:tc>
      </w:tr>
      <w:tr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UDP-EXPORT-001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409/422</w:t>
            </w:r>
          </w:p>
        </w:tc>
        <w:tc>
          <w:tcPr>
            <w:tcW w:type="dxa" w:w="3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Export non consentito o projection non autorizzata.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{</w:t>
            </w:r>
            <w:r>
              <w:rPr>
                <w:rFonts w:ascii="Noto Sans" w:hAnsi="Noto Sans" w:eastAsia="Noto Sans" w:cs="Noto Sans"/>
                <w:sz w:val="17"/>
              </w:rPr>
              <w:br/>
            </w:r>
            <w:r>
              <w:rPr>
                <w:rFonts w:ascii="Noto Sans" w:hAnsi="Noto Sans" w:eastAsia="Noto Sans" w:cs="Noto Sans"/>
                <w:sz w:val="17"/>
              </w:rPr>
              <w:t xml:space="preserve">  "type": "https://ouf.trieste.it/problems/udp/query-budget",</w:t>
            </w:r>
            <w:r>
              <w:rPr>
                <w:rFonts w:ascii="Noto Sans" w:hAnsi="Noto Sans" w:eastAsia="Noto Sans" w:cs="Noto Sans"/>
                <w:sz w:val="17"/>
              </w:rPr>
              <w:br/>
            </w:r>
            <w:r>
              <w:rPr>
                <w:rFonts w:ascii="Noto Sans" w:hAnsi="Noto Sans" w:eastAsia="Noto Sans" w:cs="Noto Sans"/>
                <w:sz w:val="17"/>
              </w:rPr>
              <w:t xml:space="preserve">  "title": "Query budget exceeded",</w:t>
            </w:r>
            <w:r>
              <w:rPr>
                <w:rFonts w:ascii="Noto Sans" w:hAnsi="Noto Sans" w:eastAsia="Noto Sans" w:cs="Noto Sans"/>
                <w:sz w:val="17"/>
              </w:rPr>
              <w:br/>
            </w:r>
            <w:r>
              <w:rPr>
                <w:rFonts w:ascii="Noto Sans" w:hAnsi="Noto Sans" w:eastAsia="Noto Sans" w:cs="Noto Sans"/>
                <w:sz w:val="17"/>
              </w:rPr>
              <w:t xml:space="preserve">  "status": 422,</w:t>
            </w:r>
            <w:r>
              <w:rPr>
                <w:rFonts w:ascii="Noto Sans" w:hAnsi="Noto Sans" w:eastAsia="Noto Sans" w:cs="Noto Sans"/>
                <w:sz w:val="17"/>
              </w:rPr>
              <w:br/>
            </w:r>
            <w:r>
              <w:rPr>
                <w:rFonts w:ascii="Noto Sans" w:hAnsi="Noto Sans" w:eastAsia="Noto Sans" w:cs="Noto Sans"/>
                <w:sz w:val="17"/>
              </w:rPr>
              <w:t xml:space="preserve">  "code": "UDP-QUERY-001",</w:t>
            </w:r>
            <w:r>
              <w:rPr>
                <w:rFonts w:ascii="Noto Sans" w:hAnsi="Noto Sans" w:eastAsia="Noto Sans" w:cs="Noto Sans"/>
                <w:sz w:val="17"/>
              </w:rPr>
              <w:br/>
            </w:r>
            <w:r>
              <w:rPr>
                <w:rFonts w:ascii="Noto Sans" w:hAnsi="Noto Sans" w:eastAsia="Noto Sans" w:cs="Noto Sans"/>
                <w:sz w:val="17"/>
              </w:rPr>
              <w:t xml:space="preserve">  "correlationId": "01J...",</w:t>
            </w:r>
            <w:r>
              <w:rPr>
                <w:rFonts w:ascii="Noto Sans" w:hAnsi="Noto Sans" w:eastAsia="Noto Sans" w:cs="Noto Sans"/>
                <w:sz w:val="17"/>
              </w:rPr>
              <w:br/>
            </w:r>
            <w:r>
              <w:rPr>
                <w:rFonts w:ascii="Noto Sans" w:hAnsi="Noto Sans" w:eastAsia="Noto Sans" w:cs="Noto Sans"/>
                <w:sz w:val="17"/>
              </w:rPr>
              <w:t xml:space="preserve">  "detail": "La query richiesta supera i limiti operativi consentiti."</w:t>
            </w:r>
            <w:r>
              <w:rPr>
                <w:rFonts w:ascii="Noto Sans" w:hAnsi="Noto Sans" w:eastAsia="Noto Sans" w:cs="Noto Sans"/>
                <w:sz w:val="17"/>
              </w:rPr>
              <w:br/>
            </w:r>
            <w:r>
              <w:rPr>
                <w:rFonts w:ascii="Noto Sans" w:hAnsi="Noto Sans" w:eastAsia="Noto Sans" w:cs="Noto Sans"/>
                <w:sz w:val="17"/>
              </w:rPr>
              <w:t>}</w:t>
            </w:r>
          </w:p>
        </w:tc>
      </w:tr>
    </w:tbl>
    <w:p/>
    <w:p>
      <w:pPr>
        <w:pStyle w:val="Heading1"/>
      </w:pPr>
      <w:r>
        <w:rPr>
          <w:rFonts w:ascii="Noto Sans" w:hAnsi="Noto Sans" w:eastAsia="Noto Sans"/>
        </w:rPr>
        <w:t>56. Contratto end-to-end Ingestion → Lake → Registry → Serving</w:t>
      </w:r>
    </w:p>
    <w:p>
      <w:r>
        <w:rPr>
          <w:rFonts w:ascii="Noto Sans" w:hAnsi="Noto Sans" w:eastAsia="Noto Sans"/>
        </w:rPr>
        <w:t>Il passaggio end-to-end deve consentire di provare che un payload ricevuto dal Runtime è stato reso durevole, materializzato e servito senza perdita di riferimenti di provenance. Il committed watermark del Runtime può avanzare solo secondo il durable handoff già congelato; la materializzazione successiva è idempotente e riconciliabile.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Ingestion Runtime</w:t>
            </w:r>
            <w:r>
              <w:rPr>
                <w:rFonts w:ascii="Noto Sans" w:hAnsi="Noto Sans" w:eastAsia="Noto Sans" w:cs="Noto Sans"/>
                <w:sz w:val="17"/>
              </w:rPr>
              <w:br/>
            </w:r>
            <w:r>
              <w:rPr>
                <w:rFonts w:ascii="Noto Sans" w:hAnsi="Noto Sans" w:eastAsia="Noto Sans" w:cs="Noto Sans"/>
                <w:sz w:val="17"/>
              </w:rPr>
              <w:t xml:space="preserve">  HandoffPayload v1 + lineage refs</w:t>
            </w:r>
            <w:r>
              <w:rPr>
                <w:rFonts w:ascii="Noto Sans" w:hAnsi="Noto Sans" w:eastAsia="Noto Sans" w:cs="Noto Sans"/>
                <w:sz w:val="17"/>
              </w:rPr>
              <w:br/>
            </w:r>
            <w:r>
              <w:rPr>
                <w:rFonts w:ascii="Noto Sans" w:hAnsi="Noto Sans" w:eastAsia="Noto Sans" w:cs="Noto Sans"/>
                <w:sz w:val="17"/>
              </w:rPr>
              <w:t xml:space="preserve">        ↓</w:t>
            </w:r>
            <w:r>
              <w:rPr>
                <w:rFonts w:ascii="Noto Sans" w:hAnsi="Noto Sans" w:eastAsia="Noto Sans" w:cs="Noto Sans"/>
                <w:sz w:val="17"/>
              </w:rPr>
              <w:br/>
            </w:r>
            <w:r>
              <w:rPr>
                <w:rFonts w:ascii="Noto Sans" w:hAnsi="Noto Sans" w:eastAsia="Noto Sans" w:cs="Noto Sans"/>
                <w:sz w:val="17"/>
              </w:rPr>
              <w:t>UDP intake validation / idempotency</w:t>
            </w:r>
            <w:r>
              <w:rPr>
                <w:rFonts w:ascii="Noto Sans" w:hAnsi="Noto Sans" w:eastAsia="Noto Sans" w:cs="Noto Sans"/>
                <w:sz w:val="17"/>
              </w:rPr>
              <w:br/>
            </w:r>
            <w:r>
              <w:rPr>
                <w:rFonts w:ascii="Noto Sans" w:hAnsi="Noto Sans" w:eastAsia="Noto Sans" w:cs="Noto Sans"/>
                <w:sz w:val="17"/>
              </w:rPr>
              <w:t xml:space="preserve">        ↓</w:t>
            </w:r>
            <w:r>
              <w:rPr>
                <w:rFonts w:ascii="Noto Sans" w:hAnsi="Noto Sans" w:eastAsia="Noto Sans" w:cs="Noto Sans"/>
                <w:sz w:val="17"/>
              </w:rPr>
              <w:br/>
            </w:r>
            <w:r>
              <w:rPr>
                <w:rFonts w:ascii="Noto Sans" w:hAnsi="Noto Sans" w:eastAsia="Noto Sans" w:cs="Noto Sans"/>
                <w:sz w:val="17"/>
              </w:rPr>
              <w:t>RAW durable write + checksum</w:t>
            </w:r>
            <w:r>
              <w:rPr>
                <w:rFonts w:ascii="Noto Sans" w:hAnsi="Noto Sans" w:eastAsia="Noto Sans" w:cs="Noto Sans"/>
                <w:sz w:val="17"/>
              </w:rPr>
              <w:br/>
            </w:r>
            <w:r>
              <w:rPr>
                <w:rFonts w:ascii="Noto Sans" w:hAnsi="Noto Sans" w:eastAsia="Noto Sans" w:cs="Noto Sans"/>
                <w:sz w:val="17"/>
              </w:rPr>
              <w:t xml:space="preserve">        ↓ ACK durable</w:t>
            </w:r>
            <w:r>
              <w:rPr>
                <w:rFonts w:ascii="Noto Sans" w:hAnsi="Noto Sans" w:eastAsia="Noto Sans" w:cs="Noto Sans"/>
                <w:sz w:val="17"/>
              </w:rPr>
              <w:br/>
            </w:r>
            <w:r>
              <w:rPr>
                <w:rFonts w:ascii="Noto Sans" w:hAnsi="Noto Sans" w:eastAsia="Noto Sans" w:cs="Noto Sans"/>
                <w:sz w:val="17"/>
              </w:rPr>
              <w:t>NORMALIZED / CURATED derivation</w:t>
            </w:r>
            <w:r>
              <w:rPr>
                <w:rFonts w:ascii="Noto Sans" w:hAnsi="Noto Sans" w:eastAsia="Noto Sans" w:cs="Noto Sans"/>
                <w:sz w:val="17"/>
              </w:rPr>
              <w:br/>
            </w:r>
            <w:r>
              <w:rPr>
                <w:rFonts w:ascii="Noto Sans" w:hAnsi="Noto Sans" w:eastAsia="Noto Sans" w:cs="Noto Sans"/>
                <w:sz w:val="17"/>
              </w:rPr>
              <w:t xml:space="preserve">        ↓</w:t>
            </w:r>
            <w:r>
              <w:rPr>
                <w:rFonts w:ascii="Noto Sans" w:hAnsi="Noto Sans" w:eastAsia="Noto Sans" w:cs="Noto Sans"/>
                <w:sz w:val="17"/>
              </w:rPr>
              <w:br/>
            </w:r>
            <w:r>
              <w:rPr>
                <w:rFonts w:ascii="Noto Sans" w:hAnsi="Noto Sans" w:eastAsia="Noto Sans" w:cs="Noto Sans"/>
                <w:sz w:val="17"/>
              </w:rPr>
              <w:t>Canonical write transaction</w:t>
            </w:r>
            <w:r>
              <w:rPr>
                <w:rFonts w:ascii="Noto Sans" w:hAnsi="Noto Sans" w:eastAsia="Noto Sans" w:cs="Noto Sans"/>
                <w:sz w:val="17"/>
              </w:rPr>
              <w:br/>
            </w:r>
            <w:r>
              <w:rPr>
                <w:rFonts w:ascii="Noto Sans" w:hAnsi="Noto Sans" w:eastAsia="Noto Sans" w:cs="Noto Sans"/>
                <w:sz w:val="17"/>
              </w:rPr>
              <w:t xml:space="preserve">        ├─ urban_object / revision</w:t>
            </w:r>
            <w:r>
              <w:rPr>
                <w:rFonts w:ascii="Noto Sans" w:hAnsi="Noto Sans" w:eastAsia="Noto Sans" w:cs="Noto Sans"/>
                <w:sz w:val="17"/>
              </w:rPr>
              <w:br/>
            </w:r>
            <w:r>
              <w:rPr>
                <w:rFonts w:ascii="Noto Sans" w:hAnsi="Noto Sans" w:eastAsia="Noto Sans" w:cs="Noto Sans"/>
                <w:sz w:val="17"/>
              </w:rPr>
              <w:t xml:space="preserve">        ├─ property provenance</w:t>
            </w:r>
            <w:r>
              <w:rPr>
                <w:rFonts w:ascii="Noto Sans" w:hAnsi="Noto Sans" w:eastAsia="Noto Sans" w:cs="Noto Sans"/>
                <w:sz w:val="17"/>
              </w:rPr>
              <w:br/>
            </w:r>
            <w:r>
              <w:rPr>
                <w:rFonts w:ascii="Noto Sans" w:hAnsi="Noto Sans" w:eastAsia="Noto Sans" w:cs="Noto Sans"/>
                <w:sz w:val="17"/>
              </w:rPr>
              <w:t xml:space="preserve">        ├─ relationships</w:t>
            </w:r>
            <w:r>
              <w:rPr>
                <w:rFonts w:ascii="Noto Sans" w:hAnsi="Noto Sans" w:eastAsia="Noto Sans" w:cs="Noto Sans"/>
                <w:sz w:val="17"/>
              </w:rPr>
              <w:br/>
            </w:r>
            <w:r>
              <w:rPr>
                <w:rFonts w:ascii="Noto Sans" w:hAnsi="Noto Sans" w:eastAsia="Noto Sans" w:cs="Noto Sans"/>
                <w:sz w:val="17"/>
              </w:rPr>
              <w:t xml:space="preserve">        ├─ authority evidence</w:t>
            </w:r>
            <w:r>
              <w:rPr>
                <w:rFonts w:ascii="Noto Sans" w:hAnsi="Noto Sans" w:eastAsia="Noto Sans" w:cs="Noto Sans"/>
                <w:sz w:val="17"/>
              </w:rPr>
              <w:br/>
            </w:r>
            <w:r>
              <w:rPr>
                <w:rFonts w:ascii="Noto Sans" w:hAnsi="Noto Sans" w:eastAsia="Noto Sans" w:cs="Noto Sans"/>
                <w:sz w:val="17"/>
              </w:rPr>
              <w:t xml:space="preserve">        └─ lineage refs</w:t>
            </w:r>
            <w:r>
              <w:rPr>
                <w:rFonts w:ascii="Noto Sans" w:hAnsi="Noto Sans" w:eastAsia="Noto Sans" w:cs="Noto Sans"/>
                <w:sz w:val="17"/>
              </w:rPr>
              <w:br/>
            </w:r>
            <w:r>
              <w:rPr>
                <w:rFonts w:ascii="Noto Sans" w:hAnsi="Noto Sans" w:eastAsia="Noto Sans" w:cs="Noto Sans"/>
                <w:sz w:val="17"/>
              </w:rPr>
              <w:t xml:space="preserve">        ↓</w:t>
            </w:r>
            <w:r>
              <w:rPr>
                <w:rFonts w:ascii="Noto Sans" w:hAnsi="Noto Sans" w:eastAsia="Noto Sans" w:cs="Noto Sans"/>
                <w:sz w:val="17"/>
              </w:rPr>
              <w:br/>
            </w:r>
            <w:r>
              <w:rPr>
                <w:rFonts w:ascii="Noto Sans" w:hAnsi="Noto Sans" w:eastAsia="Noto Sans" w:cs="Noto Sans"/>
                <w:sz w:val="17"/>
              </w:rPr>
              <w:t>Serving API / MCP capability</w:t>
            </w:r>
            <w:r>
              <w:rPr>
                <w:rFonts w:ascii="Noto Sans" w:hAnsi="Noto Sans" w:eastAsia="Noto Sans" w:cs="Noto Sans"/>
                <w:sz w:val="17"/>
              </w:rPr>
              <w:br/>
            </w:r>
            <w:r>
              <w:rPr>
                <w:rFonts w:ascii="Noto Sans" w:hAnsi="Noto Sans" w:eastAsia="Noto Sans" w:cs="Noto Sans"/>
                <w:sz w:val="17"/>
              </w:rPr>
              <w:t xml:space="preserve">        ↓</w:t>
            </w:r>
            <w:r>
              <w:rPr>
                <w:rFonts w:ascii="Noto Sans" w:hAnsi="Noto Sans" w:eastAsia="Noto Sans" w:cs="Noto Sans"/>
                <w:sz w:val="17"/>
              </w:rPr>
              <w:br/>
            </w:r>
            <w:r>
              <w:rPr>
                <w:rFonts w:ascii="Noto Sans" w:hAnsi="Noto Sans" w:eastAsia="Noto Sans" w:cs="Noto Sans"/>
                <w:sz w:val="17"/>
              </w:rPr>
              <w:t>Authorized consumer</w:t>
            </w:r>
          </w:p>
        </w:tc>
      </w:tr>
    </w:tbl>
    <w:p/>
    <w:p>
      <w:pPr>
        <w:pStyle w:val="Heading2"/>
      </w:pPr>
      <w:r>
        <w:rPr>
          <w:rFonts w:ascii="Noto Sans" w:hAnsi="Noto Sans" w:eastAsia="Noto Sans"/>
        </w:rPr>
        <w:t>56.1 End-to-end invariants</w:t>
      </w:r>
    </w:p>
    <w:p>
      <w:pPr>
        <w:pStyle w:val="ListBullet"/>
      </w:pPr>
      <w:r>
        <w:rPr>
          <w:rFonts w:ascii="Noto Sans" w:hAnsi="Noto Sans" w:eastAsia="Noto Sans"/>
        </w:rPr>
        <w:t>E2E-01 — Ogni canonical revision è riconducibile ad almeno un HandoffPayload/lineage source valido.</w:t>
      </w:r>
    </w:p>
    <w:p>
      <w:pPr>
        <w:pStyle w:val="ListBullet"/>
      </w:pPr>
      <w:r>
        <w:rPr>
          <w:rFonts w:ascii="Noto Sans" w:hAnsi="Noto Sans" w:eastAsia="Noto Sans"/>
        </w:rPr>
        <w:t>E2E-02 — La perdita temporanea del serving layer non modifica i dati durevoli già acquisiti.</w:t>
      </w:r>
    </w:p>
    <w:p>
      <w:pPr>
        <w:pStyle w:val="ListBullet"/>
      </w:pPr>
      <w:r>
        <w:rPr>
          <w:rFonts w:ascii="Noto Sans" w:hAnsi="Noto Sans" w:eastAsia="Noto Sans"/>
        </w:rPr>
        <w:t>E2E-03 — Duplicate delivery non crea duplicate canonical revisions se content/identity semantics indicano la stessa elaborazione.</w:t>
      </w:r>
    </w:p>
    <w:p>
      <w:pPr>
        <w:pStyle w:val="ListBullet"/>
      </w:pPr>
      <w:r>
        <w:rPr>
          <w:rFonts w:ascii="Noto Sans" w:hAnsi="Noto Sans" w:eastAsia="Noto Sans"/>
        </w:rPr>
        <w:t>E2E-04 — Historical bundle/schema/semantic publication references restano risolvibili per audit e replay.</w:t>
      </w:r>
    </w:p>
    <w:p>
      <w:pPr>
        <w:pStyle w:val="ListBullet"/>
      </w:pPr>
      <w:r>
        <w:rPr>
          <w:rFonts w:ascii="Noto Sans" w:hAnsi="Noto Sans" w:eastAsia="Noto Sans"/>
        </w:rPr>
        <w:t>E2E-05 — Un record in errore non fa avanzare implicitamente uno stato che renda impossibile il recupero.</w:t>
      </w:r>
    </w:p>
    <w:p>
      <w:pPr>
        <w:pStyle w:val="ListBullet"/>
      </w:pPr>
      <w:r>
        <w:rPr>
          <w:rFonts w:ascii="Noto Sans" w:hAnsi="Noto Sans" w:eastAsia="Noto Sans"/>
        </w:rPr>
        <w:t>E2E-06 — Current view e historical view sono ricostruibili dalla stessa catena di revisioni/provenance.</w:t>
      </w:r>
    </w:p>
    <w:p>
      <w:pPr>
        <w:pStyle w:val="Heading1"/>
      </w:pPr>
      <w:r>
        <w:rPr>
          <w:rFonts w:ascii="Noto Sans" w:hAnsi="Noto Sans" w:eastAsia="Noto Sans"/>
        </w:rPr>
        <w:t>57. Graph e spatial serving: indipendenza dal datastore</w:t>
      </w:r>
    </w:p>
    <w:p>
      <w:r>
        <w:rPr>
          <w:rFonts w:ascii="Noto Sans" w:hAnsi="Noto Sans" w:eastAsia="Noto Sans"/>
        </w:rPr>
        <w:t>Il modello a grafo resta un contratto logico della UDP. PostgreSQL/PostGIS è il datastore fisico iniziale, ma la v1.2 vieta di trattare le recursive CTE come motore universale di graph navigation. Il Query Planner seleziona indexed adjacency, fixed-pattern join, PostGIS o recursive CTE bounded in funzione della semantica della capability e del costo stimato. Una futura graph projection può essere aggiunta senza modificare i contratti MCP/API.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>Consumer / MCP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 xml:space="preserve">      |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 xml:space="preserve">      v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>Query &amp; Graph Navigation Service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 xml:space="preserve">      |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 xml:space="preserve">      +--&gt; Query Planner -----------&gt; fixed JOIN / indexed adjacency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 xml:space="preserve">      |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 xml:space="preserve">      +--&gt; SpatialRepository -------&gt; PostGIS GiST / KNN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 xml:space="preserve">      |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 xml:space="preserve">      +--&gt; RecursiveTraversalPort ---&gt; bounded recursive CTE</w:t>
      </w:r>
    </w:p>
    <w:p>
      <w:pPr>
        <w:pStyle w:val="OUFCode"/>
      </w:pPr>
      <w:r>
        <w:t xml:space="preserve">      +--&gt; [future GraphProjectionAdapter only on measurable trigger]</w:t>
      </w:r>
    </w:p>
    <w:p>
      <w:pPr>
        <w:pStyle w:val="Heading1"/>
      </w:pPr>
      <w:r>
        <w:rPr>
          <w:rFonts w:ascii="Noto Sans" w:hAnsi="Noto Sans" w:eastAsia="Noto Sans"/>
        </w:rPr>
        <w:t>58. Persistence model logico e invarianti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9D4DF"/>
          <w:left w:val="single" w:sz="4" w:color="C9D4DF"/>
          <w:bottom w:val="single" w:sz="4" w:color="C9D4DF"/>
          <w:right w:val="single" w:sz="4" w:color="C9D4DF"/>
          <w:insideH w:val="single" w:sz="4" w:color="C9D4DF"/>
          <w:insideV w:val="single" w:sz="4" w:color="C9D4DF"/>
        </w:tblBorders>
      </w:tblPr>
      <w:tblGrid>
        <w:gridCol w:w="3286"/>
        <w:gridCol w:w="3286"/>
        <w:gridCol w:w="3286"/>
      </w:tblGrid>
      <w:tr>
        <w:tc>
          <w:tcPr>
            <w:tcW w:type="dxa" w:w="2835"/>
            <w:shd w:fill="0B4F6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Tabella / aggregate</w:t>
            </w:r>
          </w:p>
        </w:tc>
        <w:tc>
          <w:tcPr>
            <w:tcW w:type="dxa" w:w="4535"/>
            <w:shd w:fill="0B4F6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Responsabilità</w:t>
            </w:r>
          </w:p>
        </w:tc>
        <w:tc>
          <w:tcPr>
            <w:tcW w:type="dxa" w:w="5669"/>
            <w:shd w:fill="0B4F6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Note di implementazione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urban_object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Identità canonica + current revision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Riga piccola e stabile; optimistic version.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urban_object_revision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Snapshot immutabile della revisione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JSONB canonico + geometry; hash contenuto.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source_object_binding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Binding fonte→oggetto canonico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Validità, confidence, resolution method.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urban_relationship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Edge corrente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source, relationIri, target, current revision.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relationship_revision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History immutabile edge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Evidence + temporalità + accessLabel.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property_lineage_index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Indice property→provenance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Ottimizza lineage.property.read.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authority_history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Authority object/property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Versionata; mai overwrite storico.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data_access_policy_ref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Label/policy refs applicate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Non duplica il Policy Registry; conserva riferimenti/versioni.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lake_object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URI, tier, hash, label, retention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RAW/NORMALIZED/CURATED.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handoff_inbox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Idempotenza e stato materializzazione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UNIQUE handoffId.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resolution_issue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Object/spatial/authority conflict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sz w:val="17"/>
              </w:rPr>
              <w:t>Workflow e review governata.</w:t>
            </w:r>
          </w:p>
        </w:tc>
      </w:tr>
    </w:tbl>
    <w:p>
      <w:pPr>
        <w:pStyle w:val="Heading2"/>
      </w:pPr>
      <w:r>
        <w:rPr>
          <w:rFonts w:ascii="Noto Sans" w:hAnsi="Noto Sans" w:eastAsia="Noto Sans"/>
        </w:rPr>
        <w:t>58.1 Vincoli invarianti</w:t>
      </w:r>
    </w:p>
    <w:p>
      <w:pPr>
        <w:pStyle w:val="ListBullet"/>
      </w:pPr>
      <w:r>
        <w:rPr>
          <w:rFonts w:ascii="Noto Sans" w:hAnsi="Noto Sans" w:eastAsia="Noto Sans"/>
          <w:sz w:val="18"/>
        </w:rPr>
        <w:t>Una ObjectRevision non viene aggiornata in place dopo commit.</w:t>
      </w:r>
    </w:p>
    <w:p>
      <w:pPr>
        <w:pStyle w:val="ListBullet"/>
      </w:pPr>
      <w:r>
        <w:rPr>
          <w:rFonts w:ascii="Noto Sans" w:hAnsi="Noto Sans" w:eastAsia="Noto Sans"/>
          <w:sz w:val="18"/>
        </w:rPr>
        <w:t>currentRevisionId cambia nella stessa transazione che rende visibile la nuova revisione.</w:t>
      </w:r>
    </w:p>
    <w:p>
      <w:pPr>
        <w:pStyle w:val="ListBullet"/>
      </w:pPr>
      <w:r>
        <w:rPr>
          <w:rFonts w:ascii="Noto Sans" w:hAnsi="Noto Sans" w:eastAsia="Noto Sans"/>
          <w:sz w:val="18"/>
        </w:rPr>
        <w:t>SourceObjectBinding non può puntare contemporaneamente a due Urban Object ACTIVE nello stesso intervallo salvo stato esplicito di conflict/review.</w:t>
      </w:r>
    </w:p>
    <w:p>
      <w:pPr>
        <w:pStyle w:val="ListBullet"/>
      </w:pPr>
      <w:r>
        <w:rPr>
          <w:rFonts w:ascii="Noto Sans" w:hAnsi="Noto Sans" w:eastAsia="Noto Sans"/>
          <w:sz w:val="18"/>
        </w:rPr>
        <w:t>Un relationship edge deve referenziare object esistenti e relationIri storicamente risolvibile.</w:t>
      </w:r>
    </w:p>
    <w:p>
      <w:pPr>
        <w:pStyle w:val="ListBullet"/>
      </w:pPr>
      <w:r>
        <w:rPr>
          <w:rFonts w:ascii="Noto Sans" w:hAnsi="Noto Sans" w:eastAsia="Noto Sans"/>
          <w:sz w:val="18"/>
        </w:rPr>
        <w:t>Ogni lake_object referenziato da lineage deve essere protetto da deletion guard fino alla retention applicabile.</w:t>
      </w:r>
    </w:p>
    <w:p>
      <w:pPr>
        <w:pStyle w:val="ListBullet"/>
      </w:pPr>
      <w:r>
        <w:rPr>
          <w:rFonts w:ascii="Noto Sans" w:hAnsi="Noto Sans" w:eastAsia="Noto Sans"/>
          <w:sz w:val="18"/>
        </w:rPr>
        <w:t>Access label e policy reference usate da una revisione storica restano auditabili anche dopo evoluzione delle policy.</w:t>
      </w:r>
    </w:p>
    <w:p>
      <w:pPr>
        <w:pStyle w:val="Heading1"/>
      </w:pPr>
      <w:r>
        <w:rPr>
          <w:rFonts w:ascii="Noto Sans" w:hAnsi="Noto Sans" w:eastAsia="Noto Sans"/>
        </w:rPr>
        <w:t>59. Schema fisico PostgreSQL/PostGIS</w:t>
      </w:r>
    </w:p>
    <w:p>
      <w:r>
        <w:rPr>
          <w:rFonts w:ascii="Noto Sans" w:hAnsi="Noto Sans" w:eastAsia="Noto Sans"/>
        </w:rPr>
        <w:t>PostgreSQL/PostGIS resta il system of record del patrimonio canonico e delle relazioni runtime. Il modello fisico evita una singola tabella JSONB monolitica e separa entità stabili, revisioni, valori, geometrie, relazioni, provenance e decisioni di resolution.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C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Tabella fisica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C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Contenuto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C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Chiave/indice minimo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udp.urban_object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Identità canonica e stato corrente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PK urban_object_id; index(object_type,status).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udp.urban_object_revision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Revisioni immutabili materialmente significative; valid time + system evidence; payload full/delta secondo policy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PK revision_id; unique(object_id,revision_no); BRIN temporale se utile; no indice indiscriminato su JSONB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udp.property_value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Valori canonici versionati quando richiesto da query/enforcement; denormalizzazione selettiva ammessa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index(revision_id,property_iri); indici selettivi solo per proprietà con query pattern misurato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udp.urban_geometry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Geometrie canoniche e storiche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GiST(geometry); index(object_id,revision_id).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udp.relationship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Edge correnti/storici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index(source_id,relation_iri,target_id); index(target_id,relation_iri).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udp.source_binding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Binding source identity → canonical object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unique(source_id,type_code,source_object_id,valid_from).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udp.property_provenance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Provenance per valore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index(revision_id,property_iri); index(source_id,source_object_id).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udp.lineage_record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Catena ingestion→materialization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index(object_id,revision_id); index(ingestion_run_id).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udp.authority_assignment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Authority per ambito e periodo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index(scope_type,scope_key,valid_from,valid_to).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udp.resolution_decision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Evidence object resolution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index(source_binding_key,outcome,created_at).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udp.merge_split_event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Decisioni merge/split e alias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index(affected_object_id,occurred_at).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udp.data_access_assignment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DataAccessLabel/policy refs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index(resource_type,resource_id,label).</w:t>
            </w:r>
          </w:p>
        </w:tc>
      </w:tr>
    </w:tbl>
    <w:p>
      <w:pPr>
        <w:pStyle w:val="Heading1"/>
      </w:pPr>
      <w:r>
        <w:rPr>
          <w:rFonts w:ascii="Noto Sans" w:hAnsi="Noto Sans" w:eastAsia="Noto Sans"/>
        </w:rPr>
        <w:t>60. Partitioning strategy</w:t>
      </w:r>
    </w:p>
    <w:p>
      <w:r>
        <w:rPr>
          <w:rFonts w:ascii="Noto Sans" w:hAnsi="Noto Sans" w:eastAsia="Noto Sans"/>
        </w:rPr>
        <w:t>Il partitioning viene applicato dove riduce maintenance cost o rende prevedibile la retention; non viene usato indiscriminatamente. La baseline preferisce partizioni temporali per grandi tabelle append-heavy e mantiene non partizionate le tabelle correnti di dimensione contenuta.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C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Tabella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C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Strategia baseline</w:t>
            </w:r>
          </w:p>
        </w:tc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C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Nota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urban_object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non partizionata</w:t>
            </w:r>
          </w:p>
        </w:tc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Current identity set, accesso frequente per PK.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urban_object_revision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RANGE su created_at/valid_from per periodo</w:t>
            </w:r>
          </w:p>
        </w:tc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Partizioni annuali o trimestrali da tarare sui volumi reali.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lineage_record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RANGE su occurred_at; eventuale subpartition HASH source_id</w:t>
            </w:r>
          </w:p>
        </w:tc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Facilita retention e query temporali/source scoped.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property_provenance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RANGE per periodo se crescita elevata</w:t>
            </w:r>
          </w:p>
        </w:tc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Da attivare quando il volume giustifica la complessità.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relationship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non partizionata inizialmente</w:t>
            </w:r>
          </w:p>
        </w:tc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Valutare hash/range solo a soglie misurate.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audit/evidence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RANGE mensile/trimestrale</w:t>
            </w:r>
          </w:p>
        </w:tc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Retention e export semplici.</w:t>
            </w:r>
          </w:p>
        </w:tc>
      </w:tr>
    </w:tbl>
    <w:p>
      <w:pPr>
        <w:pStyle w:val="OUFCode"/>
        <w:shd w:fill="F3F4F6"/>
      </w:pPr>
      <w:r>
        <w:rPr>
          <w:rFonts w:ascii="DejaVu Sans Mono" w:hAnsi="DejaVu Sans Mono" w:eastAsia="DejaVu Sans Mono"/>
          <w:sz w:val="17"/>
        </w:rPr>
        <w:t>Partition rule</w:t>
        <w:br/>
        <w:t>-------------</w:t>
        <w:br/>
        <w:t>PARTITION ONLY IF:</w:t>
        <w:br/>
        <w:t xml:space="preserve">  maintenance_cost OR retention_cost OR query_pruning benefit</w:t>
        <w:br/>
        <w:t xml:space="preserve">  &gt; operational complexity introduced by partitioning</w:t>
      </w:r>
    </w:p>
    <w:p>
      <w:pPr>
        <w:pStyle w:val="Heading1"/>
      </w:pPr>
      <w:r>
        <w:rPr>
          <w:rFonts w:ascii="Noto Sans" w:hAnsi="Noto Sans" w:eastAsia="Noto Sans"/>
        </w:rPr>
        <w:t>61. Indexing policy, autovacuum e bloat control</w:t>
      </w:r>
    </w:p>
    <w:p>
      <w:pPr/>
      <w:r>
        <w:rPr>
          <w:rFonts w:ascii="Noto Sans" w:hAnsi="Noto Sans"/>
        </w:rPr>
        <w:t>La baseline distingue table bloat MVCC da crescita legittima della history. Le tabelle append-only producono soprattutto version growth e index amplification; il bloat classico deriva dalle tabelle current/workflow soggette a UPDATE/DELETE. Il capacity model deve quindi controllare entrambi i fenomeni.</w:t>
      </w:r>
    </w:p>
    <w:p>
      <w:pPr>
        <w:pStyle w:val="Heading2"/>
      </w:pPr>
      <w:r>
        <w:rPr>
          <w:rFonts w:ascii="Noto Sans" w:hAnsi="Noto Sans"/>
        </w:rPr>
        <w:t>61.1 Controllo della crescita storica</w:t>
      </w:r>
    </w:p>
    <w:p>
      <w:pPr>
        <w:pStyle w:val="ListBullet"/>
      </w:pPr>
      <w:r>
        <w:rPr>
          <w:rFonts w:ascii="Noto Sans" w:hAnsi="Noto Sans"/>
        </w:rPr>
        <w:t>Content-hash/change detection evita revisioni canoniche quando l’osservazione non modifica il contenuto materiale.</w:t>
      </w:r>
    </w:p>
    <w:p>
      <w:pPr>
        <w:pStyle w:val="ListBullet"/>
      </w:pPr>
      <w:r>
        <w:rPr>
          <w:rFonts w:ascii="Noto Sans" w:hAnsi="Noto Sans"/>
        </w:rPr>
        <w:t>Snapshot + patch/delta sono ammessi per payload JSONB voluminosi; non è richiesta la duplicazione integrale del documento a ogni revisione.</w:t>
      </w:r>
    </w:p>
    <w:p>
      <w:pPr>
        <w:pStyle w:val="ListBullet"/>
      </w:pPr>
      <w:r>
        <w:rPr>
          <w:rFonts w:ascii="Noto Sans" w:hAnsi="Noto Sans"/>
        </w:rPr>
        <w:t>History temporale può essere partizionata; partizioni chiuse sono candidate a BRIN, compaction e archival.</w:t>
      </w:r>
    </w:p>
    <w:p>
      <w:pPr>
        <w:pStyle w:val="ListBullet"/>
      </w:pPr>
      <w:r>
        <w:rPr>
          <w:rFonts w:ascii="Noto Sans" w:hAnsi="Noto Sans"/>
        </w:rPr>
        <w:t>Payload storici cold possono essere trasferiti su object storage lasciando in PostgreSQL revision metadata, hash, valid time e objectStorageRef.</w:t>
      </w:r>
    </w:p>
    <w:p>
      <w:pPr>
        <w:pStyle w:val="ListBullet"/>
      </w:pPr>
      <w:r>
        <w:rPr>
          <w:rFonts w:ascii="Noto Sans" w:hAnsi="Noto Sans"/>
        </w:rPr>
        <w:t>Autovacuum aggressivo è prioritario sulle tabelle ad alta churn; sulle append-only sono centrali ANALYZE, freeze, partition maintenance e index health.</w:t>
      </w:r>
    </w:p>
    <w:p>
      <w:pPr>
        <w:pStyle w:val="ListBullet"/>
      </w:pPr>
      <w:r>
        <w:rPr>
          <w:rFonts w:ascii="Noto Sans" w:hAnsi="Noto Sans" w:eastAsia="Noto Sans"/>
        </w:rPr>
        <w:t>Ogni indice deve essere giustificato da un query pattern/constraint; non si indicizza ogni proprietà JSON/canonica per default.</w:t>
      </w:r>
    </w:p>
    <w:p>
      <w:pPr>
        <w:pStyle w:val="ListBullet"/>
      </w:pPr>
      <w:r>
        <w:rPr>
          <w:rFonts w:ascii="Noto Sans" w:hAnsi="Noto Sans" w:eastAsia="Noto Sans"/>
        </w:rPr>
        <w:t>GiST è obbligatorio sulle geometrie servite da query spaziali; B-tree per identity, foreign key, status e correlation fields.</w:t>
      </w:r>
    </w:p>
    <w:p>
      <w:pPr>
        <w:pStyle w:val="ListBullet"/>
      </w:pPr>
      <w:r>
        <w:rPr>
          <w:rFonts w:ascii="Noto Sans" w:hAnsi="Noto Sans" w:eastAsia="Noto Sans"/>
        </w:rPr>
        <w:t>BRIN è ammesso per grandi tabelle temporali append-only quando la correlazione fisica lo rende efficace.</w:t>
      </w:r>
    </w:p>
    <w:p>
      <w:pPr>
        <w:pStyle w:val="ListBullet"/>
      </w:pPr>
      <w:r>
        <w:rPr>
          <w:rFonts w:ascii="Noto Sans" w:hAnsi="Noto Sans" w:eastAsia="Noto Sans"/>
        </w:rPr>
        <w:t>pg_stat_statements o equivalente deve guidare la revisione degli indici e delle query lente.</w:t>
      </w:r>
    </w:p>
    <w:p>
      <w:pPr>
        <w:pStyle w:val="ListBullet"/>
      </w:pPr>
      <w:r>
        <w:rPr>
          <w:rFonts w:ascii="Noto Sans" w:hAnsi="Noto Sans" w:eastAsia="Noto Sans"/>
        </w:rPr>
        <w:t>Autovacuum viene parametrizzato per le tabelle ad alta churn; REINDEX CONCURRENTLY/maintenance window vengono usati quando necessario.</w:t>
      </w:r>
    </w:p>
    <w:p>
      <w:pPr>
        <w:pStyle w:val="ListBullet"/>
      </w:pPr>
      <w:r>
        <w:rPr>
          <w:rFonts w:ascii="Noto Sans" w:hAnsi="Noto Sans" w:eastAsia="Noto Sans"/>
        </w:rPr>
        <w:t>La capacità allocata include spazio temporaneo sufficiente per VACUUM, REINDEX, migration e restore.</w:t>
      </w:r>
    </w:p>
    <w:p>
      <w:pPr>
        <w:pStyle w:val="Heading1"/>
      </w:pPr>
      <w:r>
        <w:rPr>
          <w:rFonts w:ascii="Noto Sans" w:hAnsi="Noto Sans" w:eastAsia="Noto Sans"/>
        </w:rPr>
        <w:t>62. Object storage layout fisico</w:t>
      </w:r>
    </w:p>
    <w:p>
      <w:r>
        <w:rPr>
          <w:rFonts w:ascii="Noto Sans" w:hAnsi="Noto Sans" w:eastAsia="Noto Sans"/>
        </w:rPr>
        <w:t>Il Data Lake usa object storage S3-compatible con key deterministiche e manifest metadata; PostgreSQL conserva i riferimenti autorevoli, checksum e lifecycle state, non il payload raw completo.</w:t>
      </w:r>
    </w:p>
    <w:p>
      <w:pPr>
        <w:pStyle w:val="OUFCode"/>
        <w:shd w:fill="F3F4F6"/>
      </w:pPr>
      <w:r>
        <w:rPr>
          <w:rFonts w:ascii="DejaVu Sans Mono" w:hAnsi="DejaVu Sans Mono" w:eastAsia="DejaVu Sans Mono"/>
          <w:sz w:val="17"/>
        </w:rPr>
        <w:t>s3://ouf-data/</w:t>
        <w:br/>
        <w:t xml:space="preserve">  raw/&lt;sourceId&gt;/&lt;typeCode&gt;/&lt;yyyy&gt;/&lt;mm&gt;/&lt;dd&gt;/&lt;ingestionRunId&gt;/&lt;objectId&gt;</w:t>
        <w:br/>
        <w:t xml:space="preserve">  normalized/&lt;sourceId&gt;/&lt;typeCode&gt;/&lt;yyyy&gt;/&lt;mm&gt;/...</w:t>
        <w:br/>
        <w:t xml:space="preserve">  curated/&lt;objectType&gt;/&lt;yyyy&gt;/&lt;mm&gt;/...</w:t>
        <w:br/>
        <w:t xml:space="preserve">  export/&lt;requestId&gt;/...</w:t>
        <w:br/>
        <w:t xml:space="preserve">  manifests/&lt;tier&gt;/&lt;partition&gt;/manifest.json</w:t>
      </w:r>
    </w:p>
    <w:p>
      <w:pPr>
        <w:pStyle w:val="ListBullet"/>
      </w:pPr>
      <w:r>
        <w:rPr>
          <w:rFonts w:ascii="Noto Sans" w:hAnsi="Noto Sans" w:eastAsia="Noto Sans"/>
        </w:rPr>
        <w:t>Nessun overwrite silenzioso: un nuovo contenuto produce una nuova object key/versione o manifest revision.</w:t>
      </w:r>
    </w:p>
    <w:p>
      <w:pPr>
        <w:pStyle w:val="ListBullet"/>
      </w:pPr>
      <w:r>
        <w:rPr>
          <w:rFonts w:ascii="Noto Sans" w:hAnsi="Noto Sans" w:eastAsia="Noto Sans"/>
        </w:rPr>
        <w:t>Checksum e content length sono verificati prima di DURABLE/VERIFIED.</w:t>
      </w:r>
    </w:p>
    <w:p>
      <w:pPr>
        <w:pStyle w:val="ListBullet"/>
      </w:pPr>
      <w:r>
        <w:rPr>
          <w:rFonts w:ascii="Noto Sans" w:hAnsi="Noto Sans" w:eastAsia="Noto Sans"/>
        </w:rPr>
        <w:t>Bucket/prefix policy e DataAccessLabel determinano accesso, retention e cifratura.</w:t>
      </w:r>
    </w:p>
    <w:p>
      <w:pPr>
        <w:pStyle w:val="ListBullet"/>
      </w:pPr>
      <w:r>
        <w:rPr>
          <w:rFonts w:ascii="Noto Sans" w:hAnsi="Noto Sans" w:eastAsia="Noto Sans"/>
        </w:rPr>
        <w:t>Lifecycle storage può spostare dati cold su tier più economici senza cambiare gli identificativi logici.</w:t>
      </w:r>
    </w:p>
    <w:p>
      <w:pPr>
        <w:pStyle w:val="Heading1"/>
      </w:pPr>
      <w:r>
        <w:rPr>
          <w:rFonts w:ascii="Noto Sans" w:hAnsi="Noto Sans" w:eastAsia="Noto Sans"/>
        </w:rPr>
        <w:t>63. Struttura applicativa fisica e modular monolith Spring Boot</w:t>
      </w:r>
    </w:p>
    <w:p>
      <w:r>
        <w:rPr>
          <w:rFonts w:ascii="Noto Sans" w:hAnsi="Noto Sans" w:eastAsia="Noto Sans"/>
        </w:rPr>
        <w:t>La baseline usa un unico codebase modulare, ma separa workload sincroni e asincroni per consentire scaling indipendente senza microservizi prematuri.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C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Deployable/workload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C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Responsabilità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C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Replica baseline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udp-api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Serving API, query, history, graph/spatial navigation, lineage, authorization enforcement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2+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udp-materializer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Consumo durable handoff, canonical write pipeline, provenance/lineage, relationship materialization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2 con lease/partition ownership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udp-resolution-worker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Object/relationship/spatial resolution, candidate generation, review preparation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1–2, scalabile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udp-maintenance-worker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Integrity scan, compaction orchestration, retention/deletion, consistency jobs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1 attivo + failover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PostgreSQL/PostGIS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System of record canonico e metadata lake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HA/managed o primary+standby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S3-compatible object storage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RAW/NORMALIZED/CURATED/export artifacts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servizio condiviso/HA</w:t>
            </w:r>
          </w:p>
        </w:tc>
      </w:tr>
    </w:tbl>
    <w:p>
      <w:r>
        <w:rPr>
          <w:rFonts w:ascii="Noto Sans" w:hAnsi="Noto Sans" w:eastAsia="Noto Sans"/>
        </w:rPr>
        <w:t>I worker possono essere processi distinti dello stesso artefatto/container con profilo applicativo diverso. Non è richiesto introdurre sei microservizi autonomi.</w:t>
      </w:r>
    </w:p>
    <w:p>
      <w:pPr>
        <w:pStyle w:val="Heading2"/>
      </w:pPr>
      <w:r>
        <w:rPr>
          <w:rFonts w:ascii="Noto Sans" w:hAnsi="Noto Sans"/>
        </w:rPr>
        <w:t>63.1 Porte applicative introdotte dalla v1.2</w:t>
      </w:r>
    </w:p>
    <w:p>
      <w:pPr/>
      <w:r>
        <w:rPr>
          <w:rFonts w:ascii="Noto Sans" w:hAnsi="Noto Sans"/>
        </w:rPr>
        <w:t>L'implementazione Spring Boot deve mantenere separati i contratti applicativi dai meccanismi fisici. Sono richieste almeno le seguenti porte logiche, implementabili nello stesso codebase modulare:</w:t>
      </w:r>
    </w:p>
    <w:p>
      <w:pPr>
        <w:pStyle w:val="OUFCode"/>
      </w:pPr>
      <w:r>
        <w:t>BudgetStore</w:t>
        <w:br/>
        <w:t xml:space="preserve">  ├─ PostgreSqlBudgetStore [baseline]</w:t>
        <w:br/>
        <w:t xml:space="preserve">  └─ DistributedCacheBudgetStore [future, conditional]</w:t>
        <w:br/>
        <w:br/>
        <w:t>CanonicalChangeDetector</w:t>
        <w:br/>
        <w:t xml:space="preserve">  ├─ fullSnapshotFingerprint(...)</w:t>
        <w:br/>
        <w:t xml:space="preserve">  ├─ section/propertyHash(...)</w:t>
        <w:br/>
        <w:t xml:space="preserve">  └─ materialChange(...)</w:t>
        <w:br/>
        <w:br/>
        <w:t>ChangeRepresentationHandler</w:t>
        <w:br/>
        <w:t xml:space="preserve">  ├─ FullSnapshotHandler</w:t>
        <w:br/>
        <w:t xml:space="preserve">  ├─ DeltaPatchHandler</w:t>
        <w:br/>
        <w:t xml:space="preserve">  └─ PropertyEventHandler</w:t>
        <w:br/>
        <w:br/>
        <w:t>CapabilityRemediationService</w:t>
        <w:br/>
        <w:t xml:space="preserve">  ├─ mismatchGuidance(...)</w:t>
        <w:br/>
        <w:t xml:space="preserve">  ├─ retryLoopState(...)</w:t>
        <w:br/>
        <w:t xml:space="preserve">  └─ toolSelectionStalled(...)</w:t>
      </w:r>
    </w:p>
    <w:p>
      <w:pPr/>
      <w:r>
        <w:rPr>
          <w:rFonts w:ascii="Noto Sans" w:hAnsi="Noto Sans"/>
        </w:rPr>
        <w:t>Queste porte impediscono che l'adozione futura di Redis-compatible store, strategie delta differenti o nuovi meccanismi di remediation richieda modifiche ai contratti MCP/serving o al dominio canonico.</w:t>
      </w:r>
    </w:p>
    <w:p>
      <w:pPr>
        <w:pStyle w:val="Heading1"/>
      </w:pPr>
      <w:r>
        <w:rPr>
          <w:rFonts w:ascii="Noto Sans" w:hAnsi="Noto Sans" w:eastAsia="Noto Sans"/>
        </w:rPr>
        <w:t>64. Technology BOM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C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Categoria</w:t>
            </w:r>
          </w:p>
        </w:tc>
        <w:tc>
          <w:tcPr>
            <w:tcW w:type="dxa" w:w="73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C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Baseline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Runtime</w:t>
            </w:r>
          </w:p>
        </w:tc>
        <w:tc>
          <w:tcPr>
            <w:tcW w:type="dxa" w:w="73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Java 21 + Spring Boot 3.x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DB</w:t>
            </w:r>
          </w:p>
        </w:tc>
        <w:tc>
          <w:tcPr>
            <w:tcW w:type="dxa" w:w="73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PostgreSQL 17.x + PostGIS 3.x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DB migration</w:t>
            </w:r>
          </w:p>
        </w:tc>
        <w:tc>
          <w:tcPr>
            <w:tcW w:type="dxa" w:w="73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Flyway con migration job/leader dedicato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Object storage</w:t>
            </w:r>
          </w:p>
        </w:tc>
        <w:tc>
          <w:tcPr>
            <w:tcW w:type="dxa" w:w="73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S3-compatible condiviso; MinIO/Ceph/cloud object storage o equivalente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Serialization</w:t>
            </w:r>
          </w:p>
        </w:tc>
        <w:tc>
          <w:tcPr>
            <w:tcW w:type="dxa" w:w="73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JSON/JSONB per contratti; GeoJSON/JSON-FG dove applicabile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Observability</w:t>
            </w:r>
          </w:p>
        </w:tc>
        <w:tc>
          <w:tcPr>
            <w:tcW w:type="dxa" w:w="73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OpenTelemetry + stack condiviso Prometheus/Grafana/Loki o equivalente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IAM/Authorization</w:t>
            </w:r>
          </w:p>
        </w:tc>
        <w:tc>
          <w:tcPr>
            <w:tcW w:type="dxa" w:w="73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OUF Authorization v1.2 + Identity Authority scenario A/B/C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Secrets</w:t>
            </w:r>
          </w:p>
        </w:tc>
        <w:tc>
          <w:tcPr>
            <w:tcW w:type="dxa" w:w="73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OpenBao/secret manager condiviso; nessun secret nel DB applicativo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Orchestrazione</w:t>
            </w:r>
          </w:p>
        </w:tc>
        <w:tc>
          <w:tcPr>
            <w:tcW w:type="dxa" w:w="73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Kubernetes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Optional future</w:t>
            </w:r>
          </w:p>
        </w:tc>
        <w:tc>
          <w:tcPr>
            <w:tcW w:type="dxa" w:w="73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Graph projection, Redis/cache, broker/lakehouse solo dopo trigger misurato</w:t>
            </w:r>
          </w:p>
        </w:tc>
      </w:tr>
    </w:tbl>
    <w:p>
      <w:pPr>
        <w:pStyle w:val="Heading1"/>
      </w:pPr>
      <w:r>
        <w:rPr>
          <w:rFonts w:ascii="Noto Sans" w:hAnsi="Noto Sans" w:eastAsia="Noto Sans"/>
        </w:rPr>
        <w:t>65. Performance envelope, SLO e SLI</w:t>
      </w:r>
    </w:p>
    <w:p>
      <w:pPr/>
      <w:r>
        <w:rPr>
          <w:rFonts w:ascii="Noto Sans" w:hAnsi="Noto Sans" w:eastAsia="Noto Sans"/>
          <w:sz w:val="18"/>
        </w:rPr>
        <w:t>I valori seguenti sono target iniziali di collaudo sotto reference load e dataset rappresentativo, non SLA contrattuali definitivi. Devono essere misurati con dati reali prima del go-live e possono essere raffinati senza cambiare il modello architetturale.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005"/>
            <w:shd w:fill="0B4F6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Operazione</w:t>
            </w:r>
          </w:p>
        </w:tc>
        <w:tc>
          <w:tcPr>
            <w:tcW w:type="dxa" w:w="1871"/>
            <w:shd w:fill="0B4F6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Target iniziale p95</w:t>
            </w:r>
          </w:p>
        </w:tc>
        <w:tc>
          <w:tcPr>
            <w:tcW w:type="dxa" w:w="3798"/>
            <w:shd w:fill="0B4F6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Condizioni</w:t>
            </w:r>
          </w:p>
        </w:tc>
      </w:tr>
      <w:tr>
        <w:tc>
          <w:tcPr>
            <w:tcW w:type="dxa" w:w="300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Durable handoff registration</w:t>
            </w:r>
          </w:p>
        </w:tc>
        <w:tc>
          <w:tcPr>
            <w:tcW w:type="dxa" w:w="187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≤ 1 s</w:t>
            </w:r>
          </w:p>
        </w:tc>
        <w:tc>
          <w:tcPr>
            <w:tcW w:type="dxa" w:w="37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Payload lake già scritto/risolvibile; DB sano.</w:t>
            </w:r>
          </w:p>
        </w:tc>
      </w:tr>
      <w:tr>
        <w:tc>
          <w:tcPr>
            <w:tcW w:type="dxa" w:w="300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Current object read</w:t>
            </w:r>
          </w:p>
        </w:tc>
        <w:tc>
          <w:tcPr>
            <w:tcW w:type="dxa" w:w="187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≤ 300 ms</w:t>
            </w:r>
          </w:p>
        </w:tc>
        <w:tc>
          <w:tcPr>
            <w:tcW w:type="dxa" w:w="37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urbanObjectId indicizzato; response bounded.</w:t>
            </w:r>
          </w:p>
        </w:tc>
      </w:tr>
      <w:tr>
        <w:tc>
          <w:tcPr>
            <w:tcW w:type="dxa" w:w="300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Indexed object search</w:t>
            </w:r>
          </w:p>
        </w:tc>
        <w:tc>
          <w:tcPr>
            <w:tcW w:type="dxa" w:w="187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≤ 1 s</w:t>
            </w:r>
          </w:p>
        </w:tc>
        <w:tc>
          <w:tcPr>
            <w:tcW w:type="dxa" w:w="37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Filtri supportati da indici; prima pagina.</w:t>
            </w:r>
          </w:p>
        </w:tc>
      </w:tr>
      <w:tr>
        <w:tc>
          <w:tcPr>
            <w:tcW w:type="dxa" w:w="300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1-hop relationships</w:t>
            </w:r>
          </w:p>
        </w:tc>
        <w:tc>
          <w:tcPr>
            <w:tcW w:type="dxa" w:w="187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≤ 500 ms</w:t>
            </w:r>
          </w:p>
        </w:tc>
        <w:tc>
          <w:tcPr>
            <w:tcW w:type="dxa" w:w="37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Edge indicizzati; result cap applicato.</w:t>
            </w:r>
          </w:p>
        </w:tc>
      </w:tr>
      <w:tr>
        <w:tc>
          <w:tcPr>
            <w:tcW w:type="dxa" w:w="300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Graph traversal depth≤4</w:t>
            </w:r>
          </w:p>
        </w:tc>
        <w:tc>
          <w:tcPr>
            <w:tcW w:type="dxa" w:w="187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≤ 2 s</w:t>
            </w:r>
          </w:p>
        </w:tc>
        <w:tc>
          <w:tcPr>
            <w:tcW w:type="dxa" w:w="37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maxNodes≤500, maxEdges≤1000.</w:t>
            </w:r>
          </w:p>
        </w:tc>
      </w:tr>
      <w:tr>
        <w:tc>
          <w:tcPr>
            <w:tcW w:type="dxa" w:w="300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Spatial nearby/intersects</w:t>
            </w:r>
          </w:p>
        </w:tc>
        <w:tc>
          <w:tcPr>
            <w:tcW w:type="dxa" w:w="187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≤ 1.5 s</w:t>
            </w:r>
          </w:p>
        </w:tc>
        <w:tc>
          <w:tcPr>
            <w:tcW w:type="dxa" w:w="37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GiST/SP-GiST index e bbox/tolerance ragionevoli.</w:t>
            </w:r>
          </w:p>
        </w:tc>
      </w:tr>
      <w:tr>
        <w:tc>
          <w:tcPr>
            <w:tcW w:type="dxa" w:w="300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Property lineage read</w:t>
            </w:r>
          </w:p>
        </w:tc>
        <w:tc>
          <w:tcPr>
            <w:tcW w:type="dxa" w:w="187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≤ 1 s</w:t>
            </w:r>
          </w:p>
        </w:tc>
        <w:tc>
          <w:tcPr>
            <w:tcW w:type="dxa" w:w="37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Lineage index risolvibile; no cold restore.</w:t>
            </w:r>
          </w:p>
        </w:tc>
      </w:tr>
      <w:tr>
        <w:tc>
          <w:tcPr>
            <w:tcW w:type="dxa" w:w="300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Materialization after accepted handoff</w:t>
            </w:r>
          </w:p>
        </w:tc>
        <w:tc>
          <w:tcPr>
            <w:tcW w:type="dxa" w:w="187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≤ 5 s</w:t>
            </w:r>
          </w:p>
        </w:tc>
        <w:tc>
          <w:tcPr>
            <w:tcW w:type="dxa" w:w="379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Caso non ambiguo, no human review.</w:t>
            </w:r>
          </w:p>
        </w:tc>
      </w:tr>
    </w:tbl>
    <w:p/>
    <w:p>
      <w:pPr>
        <w:pStyle w:val="Heading2"/>
      </w:pPr>
      <w:r>
        <w:rPr>
          <w:rFonts w:ascii="Noto Sans" w:hAnsi="Noto Sans" w:eastAsia="Noto Sans"/>
        </w:rPr>
        <w:t>65.1 SLI minimi</w:t>
      </w:r>
    </w:p>
    <w:p>
      <w:pPr>
        <w:pStyle w:val="ListBullet"/>
      </w:pPr>
      <w:r>
        <w:rPr>
          <w:rFonts w:ascii="Noto Sans" w:hAnsi="Noto Sans" w:eastAsia="Noto Sans"/>
          <w:sz w:val="18"/>
        </w:rPr>
        <w:t>request latency e error rate per capability;</w:t>
      </w:r>
    </w:p>
    <w:p>
      <w:pPr>
        <w:pStyle w:val="ListBullet"/>
      </w:pPr>
      <w:r>
        <w:rPr>
          <w:rFonts w:ascii="Noto Sans" w:hAnsi="Noto Sans" w:eastAsia="Noto Sans"/>
          <w:sz w:val="18"/>
        </w:rPr>
        <w:t>DB pool saturation, active connections, slow query count e lock wait;</w:t>
      </w:r>
    </w:p>
    <w:p>
      <w:pPr>
        <w:pStyle w:val="ListBullet"/>
      </w:pPr>
      <w:r>
        <w:rPr>
          <w:rFonts w:ascii="Noto Sans" w:hAnsi="Noto Sans" w:eastAsia="Noto Sans"/>
          <w:sz w:val="18"/>
        </w:rPr>
        <w:t>materialization backlog e age del più vecchio handoff;</w:t>
      </w:r>
    </w:p>
    <w:p>
      <w:pPr>
        <w:pStyle w:val="ListBullet"/>
      </w:pPr>
      <w:r>
        <w:rPr>
          <w:rFonts w:ascii="Noto Sans" w:hAnsi="Noto Sans" w:eastAsia="Noto Sans"/>
          <w:sz w:val="18"/>
        </w:rPr>
        <w:t>resolution issue backlog e time-to-decision;</w:t>
      </w:r>
    </w:p>
    <w:p>
      <w:pPr>
        <w:pStyle w:val="ListBullet"/>
      </w:pPr>
      <w:r>
        <w:rPr>
          <w:rFonts w:ascii="Noto Sans" w:hAnsi="Noto Sans" w:eastAsia="Noto Sans"/>
          <w:sz w:val="18"/>
        </w:rPr>
        <w:t>object storage read/write errors, checksum failures e bytes stored per tier;</w:t>
      </w:r>
    </w:p>
    <w:p>
      <w:pPr>
        <w:pStyle w:val="ListBullet"/>
      </w:pPr>
      <w:r>
        <w:rPr>
          <w:rFonts w:ascii="Noto Sans" w:hAnsi="Noto Sans" w:eastAsia="Noto Sans"/>
          <w:sz w:val="18"/>
        </w:rPr>
        <w:t>graph traversal complexity rejected/accepted;</w:t>
      </w:r>
    </w:p>
    <w:p>
      <w:pPr>
        <w:pStyle w:val="ListBullet"/>
      </w:pPr>
      <w:r>
        <w:rPr>
          <w:rFonts w:ascii="Noto Sans" w:hAnsi="Noto Sans" w:eastAsia="Noto Sans"/>
          <w:sz w:val="18"/>
        </w:rPr>
        <w:t>export queue depth e durata;</w:t>
      </w:r>
    </w:p>
    <w:p>
      <w:pPr>
        <w:pStyle w:val="ListBullet"/>
      </w:pPr>
      <w:r>
        <w:rPr>
          <w:rFonts w:ascii="Noto Sans" w:hAnsi="Noto Sans" w:eastAsia="Noto Sans"/>
          <w:sz w:val="18"/>
        </w:rPr>
        <w:t>compaction backlog, bytes reclaimed e integrity scan findings.</w:t>
      </w:r>
    </w:p>
    <w:p>
      <w:pPr>
        <w:pStyle w:val="Heading1"/>
      </w:pPr>
      <w:r>
        <w:rPr>
          <w:rFonts w:ascii="Noto Sans" w:hAnsi="Noto Sans" w:eastAsia="Noto Sans"/>
        </w:rPr>
        <w:t>66. Strategia di performance PostgreSQL/PostGIS</w:t>
      </w:r>
    </w:p>
    <w:p>
      <w:pPr/>
      <w:r>
        <w:rPr>
          <w:rFonts w:ascii="Noto Sans" w:hAnsi="Noto Sans" w:eastAsia="Noto Sans"/>
          <w:sz w:val="18"/>
        </w:rPr>
        <w:t>La baseline privilegia schema e indici mirati prima di introdurre datastore aggiuntivi. Il piano fisico è verificato con EXPLAIN/ANALYZE su query rappresentative e capacity test ripetibili.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shd w:fill="0B4F6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6520"/>
            <w:shd w:fill="0B4F6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Baseline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Urban Object</w:t>
            </w:r>
          </w:p>
        </w:tc>
        <w:tc>
          <w:tcPr>
            <w:tcW w:type="dxa" w:w="65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PK su id; indice type/status/currentRevision; ETag/currentRevision lookup O(1).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Source binding</w:t>
            </w:r>
          </w:p>
        </w:tc>
        <w:tc>
          <w:tcPr>
            <w:tcW w:type="dxa" w:w="65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UNIQUE(sourceId,typeCode,sourceObjectId,validity/current); indici per reverse lookup.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Relationships</w:t>
            </w:r>
          </w:p>
        </w:tc>
        <w:tc>
          <w:tcPr>
            <w:tcW w:type="dxa" w:w="65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Indici (source,relation), (target,relation), status/validity; dedup unique key.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Geometry</w:t>
            </w:r>
          </w:p>
        </w:tc>
        <w:tc>
          <w:tcPr>
            <w:tcW w:type="dxa" w:w="65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GiST come default; SRID coerente; bounding prefilter prima di predicate costosi.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Lineage</w:t>
            </w:r>
          </w:p>
        </w:tc>
        <w:tc>
          <w:tcPr>
            <w:tcW w:type="dxa" w:w="65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Indici per urbanObjectId/revisionId/propertyRef/sourceId/ingestionRunId.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JSONB</w:t>
            </w:r>
          </w:p>
        </w:tc>
        <w:tc>
          <w:tcPr>
            <w:tcW w:type="dxa" w:w="65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GIN solo sui path realmente usati da search; evitare indicizzazione indiscriminata.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Partitioning</w:t>
            </w:r>
          </w:p>
        </w:tc>
        <w:tc>
          <w:tcPr>
            <w:tcW w:type="dxa" w:w="65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Non obbligatorio day-1; introdotto solo da capacity evidence con strategia reversibile.</w:t>
            </w:r>
          </w:p>
        </w:tc>
      </w:tr>
    </w:tbl>
    <w:p/>
    <w:p>
      <w:pPr>
        <w:pStyle w:val="Heading2"/>
      </w:pPr>
      <w:r>
        <w:rPr>
          <w:rFonts w:ascii="Noto Sans" w:hAnsi="Noto Sans" w:eastAsia="Noto Sans"/>
        </w:rPr>
        <w:t>66.1 Cache policy</w:t>
      </w:r>
    </w:p>
    <w:p>
      <w:pPr>
        <w:pStyle w:val="Heading2"/>
      </w:pPr>
      <w:r>
        <w:rPr>
          <w:rFonts w:ascii="Noto Sans" w:hAnsi="Noto Sans"/>
        </w:rPr>
        <w:t>66.2 Trigger misurabili per una futura Graph Projection</w:t>
      </w:r>
    </w:p>
    <w:p>
      <w:pPr/>
      <w:r>
        <w:rPr>
          <w:rFonts w:ascii="Noto Sans" w:hAnsi="Noto Sans"/>
        </w:rPr>
        <w:t>Neo4j/Neptune/equivalente non entra nella baseline per principio economico, ma la scelta viene rivalutata quando metriche reali dimostrano che PostgreSQL non soddisfa più il workload graph senza interferire con serving e ingestion.</w:t>
      </w:r>
    </w:p>
    <w:p>
      <w:pPr>
        <w:pStyle w:val="ListBullet"/>
      </w:pPr>
      <w:r>
        <w:rPr>
          <w:rFonts w:ascii="Noto Sans" w:hAnsi="Noto Sans"/>
        </w:rPr>
        <w:t>Traversal &gt;3 hop frequenti e funzionalmente necessari con p95 oltre SLO dopo tuning.</w:t>
      </w:r>
    </w:p>
    <w:p>
      <w:pPr>
        <w:pStyle w:val="ListBullet"/>
      </w:pPr>
      <w:r>
        <w:rPr>
          <w:rFonts w:ascii="Noto Sans" w:hAnsi="Noto Sans"/>
        </w:rPr>
        <w:t>CPU/IO PostgreSQL significativamente saturati da workload graph bounded.</w:t>
      </w:r>
    </w:p>
    <w:p>
      <w:pPr>
        <w:pStyle w:val="ListBullet"/>
      </w:pPr>
      <w:r>
        <w:rPr>
          <w:rFonts w:ascii="Noto Sans" w:hAnsi="Noto Sans"/>
        </w:rPr>
        <w:t>Numero di edge e fan-out tali da rendere instabili i piani relazionali.</w:t>
      </w:r>
    </w:p>
    <w:p>
      <w:pPr>
        <w:pStyle w:val="ListBullet"/>
      </w:pPr>
      <w:r>
        <w:rPr>
          <w:rFonts w:ascii="Noto Sans" w:hAnsi="Noto Sans"/>
        </w:rPr>
        <w:t>Pattern/path dinamici non esprimibili efficientemente con fixed JOIN e recursive CTE bounded.</w:t>
      </w:r>
    </w:p>
    <w:p>
      <w:pPr>
        <w:pStyle w:val="ListBullet"/>
      </w:pPr>
      <w:r>
        <w:rPr>
          <w:rFonts w:ascii="Noto Sans" w:hAnsi="Noto Sans"/>
        </w:rPr>
        <w:t>Necessità reale di algoritmi graph (shortest path massivo, centrality, community detection) non coperta dal serving operativo.</w:t>
      </w:r>
    </w:p>
    <w:p>
      <w:pPr/>
      <w:r>
        <w:rPr>
          <w:rFonts w:ascii="Noto Sans" w:hAnsi="Noto Sans"/>
        </w:rPr>
        <w:t>In caso di escalation, PostgreSQL/PostGIS resta system of record; il graph database è una projection ricostruibile e non diventa il proprietario esclusivo dell’identità canonica.</w:t>
      </w:r>
    </w:p>
    <w:p>
      <w:pPr/>
      <w:r>
        <w:rPr>
          <w:rFonts w:ascii="Noto Sans" w:hAnsi="Noto Sans" w:eastAsia="Noto Sans"/>
          <w:sz w:val="18"/>
        </w:rPr>
        <w:t>Non è richiesto Redis nella baseline. Cache in-process limitate possono essere usate per metadata semantici/policy e lookup stabili, con TTL breve/invalidation per version. Le response protette non vengono condivise tra AuthorizationContext incompatibili. HTTP ETag/304 è preferito quando sufficiente.</w:t>
      </w:r>
    </w:p>
    <w:p>
      <w:pPr>
        <w:pStyle w:val="Heading1"/>
      </w:pPr>
      <w:r>
        <w:rPr>
          <w:rFonts w:ascii="Noto Sans" w:hAnsi="Noto Sans" w:eastAsia="Noto Sans"/>
        </w:rPr>
        <w:t>67. Capacity planning e scaling</w:t>
      </w:r>
    </w:p>
    <w:p>
      <w:pPr/>
      <w:r>
        <w:rPr>
          <w:rFonts w:ascii="Noto Sans" w:hAnsi="Noto Sans" w:eastAsia="Noto Sans"/>
          <w:sz w:val="18"/>
        </w:rPr>
        <w:t>Ogni ambiente deve mantenere un capacity worksheet con numero Urban Object, revisioni/oggetto, edge, geometry size, lake bytes/day, query rate, ingestion rate e retention. Il dimensionamento non viene dedotto dal numero di verticali soltanto.</w:t>
      </w: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>primary sizing drivers =</w:t>
      </w: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 xml:space="preserve">  urbanObjectCount</w:t>
      </w: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 xml:space="preserve">  * averageRevisionCount</w:t>
      </w: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 xml:space="preserve">  + relationshipCount</w:t>
      </w: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 xml:space="preserve">  + spatialIndexFootprint</w:t>
      </w: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 xml:space="preserve">  + lineageIndexFootprint</w:t>
      </w: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 xml:space="preserve">  + lakeBytesPerDay * retentionWindow</w:t>
      </w: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 xml:space="preserve">  + peakConcurrentQueries</w:t>
      </w:r>
    </w:p>
    <w:p>
      <w:pPr>
        <w:pStyle w:val="OUFCode"/>
      </w:pPr>
      <w:r>
        <w:rPr>
          <w:rFonts w:ascii="DejaVu Sans Mono" w:hAnsi="DejaVu Sans Mono" w:eastAsia="DejaVu Sans Mono"/>
          <w:sz w:val="17"/>
        </w:rPr>
        <w:t xml:space="preserve">  + peakIngestionRate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551"/>
            <w:shd w:fill="0B4F6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Trigger osservato</w:t>
            </w:r>
          </w:p>
        </w:tc>
        <w:tc>
          <w:tcPr>
            <w:tcW w:type="dxa" w:w="3118"/>
            <w:shd w:fill="0B4F6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Prima risposta</w:t>
            </w:r>
          </w:p>
        </w:tc>
        <w:tc>
          <w:tcPr>
            <w:tcW w:type="dxa" w:w="3118"/>
            <w:shd w:fill="0B4F6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Evoluzione successiva se necessaria</w:t>
            </w:r>
          </w:p>
        </w:tc>
      </w:tr>
      <w:tr>
        <w:tc>
          <w:tcPr>
            <w:tcW w:type="dxa" w:w="25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CPU DB elevata</w:t>
            </w:r>
          </w:p>
        </w:tc>
        <w:tc>
          <w:tcPr>
            <w:tcW w:type="dxa" w:w="311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Query/index tuning, pool e query budget.</w:t>
            </w:r>
          </w:p>
        </w:tc>
        <w:tc>
          <w:tcPr>
            <w:tcW w:type="dxa" w:w="311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Scale-up / read replica per read-mostly.</w:t>
            </w:r>
          </w:p>
        </w:tc>
      </w:tr>
      <w:tr>
        <w:tc>
          <w:tcPr>
            <w:tcW w:type="dxa" w:w="25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I/O DB elevato</w:t>
            </w:r>
          </w:p>
        </w:tc>
        <w:tc>
          <w:tcPr>
            <w:tcW w:type="dxa" w:w="311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Index review, autovacuum/checkpoint tuning, storage tier.</w:t>
            </w:r>
          </w:p>
        </w:tc>
        <w:tc>
          <w:tcPr>
            <w:tcW w:type="dxa" w:w="311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Partitioning mirato.</w:t>
            </w:r>
          </w:p>
        </w:tc>
      </w:tr>
      <w:tr>
        <w:tc>
          <w:tcPr>
            <w:tcW w:type="dxa" w:w="25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Traversal graph costoso</w:t>
            </w:r>
          </w:p>
        </w:tc>
        <w:tc>
          <w:tcPr>
            <w:tcW w:type="dxa" w:w="311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Ridurre/indicizzare pattern, precomputed projection selettiva.</w:t>
            </w:r>
          </w:p>
        </w:tc>
        <w:tc>
          <w:tcPr>
            <w:tcW w:type="dxa" w:w="311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Graph projection/DB solo con benchmark.</w:t>
            </w:r>
          </w:p>
        </w:tc>
      </w:tr>
      <w:tr>
        <w:tc>
          <w:tcPr>
            <w:tcW w:type="dxa" w:w="25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Lake small-object overhead</w:t>
            </w:r>
          </w:p>
        </w:tc>
        <w:tc>
          <w:tcPr>
            <w:tcW w:type="dxa" w:w="311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Compaction e manifest.</w:t>
            </w:r>
          </w:p>
        </w:tc>
        <w:tc>
          <w:tcPr>
            <w:tcW w:type="dxa" w:w="311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Formato columnar/partition strategy se utile.</w:t>
            </w:r>
          </w:p>
        </w:tc>
      </w:tr>
      <w:tr>
        <w:tc>
          <w:tcPr>
            <w:tcW w:type="dxa" w:w="255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Export interferisce con serving</w:t>
            </w:r>
          </w:p>
        </w:tc>
        <w:tc>
          <w:tcPr>
            <w:tcW w:type="dxa" w:w="311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Async quota/pool dedicato.</w:t>
            </w:r>
          </w:p>
        </w:tc>
        <w:tc>
          <w:tcPr>
            <w:tcW w:type="dxa" w:w="311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Replica/read-serving separato.</w:t>
            </w:r>
          </w:p>
        </w:tc>
      </w:tr>
    </w:tbl>
    <w:p/>
    <w:p>
      <w:pPr>
        <w:pStyle w:val="Heading1"/>
      </w:pPr>
      <w:r>
        <w:rPr>
          <w:rFonts w:ascii="Noto Sans" w:hAnsi="Noto Sans" w:eastAsia="Noto Sans"/>
        </w:rPr>
        <w:t>68. Capacity baseline reale e crescita multi-fonte</w:t>
      </w:r>
    </w:p>
    <w:p>
      <w:r>
        <w:rPr>
          <w:rFonts w:ascii="Noto Sans" w:hAnsi="Noto Sans" w:eastAsia="Noto Sans"/>
        </w:rPr>
        <w:t>Il dato sorgente complessivo attuale di SUAP/SUE/SUO è stimato in circa 60 GB. Tale valore NON coincide con il footprint del data plane OUF: raw retention, normalizzazione, revisioni canoniche, provenance, lineage, geometrie e indici generano un moltiplicatore fisico. Per evitare undersizing, la baseline usa un planning factor prudenziale e considera esplicitamente l’ingresso progressivo di ulteriori verticali.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C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Voce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C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Baseline iniziale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C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Razionalità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Patrimonio sorgente noto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≈ 60 GB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SUAP + SUE + SUO al momento del freeze.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Planning factor dati/metadata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3×–4×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Include storico, enrichment, indici, lineage e margine di crescita.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Object storage iniziale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≥ 300 GB usable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Espandibile senza migrazione applicativa; target iniziale, non limite massimo.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PostgreSQL/PostGIS iniziale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≥ 250 GB usable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Comprende tabelle, indici, WAL/headroom e maintenance space.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Headroom operativo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30–50% libero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Evita emergenze durante reindex, vacuum, migration e nuovi verticali.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Orizzonte di progetto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multi-source incrementale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Ogni nuovo verticale aggiunge dataset senza cambiare il modello canonico.</w:t>
            </w:r>
          </w:p>
        </w:tc>
      </w:tr>
    </w:tbl>
    <w:p>
      <w:r>
        <w:rPr>
          <w:rFonts w:ascii="Noto Sans" w:hAnsi="Noto Sans" w:eastAsia="Noto Sans"/>
        </w:rPr>
        <w:t>Questi valori sono una engineered baseline: il sistema deve poter espandere storage e compute in modo indipendente. Nessun componente applicativo assume una capacità massima statica di 250/300 GB.</w:t>
      </w:r>
    </w:p>
    <w:p>
      <w:pPr>
        <w:pStyle w:val="Heading1"/>
      </w:pPr>
      <w:r>
        <w:rPr>
          <w:rFonts w:ascii="Noto Sans" w:hAnsi="Noto Sans" w:eastAsia="Noto Sans"/>
        </w:rPr>
        <w:t>69. Growth model e trigger di capacity expansion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C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C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Soglia indicativa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C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Azione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DB usable space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&gt; 70%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Pianificare estensione volume e verificare crescita per tabella/indice.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DB usable space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&gt; 80%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Estensione prioritaria; bloccare import/replay non essenziali se necessario.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Object storage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&gt; 75% quota assegnata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Aumentare quota/capacità; verificare compaction e retention.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Indice singolo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&gt; 20–25% del DB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Rivedere indice/partizionamento/query pattern.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Tabella storica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&gt; 100–200 M righe o maintenance degradata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Valutare/rivedere partitioning e retention tiering.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Traversal graph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SLO non rispettato nonostante tuning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Valutare projection specializzata; non introdurre graph DB per mera crescita storage.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Nuovo verticale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prima di activation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Capacity impact check come gate di onboarding operativo.</w:t>
            </w:r>
          </w:p>
        </w:tc>
      </w:tr>
    </w:tbl>
    <w:p>
      <w:r>
        <w:rPr>
          <w:rFonts w:ascii="Noto Sans" w:hAnsi="Noto Sans" w:eastAsia="Noto Sans"/>
        </w:rPr>
        <w:t>Il capacity impact check non impedisce l’onboarding per principio: produce una stima di storage, crescita delta, geometrie, expected revision rate e query pressure. Se la capacità residua è insufficiente, l’activation richiede prima l’espansione infrastrutturale.</w:t>
      </w:r>
    </w:p>
    <w:p>
      <w:pPr>
        <w:pStyle w:val="Heading1"/>
      </w:pPr>
      <w:r>
        <w:rPr>
          <w:rFonts w:ascii="Noto Sans" w:hAnsi="Noto Sans" w:eastAsia="Noto Sans"/>
        </w:rPr>
        <w:t>70. PostgreSQL sizing profile iniziale</w:t>
      </w:r>
    </w:p>
    <w:p>
      <w:r>
        <w:rPr>
          <w:rFonts w:ascii="Noto Sans" w:hAnsi="Noto Sans" w:eastAsia="Noto Sans"/>
        </w:rPr>
        <w:t>Per i circa 60 GB sorgente iniziali e il planning factor multi-tier, la baseline raccomanda un profilo capace di assorbire crescita, indici e working set senza sovradimensionamento enterprise.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C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Risorsa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C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Profilo iniziale indicativo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C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Nota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vCPU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4–8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Scalabile verticalmente; resolution/materialization pesanti possono usare worker separati.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RAM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16–32 GB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32 GB preferibile per working set/indici e query PostGIS.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Storage DB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≥ 250 GB SSD/managed block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Espandibile online; IOPS più importanti della capacità nominale.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Object storage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≥ 300 GB usable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Espandibile indipendentemente dal DB.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WAL/PITR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abilitato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Retention coerente con RPO/RTO.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Replica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1 standby o servizio managed HA se compatibile col budget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Prod baseline consigliata.</w:t>
            </w:r>
          </w:p>
        </w:tc>
      </w:tr>
    </w:tbl>
    <w:p>
      <w:r>
        <w:rPr>
          <w:rFonts w:ascii="Noto Sans" w:hAnsi="Noto Sans" w:eastAsia="Noto Sans"/>
        </w:rPr>
        <w:t>I valori sono sizing di partenza e devono essere verificati con dataset realistici e test di carico prima del go-live. La crescita del numero di fonti è un requisito normale, non un’eccezione.</w:t>
      </w:r>
    </w:p>
    <w:p>
      <w:pPr>
        <w:pStyle w:val="Heading1"/>
      </w:pPr>
      <w:r>
        <w:rPr>
          <w:rFonts w:ascii="Noto Sans" w:hAnsi="Noto Sans" w:eastAsia="Noto Sans"/>
        </w:rPr>
        <w:t>71. Multi-source scalability model</w:t>
      </w:r>
    </w:p>
    <w:p>
      <w:r>
        <w:rPr>
          <w:rFonts w:ascii="Noto Sans" w:hAnsi="Noto Sans" w:eastAsia="Noto Sans"/>
        </w:rPr>
        <w:t>Ogni fonte è isolata logicamente tramite sourceId, bundle/version, source binding e lineage. Il sistema non crea un database per verticale: nuovi verticali condividono il data plane canonico mantenendo provenance e policy per fonte.</w:t>
      </w:r>
    </w:p>
    <w:p>
      <w:pPr>
        <w:pStyle w:val="OUFCode"/>
        <w:shd w:fill="F3F4F6"/>
      </w:pPr>
      <w:r>
        <w:rPr>
          <w:rFonts w:ascii="DejaVu Sans Mono" w:hAnsi="DejaVu Sans Mono" w:eastAsia="DejaVu Sans Mono"/>
          <w:sz w:val="17"/>
        </w:rPr>
        <w:t>SOURCE A (SUAP) ─┐</w:t>
        <w:br/>
        <w:t>SOURCE B (SUE)  ─┼─&gt; Ingestion Handoff ─&gt; Data Lake + UDP Canonical Registry</w:t>
        <w:br/>
        <w:t>SOURCE C (SUO)  ─┤</w:t>
        <w:br/>
        <w:t>SOURCE N (...)  ─┘</w:t>
        <w:br/>
        <w:br/>
        <w:t>Scaling axes:</w:t>
        <w:br/>
        <w:t xml:space="preserve">  storage     -&gt; expand S3 / DB volume</w:t>
        <w:br/>
        <w:t xml:space="preserve">  write load  -&gt; add materializer workers</w:t>
        <w:br/>
        <w:t xml:space="preserve">  resolution  -&gt; add resolution workers</w:t>
        <w:br/>
        <w:t xml:space="preserve">  serving     -&gt; add udp-api replicas</w:t>
        <w:br/>
        <w:t xml:space="preserve">  query cost  -&gt; tune/index/partition before new datastore</w:t>
      </w:r>
    </w:p>
    <w:p>
      <w:pPr>
        <w:pStyle w:val="ListBullet"/>
      </w:pPr>
      <w:r>
        <w:rPr>
          <w:rFonts w:ascii="Noto Sans" w:hAnsi="Noto Sans" w:eastAsia="Noto Sans"/>
        </w:rPr>
        <w:t>Fairness e admission control impediscono a una singola sorgente bulk di monopolizzare materialization o query resources.</w:t>
      </w:r>
    </w:p>
    <w:p>
      <w:pPr>
        <w:pStyle w:val="ListBullet"/>
      </w:pPr>
      <w:r>
        <w:rPr>
          <w:rFonts w:ascii="Noto Sans" w:hAnsi="Noto Sans" w:eastAsia="Noto Sans"/>
        </w:rPr>
        <w:t>Bootstrap di una nuova fonte può essere schedulato con quote differenti rispetto ai delta già a regime.</w:t>
      </w:r>
    </w:p>
    <w:p>
      <w:pPr>
        <w:pStyle w:val="ListBullet"/>
      </w:pPr>
      <w:r>
        <w:rPr>
          <w:rFonts w:ascii="Noto Sans" w:hAnsi="Noto Sans" w:eastAsia="Noto Sans"/>
        </w:rPr>
        <w:t>La capacità è misurata per sourceId/typeCode per identificare le fonti responsabili della crescita.</w:t>
      </w:r>
    </w:p>
    <w:p>
      <w:pPr>
        <w:pStyle w:val="ListBullet"/>
      </w:pPr>
      <w:r>
        <w:rPr>
          <w:rFonts w:ascii="Noto Sans" w:hAnsi="Noto Sans" w:eastAsia="Noto Sans"/>
        </w:rPr>
        <w:t>Nessuna nuova Source API richiede schema DB dedicato salvo requisito normativo/isolamento esplicito.</w:t>
      </w:r>
    </w:p>
    <w:p>
      <w:pPr>
        <w:pStyle w:val="Heading1"/>
      </w:pPr>
      <w:r>
        <w:rPr>
          <w:rFonts w:ascii="Noto Sans" w:hAnsi="Noto Sans" w:eastAsia="Noto Sans"/>
        </w:rPr>
        <w:t>72. Metriche operative e di capacity</w:t>
      </w:r>
    </w:p>
    <w:p>
      <w:pPr>
        <w:pStyle w:val="ListBullet"/>
      </w:pPr>
      <w:r>
        <w:rPr>
          <w:rFonts w:ascii="Noto Sans" w:hAnsi="Noto Sans" w:eastAsia="Noto Sans"/>
        </w:rPr>
        <w:t>db_bytes_total / db_bytes_by_table / db_index_bytes_by_index.</w:t>
      </w:r>
    </w:p>
    <w:p>
      <w:pPr>
        <w:pStyle w:val="ListBullet"/>
      </w:pPr>
      <w:r>
        <w:rPr>
          <w:rFonts w:ascii="Noto Sans" w:hAnsi="Noto Sans" w:eastAsia="Noto Sans"/>
        </w:rPr>
        <w:t>lake_bytes_by_tier / source / retentionClass.</w:t>
      </w:r>
    </w:p>
    <w:p>
      <w:pPr>
        <w:pStyle w:val="ListBullet"/>
      </w:pPr>
      <w:r>
        <w:rPr>
          <w:rFonts w:ascii="Noto Sans" w:hAnsi="Noto Sans" w:eastAsia="Noto Sans"/>
        </w:rPr>
        <w:t>urban_objects_total, revisions_total, relationships_total per source/type.</w:t>
      </w:r>
    </w:p>
    <w:p>
      <w:pPr>
        <w:pStyle w:val="ListBullet"/>
      </w:pPr>
      <w:r>
        <w:rPr>
          <w:rFonts w:ascii="Noto Sans" w:hAnsi="Noto Sans" w:eastAsia="Noto Sans"/>
        </w:rPr>
        <w:t>materialization_rate, resolution_queue_depth, resolution_latency.</w:t>
      </w:r>
    </w:p>
    <w:p>
      <w:pPr>
        <w:pStyle w:val="ListBullet"/>
      </w:pPr>
      <w:r>
        <w:rPr>
          <w:rFonts w:ascii="Noto Sans" w:hAnsi="Noto Sans" w:eastAsia="Noto Sans"/>
        </w:rPr>
        <w:t>autovacuum lag, dead tuples, bloat estimate, checkpoint/WAL pressure.</w:t>
      </w:r>
    </w:p>
    <w:p>
      <w:pPr>
        <w:pStyle w:val="ListBullet"/>
      </w:pPr>
      <w:r>
        <w:rPr>
          <w:rFonts w:ascii="Noto Sans" w:hAnsi="Noto Sans" w:eastAsia="Noto Sans"/>
        </w:rPr>
        <w:t>PostGIS query p95/p99 e rows examined.</w:t>
      </w:r>
    </w:p>
    <w:p>
      <w:pPr>
        <w:pStyle w:val="ListBullet"/>
      </w:pPr>
      <w:r>
        <w:rPr>
          <w:rFonts w:ascii="Noto Sans" w:hAnsi="Noto Sans" w:eastAsia="Noto Sans"/>
        </w:rPr>
        <w:t>capacity_headroom_percent e projected_days_to_threshold.</w:t>
      </w:r>
    </w:p>
    <w:p>
      <w:pPr>
        <w:pStyle w:val="ListBullet"/>
      </w:pPr>
      <w:r>
        <w:rPr>
          <w:rFonts w:ascii="Noto Sans" w:hAnsi="Noto Sans" w:eastAsia="Noto Sans"/>
        </w:rPr>
        <w:t>bootstrap_vs_delta resource consumption per sourceId.</w:t>
      </w:r>
    </w:p>
    <w:p>
      <w:pPr>
        <w:pStyle w:val="Heading1"/>
      </w:pPr>
      <w:r>
        <w:rPr>
          <w:rFonts w:ascii="Noto Sans" w:hAnsi="Noto Sans" w:eastAsia="Noto Sans"/>
        </w:rPr>
        <w:t>73. Concorrenza e consistenza</w:t>
      </w:r>
    </w:p>
    <w:p>
      <w:pPr/>
      <w:r>
        <w:rPr>
          <w:rFonts w:ascii="Noto Sans" w:hAnsi="Noto Sans" w:eastAsia="Noto Sans"/>
          <w:sz w:val="18"/>
        </w:rPr>
        <w:t>La UDP deve operare in concorrenza su più fonti, utenti, ingestion run e worker. Nessuna invariance può dipendere dall’esistenza di un singolo writer globale.</w:t>
      </w:r>
    </w:p>
    <w:p>
      <w:pPr>
        <w:pStyle w:val="ListBullet"/>
      </w:pPr>
      <w:r>
        <w:rPr>
          <w:rFonts w:ascii="Noto Sans" w:hAnsi="Noto Sans" w:eastAsia="Noto Sans"/>
          <w:sz w:val="18"/>
        </w:rPr>
        <w:t>Idempotenza per handoffId e source revision.</w:t>
      </w:r>
    </w:p>
    <w:p>
      <w:pPr>
        <w:pStyle w:val="ListBullet"/>
      </w:pPr>
      <w:r>
        <w:rPr>
          <w:rFonts w:ascii="Noto Sans" w:hAnsi="Noto Sans" w:eastAsia="Noto Sans"/>
          <w:sz w:val="18"/>
        </w:rPr>
        <w:t>Optimistic locking su workflow umani e operazioni di merge/review.</w:t>
      </w:r>
    </w:p>
    <w:p>
      <w:pPr>
        <w:pStyle w:val="ListBullet"/>
      </w:pPr>
      <w:r>
        <w:rPr>
          <w:rFonts w:ascii="Noto Sans" w:hAnsi="Noto Sans" w:eastAsia="Noto Sans"/>
          <w:sz w:val="18"/>
        </w:rPr>
        <w:t>Lock/lease a granularità object/binding per materializzazione concorrente.</w:t>
      </w:r>
    </w:p>
    <w:p>
      <w:pPr>
        <w:pStyle w:val="ListBullet"/>
      </w:pPr>
      <w:r>
        <w:rPr>
          <w:rFonts w:ascii="Noto Sans" w:hAnsi="Noto Sans" w:eastAsia="Noto Sans"/>
          <w:sz w:val="18"/>
        </w:rPr>
        <w:t>Unique constraint come ultima barriera contro duplicate identity.</w:t>
      </w:r>
    </w:p>
    <w:p>
      <w:pPr>
        <w:pStyle w:val="ListBullet"/>
      </w:pPr>
      <w:r>
        <w:rPr>
          <w:rFonts w:ascii="Noto Sans" w:hAnsi="Noto Sans" w:eastAsia="Noto Sans"/>
          <w:sz w:val="18"/>
        </w:rPr>
        <w:t>Out-of-order source revisions rilevate e gestite secondo policy; non si sovrascrive ciecamente currentRevision.</w:t>
      </w:r>
    </w:p>
    <w:p>
      <w:pPr>
        <w:pStyle w:val="ListBullet"/>
      </w:pPr>
      <w:r>
        <w:rPr>
          <w:rFonts w:ascii="Noto Sans" w:hAnsi="Noto Sans" w:eastAsia="Noto Sans"/>
          <w:sz w:val="18"/>
        </w:rPr>
        <w:t>Query read consistenti con currentRevisionId atomico; revision history append-only.</w:t>
      </w:r>
    </w:p>
    <w:p>
      <w:pPr>
        <w:pStyle w:val="Heading1"/>
      </w:pPr>
      <w:r>
        <w:rPr>
          <w:rFonts w:ascii="Noto Sans" w:hAnsi="Noto Sans" w:eastAsia="Noto Sans"/>
        </w:rPr>
        <w:t>74. Concorrenza e race condition nell’Object Resolution</w:t>
      </w:r>
    </w:p>
    <w:p>
      <w:pPr>
        <w:pStyle w:val="ListBullet"/>
      </w:pPr>
      <w:r>
        <w:rPr>
          <w:rFonts w:ascii="Noto Sans" w:hAnsi="Noto Sans" w:eastAsia="Noto Sans"/>
          <w:b w:val="0"/>
          <w:sz w:val="18"/>
        </w:rPr>
        <w:t>Due worker che tentano di creare lo stesso Urban Object devono convergere tramite unique constraints/binding lock e idempotenza.</w:t>
      </w:r>
    </w:p>
    <w:p>
      <w:pPr>
        <w:pStyle w:val="ListBullet"/>
      </w:pPr>
      <w:r>
        <w:rPr>
          <w:rFonts w:ascii="Noto Sans" w:hAnsi="Noto Sans" w:eastAsia="Noto Sans"/>
          <w:b w:val="0"/>
          <w:sz w:val="18"/>
        </w:rPr>
        <w:t>Una decisione HUMAN viene applicata con If-Match/lockVersion sul ResolutionIssue; decisioni concorrenti stale ricevono 409/412.</w:t>
      </w:r>
    </w:p>
    <w:p>
      <w:pPr>
        <w:pStyle w:val="ListBullet"/>
      </w:pPr>
      <w:r>
        <w:rPr>
          <w:rFonts w:ascii="Noto Sans" w:hAnsi="Noto Sans" w:eastAsia="Noto Sans"/>
          <w:b w:val="0"/>
          <w:sz w:val="18"/>
        </w:rPr>
        <w:t>Merge e split acquisiscono lock applicativi sugli object identity/binding coinvolti in ordine deterministico per evitare deadlock.</w:t>
      </w:r>
    </w:p>
    <w:p>
      <w:pPr>
        <w:pStyle w:val="ListBullet"/>
      </w:pPr>
      <w:r>
        <w:rPr>
          <w:rFonts w:ascii="Noto Sans" w:hAnsi="Noto Sans" w:eastAsia="Noto Sans"/>
          <w:b w:val="0"/>
          <w:sz w:val="18"/>
        </w:rPr>
        <w:t>Una nuova ingestion contribution arrivata durante un impact review invalida o ricalcola l’impact hash prima della conferma.</w:t>
      </w:r>
    </w:p>
    <w:p>
      <w:pPr>
        <w:pStyle w:val="ListBullet"/>
      </w:pPr>
      <w:r>
        <w:rPr>
          <w:rFonts w:ascii="Noto Sans" w:hAnsi="Noto Sans" w:eastAsia="Noto Sans"/>
          <w:b w:val="0"/>
          <w:sz w:val="18"/>
        </w:rPr>
        <w:t>Authority policy change e object materialization sono serializzate per oggetto/property scope dove necessario; lo storico resta append-only.</w:t>
      </w:r>
    </w:p>
    <w:p>
      <w:pPr>
        <w:pStyle w:val="Heading1"/>
      </w:pPr>
      <w:r>
        <w:rPr>
          <w:rFonts w:ascii="Noto Sans" w:hAnsi="Noto Sans" w:eastAsia="Noto Sans"/>
        </w:rPr>
        <w:t>75. Concorrenza tra rebuild, live ingestion e serving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0B4F6C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Concorrenza</w:t>
            </w:r>
          </w:p>
        </w:tc>
        <w:tc>
          <w:tcPr>
            <w:tcW w:type="dxa" w:w="4929"/>
            <w:vAlign w:val="center"/>
            <w:shd w:fill="0B4F6C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Regola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Live ingestion vs rebuild stesso object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Serializzazione per logical object key o conflict detection; nessun lost update.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Rebuild vs serving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Serving continua sullo stato current precedente finché il nuovo stato shadow non è validato.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Due rebuild concorrenti stesso scope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Uno solo può detenere il lease di rebuild; il secondo viene rifiutato o accodato.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Authority transition durante rebuild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La baseline authority è pinnata per il job; eventuale cambio richiede nuova run.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Policy access durante rebuild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L’accesso usa sempre la policy corrente, anche su dati storici.</w:t>
            </w:r>
          </w:p>
        </w:tc>
      </w:tr>
    </w:tbl>
    <w:p/>
    <w:p>
      <w:pPr>
        <w:pStyle w:val="Heading1"/>
      </w:pPr>
      <w:r>
        <w:rPr>
          <w:rFonts w:ascii="Noto Sans" w:hAnsi="Noto Sans" w:eastAsia="Noto Sans"/>
        </w:rPr>
        <w:t>76. Concorrenza multi-source, multi-user e multi-workload</w:t>
      </w:r>
    </w:p>
    <w:p>
      <w:r>
        <w:rPr>
          <w:rFonts w:ascii="Noto Sans" w:hAnsi="Noto Sans" w:eastAsia="Noto Sans"/>
        </w:rPr>
        <w:t>La piattaforma non assume mai una singola fonte, un singolo worker o un singolo operatore. SUAP/SUE/SUO sono il primo perimetro; l’architettura deve crescere per aggiunta ordinaria di nuove fonti e verticali.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402"/>
            <w:vAlign w:val="center"/>
            <w:shd w:fill="0B4F6C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Concorrenza</w:t>
            </w:r>
          </w:p>
        </w:tc>
        <w:tc>
          <w:tcPr>
            <w:tcW w:type="dxa" w:w="7370"/>
            <w:vAlign w:val="center"/>
            <w:shd w:fill="0B4F6C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Meccanismo di protezione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Più fonti in materializzazione</w:t>
            </w:r>
          </w:p>
        </w:tc>
        <w:tc>
          <w:tcPr>
            <w:tcW w:type="dxa" w:w="7370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partitioning/queue fairness, idempotency key, transaction boundaries.</w:t>
            </w:r>
          </w:p>
        </w:tc>
      </w:tr>
      <w:tr>
        <w:tc>
          <w:tcPr>
            <w:tcW w:type="dxa" w:w="3402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Più revisioni dello stesso source object</w:t>
            </w:r>
          </w:p>
        </w:tc>
        <w:tc>
          <w:tcPr>
            <w:tcW w:type="dxa" w:w="7370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source revision/order guard e optimistic concurrency.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Live ingestion + rebuild</w:t>
            </w:r>
          </w:p>
        </w:tc>
        <w:tc>
          <w:tcPr>
            <w:tcW w:type="dxa" w:w="7370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workload class, rebuild shadow, cut-over atomico.</w:t>
            </w:r>
          </w:p>
        </w:tc>
      </w:tr>
      <w:tr>
        <w:tc>
          <w:tcPr>
            <w:tcW w:type="dxa" w:w="3402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Serving + compaction</w:t>
            </w:r>
          </w:p>
        </w:tc>
        <w:tc>
          <w:tcPr>
            <w:tcW w:type="dxa" w:w="7370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manifest/version indirection; nessun path fisico stabile esposto.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Più utenti/MCP session</w:t>
            </w:r>
          </w:p>
        </w:tc>
        <w:tc>
          <w:tcPr>
            <w:tcW w:type="dxa" w:w="7370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stateless API, AuthorizationContext per request, ETag/cursor.</w:t>
            </w:r>
          </w:p>
        </w:tc>
      </w:tr>
      <w:tr>
        <w:tc>
          <w:tcPr>
            <w:tcW w:type="dxa" w:w="3402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Merge/split concorrenti</w:t>
            </w:r>
          </w:p>
        </w:tc>
        <w:tc>
          <w:tcPr>
            <w:tcW w:type="dxa" w:w="7370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resource lock/version check e impact report invalidation.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Nuovo verticale ad alto volume</w:t>
            </w:r>
          </w:p>
        </w:tc>
        <w:tc>
          <w:tcPr>
            <w:tcW w:type="dxa" w:w="7370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capacity gate e scaling indipendente di worker/storage.</w:t>
            </w:r>
          </w:p>
        </w:tc>
      </w:tr>
    </w:tbl>
    <w:p>
      <w:pPr>
        <w:pStyle w:val="Heading1"/>
      </w:pPr>
      <w:r>
        <w:rPr>
          <w:rFonts w:ascii="Noto Sans" w:hAnsi="Noto Sans" w:eastAsia="Noto Sans"/>
        </w:rPr>
        <w:t>77. Operational runbook minimo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438"/>
            <w:shd w:fill="0B4F6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Evento</w:t>
            </w:r>
          </w:p>
        </w:tc>
        <w:tc>
          <w:tcPr>
            <w:tcW w:type="dxa" w:w="6236"/>
            <w:shd w:fill="0B4F6C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Runbook minimo</w:t>
            </w:r>
          </w:p>
        </w:tc>
      </w:tr>
      <w:tr>
        <w:tc>
          <w:tcPr>
            <w:tcW w:type="dxa" w:w="243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DB saturation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Limitare workload costoso, identificare slow query/lock, proteggere ingestion, scalare se necessario.</w:t>
            </w:r>
          </w:p>
        </w:tc>
      </w:tr>
      <w:tr>
        <w:tc>
          <w:tcPr>
            <w:tcW w:type="dxa" w:w="243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Object storage unavailable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Bloccare nuovi durable lake commits; non avanzare processing outcome; serving DB-only continua dove sicuro.</w:t>
            </w:r>
          </w:p>
        </w:tc>
      </w:tr>
      <w:tr>
        <w:tc>
          <w:tcPr>
            <w:tcW w:type="dxa" w:w="243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Integrity mismatch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Quarantine LakeObject, bloccare replay interessato, avviare restore/re-ingest con audit.</w:t>
            </w:r>
          </w:p>
        </w:tc>
      </w:tr>
      <w:tr>
        <w:tc>
          <w:tcPr>
            <w:tcW w:type="dxa" w:w="243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Compaction failure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Preservare locator precedenti, annullare manifest non verificato, retry low-priority.</w:t>
            </w:r>
          </w:p>
        </w:tc>
      </w:tr>
      <w:tr>
        <w:tc>
          <w:tcPr>
            <w:tcW w:type="dxa" w:w="243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Retention purge failure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Mantenere DELETION_PENDING, nessuna perdita logica; retry idempotente.</w:t>
            </w:r>
          </w:p>
        </w:tc>
      </w:tr>
      <w:tr>
        <w:tc>
          <w:tcPr>
            <w:tcW w:type="dxa" w:w="243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Slow graph query storm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5F7F8"/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Applicare complexity budget/rate limit, degradare deep traversal, preservare object read.</w:t>
            </w:r>
          </w:p>
        </w:tc>
      </w:tr>
      <w:tr>
        <w:tc>
          <w:tcPr>
            <w:tcW w:type="dxa" w:w="243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Cold object richiesto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sz w:val="17"/>
              </w:rPr>
              <w:t>Restore/re-hydrate secondo storage class; risposta async se necessario.</w:t>
            </w:r>
          </w:p>
        </w:tc>
      </w:tr>
    </w:tbl>
    <w:p/>
    <w:p>
      <w:pPr>
        <w:pStyle w:val="Heading1"/>
      </w:pPr>
      <w:r>
        <w:rPr>
          <w:rFonts w:ascii="Noto Sans" w:hAnsi="Noto Sans" w:eastAsia="Noto Sans"/>
        </w:rPr>
        <w:t>78. High Availability e failure domains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C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C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HA baseline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C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Failure behavior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udp-api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2+ replica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Stateless; retry/load balancing.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materializer/resolution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lease/locking persistente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Worker failover e replay idempotente.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PostgreSQL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managed HA o primary+standby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No durable ACK se DB indisponibile; recovery da WAL/PITR.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Object storage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servizio ridondato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No durable ACK se payload richiesto non è verificato durable.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Kubernetes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anti-affinity/PDB dove disponibile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Evita perdita simultanea di tutte le repliche durante maintenance.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Gateway/IAM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servizi condivisi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Serving protetto; nessun bypass locale in caso di outage IAM.</w:t>
            </w:r>
          </w:p>
        </w:tc>
      </w:tr>
    </w:tbl>
    <w:p>
      <w:pPr>
        <w:pStyle w:val="Heading1"/>
      </w:pPr>
      <w:r>
        <w:rPr>
          <w:rFonts w:ascii="Noto Sans" w:hAnsi="Noto Sans" w:eastAsia="Noto Sans"/>
        </w:rPr>
        <w:t>79. Commit protocol tra object storage e PostgreSQL</w:t>
      </w:r>
    </w:p>
    <w:p>
      <w:r>
        <w:rPr>
          <w:rFonts w:ascii="Noto Sans" w:hAnsi="Noto Sans" w:eastAsia="Noto Sans"/>
        </w:rPr>
        <w:t>La materializzazione deve evitare riferimenti DB a payload non durevoli e avanzamenti di stato prematuri. La baseline usa un protocollo applicativo idempotente con checksum e stati intermedi.</w:t>
      </w:r>
    </w:p>
    <w:p>
      <w:pPr>
        <w:pStyle w:val="OUFCode"/>
        <w:shd w:fill="F3F4F6"/>
      </w:pPr>
      <w:r>
        <w:rPr>
          <w:rFonts w:ascii="DejaVu Sans Mono" w:hAnsi="DejaVu Sans Mono" w:eastAsia="DejaVu Sans Mono"/>
          <w:sz w:val="17"/>
        </w:rPr>
        <w:t>1. write object -&gt; STAGED</w:t>
        <w:br/>
        <w:t>2. verify checksum / durability</w:t>
        <w:br/>
        <w:t>3. transaction PostgreSQL:</w:t>
        <w:br/>
        <w:t xml:space="preserve">     insert/update canonical revision</w:t>
        <w:br/>
        <w:t xml:space="preserve">     insert provenance/lineage</w:t>
        <w:br/>
        <w:t xml:space="preserve">     register lake object = VERIFIED</w:t>
        <w:br/>
        <w:t>4. COMMIT DB</w:t>
        <w:br/>
        <w:t>5. emit/return durable materialization ACK</w:t>
        <w:br/>
        <w:br/>
        <w:t>On crash before step 4: replay safe</w:t>
        <w:br/>
        <w:t>On crash after step 4: idempotency key returns existing result</w:t>
      </w:r>
    </w:p>
    <w:p>
      <w:pPr>
        <w:pStyle w:val="Heading1"/>
      </w:pPr>
      <w:r>
        <w:rPr>
          <w:rFonts w:ascii="Noto Sans" w:hAnsi="Noto Sans" w:eastAsia="Noto Sans"/>
        </w:rPr>
        <w:t>80. Flyway, DDL e rolling migration safety</w:t>
      </w:r>
    </w:p>
    <w:p>
      <w:pPr>
        <w:pStyle w:val="ListBullet"/>
      </w:pPr>
      <w:r>
        <w:rPr>
          <w:rFonts w:ascii="Noto Sans" w:hAnsi="Noto Sans" w:eastAsia="Noto Sans"/>
        </w:rPr>
        <w:t>Una sola migration job/leader esegue Flyway; le repliche applicative non competono per modificare lo schema in produzione.</w:t>
      </w:r>
    </w:p>
    <w:p>
      <w:pPr>
        <w:pStyle w:val="ListBullet"/>
      </w:pPr>
      <w:r>
        <w:rPr>
          <w:rFonts w:ascii="Noto Sans" w:hAnsi="Noto Sans" w:eastAsia="Noto Sans"/>
        </w:rPr>
        <w:t>Breaking change DB seguono expand → compatible rollout → backfill → contract in release successive.</w:t>
      </w:r>
    </w:p>
    <w:p>
      <w:pPr>
        <w:pStyle w:val="ListBullet"/>
      </w:pPr>
      <w:r>
        <w:rPr>
          <w:rFonts w:ascii="Noto Sans" w:hAnsi="Noto Sans" w:eastAsia="Noto Sans"/>
        </w:rPr>
        <w:t>Migration ad alto rischio richiedono backup/PITR verificato e stima della lock duration.</w:t>
      </w:r>
    </w:p>
    <w:p>
      <w:pPr>
        <w:pStyle w:val="ListBullet"/>
      </w:pPr>
      <w:r>
        <w:rPr>
          <w:rFonts w:ascii="Noto Sans" w:hAnsi="Noto Sans" w:eastAsia="Noto Sans"/>
        </w:rPr>
        <w:t>Checksum mismatch o failed migration bloccano il rollout; nessun flyway repair automatico in produzione.</w:t>
      </w:r>
    </w:p>
    <w:p>
      <w:pPr>
        <w:pStyle w:val="ListBullet"/>
      </w:pPr>
      <w:r>
        <w:rPr>
          <w:rFonts w:ascii="Noto Sans" w:hAnsi="Noto Sans" w:eastAsia="Noto Sans"/>
        </w:rPr>
        <w:t>Partizioni future sono create anticipatamente da maintenance job per evitare failure al cambio periodo.</w:t>
      </w:r>
    </w:p>
    <w:p>
      <w:pPr>
        <w:pStyle w:val="ListBullet"/>
      </w:pPr>
      <w:r>
        <w:rPr>
          <w:rFonts w:ascii="Noto Sans" w:hAnsi="Noto Sans" w:eastAsia="Noto Sans"/>
        </w:rPr>
        <w:t>Rollback applicativo è consentito soltanto se lo schema DB resta backward-compatible con la release precedente.</w:t>
      </w:r>
    </w:p>
    <w:p>
      <w:pPr>
        <w:pStyle w:val="Heading1"/>
      </w:pPr>
      <w:r>
        <w:rPr>
          <w:rFonts w:ascii="Noto Sans" w:hAnsi="Noto Sans" w:eastAsia="Noto Sans"/>
        </w:rPr>
        <w:t>81. Backup, PITR e restore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C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Ambito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4F8C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Baseline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PostgreSQL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backup full + WAL/PITR; restore test periodico.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Object storage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versioning/immutability o replica secondo servizio; manifest e checksum ricostruibili.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RPO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target iniziale ≤ 15 min per DB, da confermare con infrastruttura scelta.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RTO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target iniziale ≤ 4 h per servizio core, da validare con restore exercise.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Consistency recovery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riconciliazione DB &lt;-&gt; object storage prima di dichiarare servizio pienamente healthy.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Evidence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  <w:t>restore report e reconciliation report entrano nell’evidence package di collaudo.</w:t>
            </w:r>
          </w:p>
        </w:tc>
      </w:tr>
    </w:tbl>
    <w:p>
      <w:pPr>
        <w:pStyle w:val="Heading1"/>
      </w:pPr>
      <w:r>
        <w:rPr>
          <w:rFonts w:ascii="Noto Sans" w:hAnsi="Noto Sans" w:eastAsia="Noto Sans"/>
        </w:rPr>
        <w:t>82. Deployment profile Kubernetes</w:t>
      </w:r>
    </w:p>
    <w:p>
      <w:pPr>
        <w:pStyle w:val="OUFCode"/>
        <w:shd w:fill="F3F4F6"/>
      </w:pPr>
      <w:r>
        <w:rPr>
          <w:rFonts w:ascii="DejaVu Sans Mono" w:hAnsi="DejaVu Sans Mono" w:eastAsia="DejaVu Sans Mono"/>
          <w:sz w:val="17"/>
        </w:rPr>
        <w:t>namespace: ouf-data</w:t>
        <w:br/>
        <w:br/>
        <w:t>Deployments:</w:t>
        <w:br/>
        <w:t xml:space="preserve">  udp-api                 replicas: 2+</w:t>
        <w:br/>
        <w:t xml:space="preserve">  udp-materializer        replicas: 2</w:t>
        <w:br/>
        <w:t xml:space="preserve">  udp-resolution-worker   replicas: 1-2</w:t>
        <w:br/>
        <w:t xml:space="preserve">  udp-maintenance-worker  replicas: 1</w:t>
        <w:br/>
        <w:br/>
        <w:t>External/shared services:</w:t>
        <w:br/>
        <w:t xml:space="preserve">  PostgreSQL/PostGIS      HA / managed</w:t>
        <w:br/>
        <w:t xml:space="preserve">  S3-compatible storage   shared resilient service</w:t>
        <w:br/>
        <w:t xml:space="preserve">  IAM / Gateway / Secrets / Observability</w:t>
        <w:br/>
        <w:br/>
        <w:t>No mandatory:</w:t>
        <w:br/>
        <w:t xml:space="preserve">  Kafka | Redis | GraphDB | Spark | Flink | Lakehouse engine</w:t>
      </w:r>
    </w:p>
    <w:p>
      <w:r>
        <w:rPr>
          <w:rFonts w:ascii="Noto Sans" w:hAnsi="Noto Sans" w:eastAsia="Noto Sans"/>
        </w:rPr>
        <w:t>Resource request/limit e HorizontalPodAutoscaler sono definiti per workload, non globalmente. Il DB e l’object storage scalano con meccanismi propri dell’infrastruttura scelta.</w:t>
      </w:r>
    </w:p>
    <w:p>
      <w:pPr>
        <w:pStyle w:val="Heading1"/>
      </w:pPr>
      <w:r>
        <w:rPr>
          <w:rFonts w:ascii="Noto Sans" w:hAnsi="Noto Sans" w:eastAsia="Noto Sans"/>
        </w:rPr>
        <w:t>83. Failure taxonomy e failure domains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0B4F6C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Failure domain</w:t>
            </w:r>
          </w:p>
        </w:tc>
        <w:tc>
          <w:tcPr>
            <w:tcW w:type="dxa" w:w="3286"/>
            <w:vAlign w:val="center"/>
            <w:shd w:fill="0B4F6C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Esempi</w:t>
            </w:r>
          </w:p>
        </w:tc>
        <w:tc>
          <w:tcPr>
            <w:tcW w:type="dxa" w:w="3286"/>
            <w:vAlign w:val="center"/>
            <w:shd w:fill="0B4F6C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Effetto richiesto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Ingestion handoff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payload duplicato, ordine inatteso, ACK perso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Idempotenza; nessuna doppia materializzazione; ACK ripetibile.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Object storage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timeout, oggetto mancante, checksum errato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Nessun commit logico se la durabilità non è provata; riconciliazione successiva.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PostgreSQL/PostGIS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transaction abort, replica indisponibile, lock contention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Rollback atomico; retry controllato; nessuna revisione parziale.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Resolution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candidate explosion, conflitto authority, spatial ambiguity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REVIEW_REQUIRED o sospensione mirata; nessuna scelta arbitraria.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Serving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query timeout, overload, stale replica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Risposta machine-readable; backpressure; nessuna degradazione dei controlli accesso.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Cross-module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bundle/semantic ref non risolvibile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Handoff rifiutato o quarantena tecnica; mai reinterpretazione silenziosa.</w:t>
            </w:r>
          </w:p>
        </w:tc>
      </w:tr>
    </w:tbl>
    <w:p/>
    <w:p>
      <w:pPr>
        <w:pStyle w:val="Heading1"/>
      </w:pPr>
      <w:r>
        <w:rPr>
          <w:rFonts w:ascii="Noto Sans" w:hAnsi="Noto Sans" w:eastAsia="Noto Sans"/>
        </w:rPr>
        <w:t>84. Recovery state machine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</w:rPr>
        <w:t>HEALTHY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</w:rPr>
        <w:t xml:space="preserve">  | failure detected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</w:rPr>
        <w:t xml:space="preserve">  v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</w:rPr>
        <w:t>DEGRADED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</w:rPr>
        <w:t xml:space="preserve">  | recoverable automatically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</w:rPr>
        <w:t xml:space="preserve">  +--------------------&gt; RECOVERING ----&gt; HEALTHY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</w:rPr>
        <w:t xml:space="preserve">  |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</w:rPr>
        <w:t xml:space="preserve">  | manual decision / invariant broken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</w:rPr>
        <w:t xml:space="preserve">  v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</w:rPr>
        <w:t>PAUSED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</w:rPr>
        <w:t xml:space="preserve">  | approved remediation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</w:rPr>
        <w:t xml:space="preserve">  v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</w:rPr>
        <w:t>RECOVERING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</w:rPr>
        <w:t xml:space="preserve">  | invariant check + reconciliation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</w:rPr>
        <w:t xml:space="preserve">  v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</w:rPr>
        <w:t>HEALTHY</w:t>
      </w:r>
    </w:p>
    <w:p>
      <w:pPr>
        <w:pStyle w:val="ListBullet"/>
      </w:pPr>
      <w:r>
        <w:rPr>
          <w:rFonts w:ascii="Noto Sans" w:hAnsi="Noto Sans" w:eastAsia="Noto Sans"/>
        </w:rPr>
        <w:t>DEGRADED consente solo operazioni compatibili con l’invariante di consistenza.</w:t>
      </w:r>
    </w:p>
    <w:p>
      <w:pPr>
        <w:pStyle w:val="ListBullet"/>
      </w:pPr>
      <w:r>
        <w:rPr>
          <w:rFonts w:ascii="Noto Sans" w:hAnsi="Noto Sans" w:eastAsia="Noto Sans"/>
        </w:rPr>
        <w:t>PAUSED blocca il perimetro impattato, non necessariamente l’intera piattaforma.</w:t>
      </w:r>
    </w:p>
    <w:p>
      <w:pPr>
        <w:pStyle w:val="ListBullet"/>
      </w:pPr>
      <w:r>
        <w:rPr>
          <w:rFonts w:ascii="Noto Sans" w:hAnsi="Noto Sans" w:eastAsia="Noto Sans"/>
        </w:rPr>
        <w:t>RECOVERING non rende visibile una nuova current view finché i controlli finali non sono superati.</w:t>
      </w:r>
    </w:p>
    <w:p>
      <w:pPr>
        <w:pStyle w:val="Heading1"/>
      </w:pPr>
      <w:r>
        <w:rPr>
          <w:rFonts w:ascii="Noto Sans" w:hAnsi="Noto Sans" w:eastAsia="Noto Sans"/>
        </w:rPr>
        <w:t>85. Replay semantics</w:t>
      </w:r>
    </w:p>
    <w:p>
      <w:r>
        <w:rPr>
          <w:rFonts w:ascii="Noto Sans" w:hAnsi="Noto Sans" w:eastAsia="Noto Sans"/>
        </w:rPr>
        <w:t>Il replay è una nuova elaborazione intenzionale di dati già durevoli. Deve essere distinguibile dalla normale ripresa tecnica di una richiesta fallita e deve conservare il riferimento al motivo, all’attore e alla baseline contrattuale utilizzata.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0B4F6C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Modalità</w:t>
            </w:r>
          </w:p>
        </w:tc>
        <w:tc>
          <w:tcPr>
            <w:tcW w:type="dxa" w:w="3286"/>
            <w:vAlign w:val="center"/>
            <w:shd w:fill="0B4F6C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Contratti usati</w:t>
            </w:r>
          </w:p>
        </w:tc>
        <w:tc>
          <w:tcPr>
            <w:tcW w:type="dxa" w:w="3286"/>
            <w:vAlign w:val="center"/>
            <w:shd w:fill="0B4F6C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REPRODUCE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schema/bundle/mapping/semantic publication storici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Riproduzione dell’esito storico per audit o diagnosi.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REPROCESS_CURRENT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raw storico + configurazione ACTIVE corrente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Ricalcolo controllato verso il modello corrente.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REPROCESS_TARGET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raw storico + baseline esplicitamente selezionata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Migrazione o correzione verso una versione obiettivo.</w:t>
            </w:r>
          </w:p>
        </w:tc>
      </w:tr>
    </w:tbl>
    <w:p/>
    <w:p>
      <w:pPr>
        <w:pStyle w:val="ListBullet"/>
      </w:pPr>
      <w:r>
        <w:rPr>
          <w:rFonts w:ascii="Noto Sans" w:hAnsi="Noto Sans" w:eastAsia="Noto Sans"/>
        </w:rPr>
        <w:t>Il replay non sovrascrive revisioni storiche già pubblicate: produce nuove revisioni/provenance quando materializza un nuovo esito.</w:t>
      </w:r>
    </w:p>
    <w:p>
      <w:pPr>
        <w:pStyle w:val="ListBullet"/>
      </w:pPr>
      <w:r>
        <w:rPr>
          <w:rFonts w:ascii="Noto Sans" w:hAnsi="Noto Sans" w:eastAsia="Noto Sans"/>
        </w:rPr>
        <w:t>Le policy DataAccessLabel applicabili al risultato sono valutate nuovamente; il replay non costituisce bypass autorizzativo.</w:t>
      </w:r>
    </w:p>
    <w:p>
      <w:pPr>
        <w:pStyle w:val="Heading1"/>
      </w:pPr>
      <w:r>
        <w:rPr>
          <w:rFonts w:ascii="Noto Sans" w:hAnsi="Noto Sans" w:eastAsia="Noto Sans"/>
        </w:rPr>
        <w:t>86. Rebuild del serving state e shadow rebuild</w:t>
      </w:r>
    </w:p>
    <w:p>
      <w:r>
        <w:rPr>
          <w:rFonts w:ascii="Noto Sans" w:hAnsi="Noto Sans" w:eastAsia="Noto Sans"/>
        </w:rPr>
        <w:t>PostgreSQL/PostGIS è il system of record del serving state corrente, ma il sistema deve poter ricostruire gli stati derivati a partire da artefatti durevoli e contratti storici. La ricostruibilità è una proprietà architetturale, non una procedura eccezionale ad hoc.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</w:rPr>
        <w:t>Object Storage RAW / NORMALIZED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</w:rPr>
        <w:t xml:space="preserve">        +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</w:rPr>
        <w:t>Historical Contracts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</w:rPr>
        <w:t xml:space="preserve">        +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</w:rPr>
        <w:t>Semantic Publication Sets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</w:rPr>
        <w:t xml:space="preserve">        +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</w:rPr>
        <w:t>Resolution / Authority evidence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</w:rPr>
        <w:t xml:space="preserve">        |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</w:rPr>
        <w:t xml:space="preserve">        v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</w:rPr>
        <w:t>REBUILD WORKFLOW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</w:rPr>
        <w:t xml:space="preserve">        |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</w:rPr>
        <w:t xml:space="preserve">        v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</w:rPr>
        <w:t>shadow serving state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</w:rPr>
        <w:t xml:space="preserve">        | validate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</w:rPr>
        <w:t xml:space="preserve">        v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</w:rPr>
        <w:t>controlled cut-over</w:t>
      </w:r>
    </w:p>
    <w:p>
      <w:pPr>
        <w:pStyle w:val="Heading2"/>
      </w:pPr>
      <w:r>
        <w:rPr>
          <w:rFonts w:ascii="Noto Sans" w:hAnsi="Noto Sans" w:eastAsia="Noto Sans"/>
        </w:rPr>
        <w:t>86.1 Rebuild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0B4F6C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Mode</w:t>
            </w:r>
          </w:p>
        </w:tc>
        <w:tc>
          <w:tcPr>
            <w:tcW w:type="dxa" w:w="3286"/>
            <w:vAlign w:val="center"/>
            <w:shd w:fill="0B4F6C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Ambito</w:t>
            </w:r>
          </w:p>
        </w:tc>
        <w:tc>
          <w:tcPr>
            <w:tcW w:type="dxa" w:w="3286"/>
            <w:vAlign w:val="center"/>
            <w:shd w:fill="0B4F6C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Note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OBJECT_REBUILD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singolo Urban Object e dipendenze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Diagnostica/correzione puntuale.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SOURCE_REBUILD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tutti gli oggetti derivati da sourceId/typeCode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Utile dopo correzioni sistemiche.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PARTITION_REBUILD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partizione temporale/logica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Recupero mirato di dataset grandi.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FULL_REBUILD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intero serving state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DR o migrazione straordinaria; eseguito in shadow.</w:t>
            </w:r>
          </w:p>
        </w:tc>
      </w:tr>
    </w:tbl>
    <w:p/>
    <w:p>
      <w:pPr>
        <w:pStyle w:val="Heading1"/>
      </w:pPr>
      <w:r>
        <w:rPr>
          <w:rFonts w:ascii="Noto Sans" w:hAnsi="Noto Sans" w:eastAsia="Noto Sans"/>
        </w:rPr>
        <w:t>87. Cross-module recovery protocol</w:t>
      </w:r>
    </w:p>
    <w:p>
      <w:r>
        <w:rPr>
          <w:rFonts w:ascii="Noto Sans" w:hAnsi="Noto Sans" w:eastAsia="Noto Sans"/>
        </w:rPr>
        <w:t>Il recovery end-to-end richiede che ogni modulo mantenga la propria autorità e che il Data Plane non ricostruisca autonomamente decisioni di Onboarding o Semantic Registry.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0B4F6C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Dipendenza</w:t>
            </w:r>
          </w:p>
        </w:tc>
        <w:tc>
          <w:tcPr>
            <w:tcW w:type="dxa" w:w="3286"/>
            <w:vAlign w:val="center"/>
            <w:shd w:fill="0B4F6C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Autorità</w:t>
            </w:r>
          </w:p>
        </w:tc>
        <w:tc>
          <w:tcPr>
            <w:tcW w:type="dxa" w:w="3286"/>
            <w:vAlign w:val="center"/>
            <w:shd w:fill="0B4F6C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Comportamento recovery UDP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PublishedConfigurationBundle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Source Onboarding &amp; Configuration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Risoluzione per ID/versione; se assente, recovery bloccato.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SemanticPublicationSet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Semantic Model / Registry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Pinning della versione storica; nessun upgrade implicito.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Authorization policy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Authorization &amp; Access Control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Policy corrente per l’accesso; evidence storica per audit.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IngestionRun / Handoff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Ingestion Runtime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Deduplica e ricostruzione dal durable handoff/raw.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Service identity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IAM / Technical IAM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Nuova autenticazione M2M; nessun riuso di credenziale storica.</w:t>
            </w:r>
          </w:p>
        </w:tc>
      </w:tr>
    </w:tbl>
    <w:p/>
    <w:p>
      <w:pPr>
        <w:pStyle w:val="Heading1"/>
      </w:pPr>
      <w:r>
        <w:rPr>
          <w:rFonts w:ascii="Noto Sans" w:hAnsi="Noto Sans" w:eastAsia="Noto Sans"/>
        </w:rPr>
        <w:t>88. Orphan, dangling reference e reconciliation</w:t>
      </w:r>
    </w:p>
    <w:p>
      <w:r>
        <w:rPr>
          <w:rFonts w:ascii="Noto Sans" w:hAnsi="Noto Sans" w:eastAsia="Noto Sans"/>
        </w:rPr>
        <w:t>La riconciliazione periodica deve rilevare divergenze tra object storage, PostgreSQL/PostGIS e riferimenti cross-module senza correggerle in modo distruttivo automaticamente.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0B4F6C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Anomalia</w:t>
            </w:r>
          </w:p>
        </w:tc>
        <w:tc>
          <w:tcPr>
            <w:tcW w:type="dxa" w:w="3286"/>
            <w:vAlign w:val="center"/>
            <w:shd w:fill="0B4F6C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Classificazione</w:t>
            </w:r>
          </w:p>
        </w:tc>
        <w:tc>
          <w:tcPr>
            <w:tcW w:type="dxa" w:w="3286"/>
            <w:vAlign w:val="center"/>
            <w:shd w:fill="0B4F6C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Azione baseline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Lake object esiste ma manifest DB assente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ORPHAN_STORAGE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Quarantine logica + verifica lineage; eventuale adozione solo con evidence.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Manifest DB punta a object mancante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DANGLING_STORAGE_REF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Serving/replay dipendente bloccato; restore o ricostruzione.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Urban revision senza provenance completa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PROVENANCE_GAP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Non promuovere a current se invariant richiesto non soddisfatto.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Relationship verso object redirectato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STALE_EDGE_TARGET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Risoluzione alias controllata; storico edge preservato.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Contract ref non più risolvibile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HISTORICAL_CONTRACT_GAP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Errore critico di governance; deletion guard deve impedirlo a monte.</w:t>
            </w:r>
          </w:p>
        </w:tc>
      </w:tr>
    </w:tbl>
    <w:p/>
    <w:p>
      <w:pPr>
        <w:pStyle w:val="Heading1"/>
      </w:pPr>
      <w:r>
        <w:rPr>
          <w:rFonts w:ascii="Noto Sans" w:hAnsi="Noto Sans" w:eastAsia="Noto Sans"/>
        </w:rPr>
        <w:t>89. Disaster recovery e ricostruzione per crescita multi-fonte</w:t>
      </w:r>
    </w:p>
    <w:p>
      <w:r>
        <w:rPr>
          <w:rFonts w:ascii="Noto Sans" w:hAnsi="Noto Sans" w:eastAsia="Noto Sans"/>
        </w:rPr>
        <w:t>Con l’aumento progressivo delle fonti, il recovery deve poter essere segmentato per sourceId, typeCode, partizione e periodo. Un incidente su una nuova fonte non deve obbligare a ricostruire l’intero patrimonio OUF.</w:t>
      </w:r>
    </w:p>
    <w:p>
      <w:pPr>
        <w:pStyle w:val="ListBullet"/>
      </w:pPr>
      <w:r>
        <w:rPr>
          <w:rFonts w:ascii="Noto Sans" w:hAnsi="Noto Sans" w:eastAsia="Noto Sans"/>
        </w:rPr>
        <w:t>Backup/PITR PostgreSQL e versioning/replica dell’object storage sono coordinati tramite recovery point documentato.</w:t>
      </w:r>
    </w:p>
    <w:p>
      <w:pPr>
        <w:pStyle w:val="ListBullet"/>
      </w:pPr>
      <w:r>
        <w:rPr>
          <w:rFonts w:ascii="Noto Sans" w:hAnsi="Noto Sans" w:eastAsia="Noto Sans"/>
        </w:rPr>
        <w:t>Le procedure di restore includono verification scan prima della riapertura del serving.</w:t>
      </w:r>
    </w:p>
    <w:p>
      <w:pPr>
        <w:pStyle w:val="ListBullet"/>
      </w:pPr>
      <w:r>
        <w:rPr>
          <w:rFonts w:ascii="Noto Sans" w:hAnsi="Noto Sans" w:eastAsia="Noto Sans"/>
        </w:rPr>
        <w:t>Il recovery deve essere testato anche con dataset superiori alla baseline iniziale, usando fattori di crescita almeno 3× rispetto al footprint corrente.</w:t>
      </w:r>
    </w:p>
    <w:p>
      <w:pPr>
        <w:pStyle w:val="Heading1"/>
      </w:pPr>
      <w:r>
        <w:rPr>
          <w:rFonts w:ascii="Noto Sans" w:hAnsi="Noto Sans" w:eastAsia="Noto Sans"/>
        </w:rPr>
        <w:t>90. Contract &amp; compatibility model</w:t>
      </w:r>
    </w:p>
    <w:p>
      <w:r>
        <w:rPr>
          <w:rFonts w:ascii="Noto Sans" w:hAnsi="Noto Sans" w:eastAsia="Noto Sans"/>
        </w:rPr>
        <w:t>La baseline congela il modello di compatibilità fra i contratti del blocco dati. La compatibilità è verificata sugli artefatti, non inferita dalla sola versione del software.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0B4F6C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Contratto</w:t>
            </w:r>
          </w:p>
        </w:tc>
        <w:tc>
          <w:tcPr>
            <w:tcW w:type="dxa" w:w="3286"/>
            <w:vAlign w:val="center"/>
            <w:shd w:fill="0B4F6C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Versione</w:t>
            </w:r>
          </w:p>
        </w:tc>
        <w:tc>
          <w:tcPr>
            <w:tcW w:type="dxa" w:w="3286"/>
            <w:vAlign w:val="center"/>
            <w:shd w:fill="0B4F6C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Compatibilità richiesta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HandoffPayload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major/minor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Major incompatibile = reject; minor additive = accettabile se unknown-field safe.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Canonical Object Contract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major/minor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Major richiede migration/rebuild plan; minor backward-compatible.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Serving API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/v1 + contract version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No breaking change nella stessa major.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LineageRecord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schema version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Vecchie versioni devono restare leggibili per retention/replay.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ResolutionDecision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schema version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Outcome/evidence storici immutabili e risolvibili.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DataAccessLabel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policy vocabulary version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Unknown label = fail closed.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SemanticPublicationSet ref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ID/version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Pinned per revisione/run; nessun hot swap.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PublishedConfigurationBundle ref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ID/version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Pinned e historical-contract safe.</w:t>
            </w:r>
          </w:p>
        </w:tc>
      </w:tr>
    </w:tbl>
    <w:p/>
    <w:p>
      <w:pPr>
        <w:pStyle w:val="Heading1"/>
      </w:pPr>
      <w:r>
        <w:rPr>
          <w:rFonts w:ascii="Noto Sans" w:hAnsi="Noto Sans" w:eastAsia="Noto Sans"/>
        </w:rPr>
        <w:t>91. Compatibility gate all’avvio e al deployment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</w:rPr>
        <w:t>DEPLOY CANDIDATE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</w:rPr>
        <w:t xml:space="preserve">   |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</w:rPr>
        <w:t xml:space="preserve">   +--&gt; DB schema compatibility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</w:rPr>
        <w:t xml:space="preserve">   +--&gt; Canonical contract compatibility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</w:rPr>
        <w:t xml:space="preserve">   +--&gt; Handoff contract compatibility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</w:rPr>
        <w:t xml:space="preserve">   +--&gt; Serving API compatibility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</w:rPr>
        <w:t xml:space="preserve">   +--&gt; required semantic/bundle resolvers reachable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</w:rPr>
        <w:t xml:space="preserve">   |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</w:rPr>
        <w:t xml:space="preserve">   v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</w:rPr>
        <w:t>ALL PASS ? ---- no ----&gt; NOT READY / rollout blocked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</w:rPr>
        <w:t xml:space="preserve">   | yes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</w:rPr>
        <w:t xml:space="preserve">   v</w:t>
      </w:r>
    </w:p>
    <w:p>
      <w:pPr>
        <w:pStyle w:val="OUFCode"/>
        <w:spacing w:after="0"/>
      </w:pPr>
      <w:r>
        <w:rPr>
          <w:rFonts w:ascii="DejaVu Sans Mono" w:hAnsi="DejaVu Sans Mono" w:eastAsia="DejaVu Sans Mono"/>
        </w:rPr>
        <w:t>READY</w:t>
      </w:r>
    </w:p>
    <w:p>
      <w:r>
        <w:rPr>
          <w:rFonts w:ascii="Noto Sans" w:hAnsi="Noto Sans" w:eastAsia="Noto Sans"/>
        </w:rPr>
        <w:t>Il readiness gate impedisce di servire traffico quando una dipendenza contrattuale necessaria alla corretta interpretazione dei dati non è compatibile.</w:t>
      </w:r>
    </w:p>
    <w:p>
      <w:pPr>
        <w:pStyle w:val="Heading1"/>
      </w:pPr>
      <w:r>
        <w:rPr>
          <w:rFonts w:ascii="Noto Sans" w:hAnsi="Noto Sans" w:eastAsia="Noto Sans"/>
        </w:rPr>
        <w:t>92. Historical contract survivability</w:t>
      </w:r>
    </w:p>
    <w:p>
      <w:r>
        <w:rPr>
          <w:rFonts w:ascii="Noto Sans" w:hAnsi="Noto Sans" w:eastAsia="Noto Sans"/>
        </w:rPr>
        <w:t>Ogni revisione o LakeObject soggetto a retention, audit o replay deve mantenere risolvibili i riferimenti storici a schema sorgente, bundle, mapping, semantic publication, adapter/processing profile e decisioni di resolution/authority pertinenti. La rimozione fisica di tali contratti è vietata finché esiste almeno una referenza protetta.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E67E22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!</w:t>
            </w:r>
          </w:p>
        </w:tc>
        <w:tc>
          <w:tcPr>
            <w:tcW w:type="dxa" w:w="4929"/>
            <w:vAlign w:val="center"/>
            <w:shd w:fill="F7F9FA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sz w:val="17"/>
              </w:rPr>
            </w:r>
            <w:r>
              <w:rPr>
                <w:rFonts w:ascii="Noto Sans" w:hAnsi="Noto Sans" w:eastAsia="Noto Sans" w:cs="Noto Sans"/>
                <w:b w:val="0"/>
                <w:color w:val="000000"/>
                <w:sz w:val="17"/>
              </w:rPr>
              <w:t>Invariante HIST-UDP-01</w:t>
              <w:br/>
              <w:t>Un dato storico non può diventare semanticamente illeggibile a causa del cleanup di una configurazione o di un contratto che lo ha prodotto.</w:t>
            </w:r>
          </w:p>
        </w:tc>
      </w:tr>
    </w:tbl>
    <w:p/>
    <w:p>
      <w:pPr>
        <w:pStyle w:val="Heading1"/>
      </w:pPr>
      <w:r>
        <w:rPr>
          <w:rFonts w:ascii="Noto Sans" w:hAnsi="Noto Sans" w:eastAsia="Noto Sans"/>
        </w:rPr>
        <w:t>93. Architettura cross-module consolidata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>VERTICALI / INTERNAL_MANAGED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 xml:space="preserve">          |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 xml:space="preserve">          v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 xml:space="preserve">  Urban API Gateway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 xml:space="preserve">          |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 xml:space="preserve">          v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 xml:space="preserve"> Source Onboarding &amp; Configuration -----&gt; Semantic Model / Registry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 xml:space="preserve">          | PublishedConfigurationBundle         | SemanticPublicationSet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 xml:space="preserve">          +----------------------+----------------+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 xml:space="preserve">                                 v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 xml:space="preserve">                         Ingestion Runtime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 xml:space="preserve">                                 | HandoffPayload v1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 xml:space="preserve">                                 v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 xml:space="preserve">              DATA LAKE + UDP + URBAN OBJECT REGISTRY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 xml:space="preserve">                    |       |        |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 xml:space="preserve">                    |       |        +--&gt; lineage / provenance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 xml:space="preserve">                    |       +-----------&gt; graph / spatial / history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 xml:space="preserve">                    +-------------------&gt; serving API / MCP capabilities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 xml:space="preserve">                                 |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 xml:space="preserve">                                 v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 xml:space="preserve">                      Gateway -&gt; Consumer / Agent</w:t>
      </w:r>
    </w:p>
    <w:p>
      <w:r>
        <w:rPr>
          <w:rFonts w:ascii="Noto Sans" w:hAnsi="Noto Sans" w:eastAsia="Noto Sans"/>
        </w:rPr>
        <w:t>Il blocco dati è system of record delle istanze canoniche e della loro storia; non diventa system of record delle identità, delle policy autorizzative, della semantica o delle configurazioni di onboarding. Conserva invece i riferimenti immutabili alle versioni di tali contratti necessarie a spiegare, riprodurre e servire ogni dato.</w:t>
      </w:r>
    </w:p>
    <w:p>
      <w:pPr>
        <w:pStyle w:val="Heading1"/>
      </w:pPr>
      <w:r>
        <w:rPr>
          <w:rFonts w:ascii="Noto Sans" w:hAnsi="Noto Sans" w:eastAsia="Noto Sans"/>
        </w:rPr>
        <w:t>94. Ownership matrix tra moduli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835"/>
            <w:vAlign w:val="center"/>
            <w:shd w:fill="0B4F6C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Oggetto / decisione</w:t>
            </w:r>
          </w:p>
        </w:tc>
        <w:tc>
          <w:tcPr>
            <w:tcW w:type="dxa" w:w="3402"/>
            <w:vAlign w:val="center"/>
            <w:shd w:fill="0B4F6C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Owner autoritativo</w:t>
            </w:r>
          </w:p>
        </w:tc>
        <w:tc>
          <w:tcPr>
            <w:tcW w:type="dxa" w:w="4535"/>
            <w:vAlign w:val="center"/>
            <w:shd w:fill="0B4F6C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Responsabilità UDP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Identità utente e service identity</w:t>
            </w:r>
          </w:p>
        </w:tc>
        <w:tc>
          <w:tcPr>
            <w:tcW w:type="dxa" w:w="3402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IAM / Identity Authority</w:t>
            </w:r>
          </w:p>
        </w:tc>
        <w:tc>
          <w:tcPr>
            <w:tcW w:type="dxa" w:w="4535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Consuma principal e assurance validati; non gestisce credenziali.</w:t>
            </w:r>
          </w:p>
        </w:tc>
      </w:tr>
      <w:tr>
        <w:tc>
          <w:tcPr>
            <w:tcW w:type="dxa" w:w="2835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Policy autorizzative</w:t>
            </w:r>
          </w:p>
        </w:tc>
        <w:tc>
          <w:tcPr>
            <w:tcW w:type="dxa" w:w="3402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OUF Authorization &amp; Access Control</w:t>
            </w:r>
          </w:p>
        </w:tc>
        <w:tc>
          <w:tcPr>
            <w:tcW w:type="dxa" w:w="4535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Applica policy/decision context server-side sulle risorse dati.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Source schema / Extraction Profile</w:t>
            </w:r>
          </w:p>
        </w:tc>
        <w:tc>
          <w:tcPr>
            <w:tcW w:type="dxa" w:w="3402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Source Onboarding &amp; Configuration</w:t>
            </w:r>
          </w:p>
        </w:tc>
        <w:tc>
          <w:tcPr>
            <w:tcW w:type="dxa" w:w="4535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Riferisce versione storica; non modifica il contratto.</w:t>
            </w:r>
          </w:p>
        </w:tc>
      </w:tr>
      <w:tr>
        <w:tc>
          <w:tcPr>
            <w:tcW w:type="dxa" w:w="2835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Semantica, ontologie, vocabolari</w:t>
            </w:r>
          </w:p>
        </w:tc>
        <w:tc>
          <w:tcPr>
            <w:tcW w:type="dxa" w:w="3402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Semantic Model / Registry</w:t>
            </w:r>
          </w:p>
        </w:tc>
        <w:tc>
          <w:tcPr>
            <w:tcW w:type="dxa" w:w="4535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Pinna SemanticPublicationSet e usa IRI/versioni pubblicate.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Run, checkpoint, HandoffPayload</w:t>
            </w:r>
          </w:p>
        </w:tc>
        <w:tc>
          <w:tcPr>
            <w:tcW w:type="dxa" w:w="3402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Ingestion Runtime</w:t>
            </w:r>
          </w:p>
        </w:tc>
        <w:tc>
          <w:tcPr>
            <w:tcW w:type="dxa" w:w="4535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Riceve durable handoff e materializza solo dopo validazione.</w:t>
            </w:r>
          </w:p>
        </w:tc>
      </w:tr>
      <w:tr>
        <w:tc>
          <w:tcPr>
            <w:tcW w:type="dxa" w:w="2835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RAW / NORMALIZED / CURATED</w:t>
            </w:r>
          </w:p>
        </w:tc>
        <w:tc>
          <w:tcPr>
            <w:tcW w:type="dxa" w:w="3402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Data Lake</w:t>
            </w:r>
          </w:p>
        </w:tc>
        <w:tc>
          <w:tcPr>
            <w:tcW w:type="dxa" w:w="4535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Conservazione durevole, retention, integrity e replay source.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Urban Object canonico</w:t>
            </w:r>
          </w:p>
        </w:tc>
        <w:tc>
          <w:tcPr>
            <w:tcW w:type="dxa" w:w="3402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Urban Object Registry</w:t>
            </w:r>
          </w:p>
        </w:tc>
        <w:tc>
          <w:tcPr>
            <w:tcW w:type="dxa" w:w="4535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System of record di identità, revisioni, proprietà e relazioni.</w:t>
            </w:r>
          </w:p>
        </w:tc>
      </w:tr>
      <w:tr>
        <w:tc>
          <w:tcPr>
            <w:tcW w:type="dxa" w:w="2835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Object/relationship/spatial resolution</w:t>
            </w:r>
          </w:p>
        </w:tc>
        <w:tc>
          <w:tcPr>
            <w:tcW w:type="dxa" w:w="3402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UDP / Urban Object Registry</w:t>
            </w:r>
          </w:p>
        </w:tc>
        <w:tc>
          <w:tcPr>
            <w:tcW w:type="dxa" w:w="4535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Calcola, governa e registra ResolutionDecision e provenance.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Lineage end-to-end delle istanze</w:t>
            </w:r>
          </w:p>
        </w:tc>
        <w:tc>
          <w:tcPr>
            <w:tcW w:type="dxa" w:w="3402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UDP + Data Lake</w:t>
            </w:r>
          </w:p>
        </w:tc>
        <w:tc>
          <w:tcPr>
            <w:tcW w:type="dxa" w:w="4535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Consolida la catena e la rende interrogabile in modo governato.</w:t>
            </w:r>
          </w:p>
        </w:tc>
      </w:tr>
      <w:tr>
        <w:tc>
          <w:tcPr>
            <w:tcW w:type="dxa" w:w="2835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Serving current/history/graph/spatial</w:t>
            </w:r>
          </w:p>
        </w:tc>
        <w:tc>
          <w:tcPr>
            <w:tcW w:type="dxa" w:w="3402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UDP</w:t>
            </w:r>
          </w:p>
        </w:tc>
        <w:tc>
          <w:tcPr>
            <w:tcW w:type="dxa" w:w="4535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Espone capability e API; nessun accesso diretto al DB.</w:t>
            </w:r>
          </w:p>
        </w:tc>
      </w:tr>
    </w:tbl>
    <w:p>
      <w:pPr>
        <w:pStyle w:val="Heading1"/>
      </w:pPr>
      <w:r>
        <w:rPr>
          <w:rFonts w:ascii="Noto Sans" w:hAnsi="Noto Sans" w:eastAsia="Noto Sans"/>
        </w:rPr>
        <w:t>95. Catena dei contratti e pinning end-to-end</w:t>
      </w:r>
    </w:p>
    <w:p>
      <w:r>
        <w:rPr>
          <w:rFonts w:ascii="Noto Sans" w:hAnsi="Noto Sans" w:eastAsia="Noto Sans"/>
        </w:rPr>
        <w:t>Ogni materializzazione DEVE restare riconducibile alla combinazione esatta di contratti e riferimenti con cui è stata prodotta. La UDP non usa implicitamente “l’ultima versione” quando interpreta o ricostruisce uno storico.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>UrbanObjectRevision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 xml:space="preserve">  -&gt; sourceId / typeCode / sourceObjectId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 xml:space="preserve">  -&gt; sourceSchemaId / sourceSchemaVersion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 xml:space="preserve">  -&gt; publishedConfigurationBundleId / version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 xml:space="preserve">  -&gt; semanticPublicationSetId / version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 xml:space="preserve">  -&gt; ingestionRunId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 xml:space="preserve">  -&gt; rawObjectRef / contentHash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 xml:space="preserve">  -&gt; resolutionDecisionId(s)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 xml:space="preserve">  -&gt; authorityAssignmentId(s)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 xml:space="preserve">  -&gt; dataAccessPolicyRef(s)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 xml:space="preserve">  -&gt; lineageId</w:t>
      </w:r>
    </w:p>
    <w:p>
      <w:r>
        <w:rPr>
          <w:rFonts w:ascii="Noto Sans" w:hAnsi="Noto Sans" w:eastAsia="Noto Sans"/>
        </w:rPr>
        <w:t>Il pinning è transazionale rispetto alla revisione canonica: non è ammessa una revisione che mescoli mapping, semantic publication set o source schema non appartenenti allo stesso contesto di elaborazione.</w:t>
      </w:r>
    </w:p>
    <w:p>
      <w:pPr>
        <w:pStyle w:val="Heading1"/>
      </w:pPr>
      <w:r>
        <w:rPr>
          <w:rFonts w:ascii="Noto Sans" w:hAnsi="Noto Sans" w:eastAsia="Noto Sans"/>
        </w:rPr>
        <w:t>96. HandoffPayload → Canonical Materialization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871"/>
            <w:vAlign w:val="center"/>
            <w:shd w:fill="0B4F6C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4819"/>
            <w:vAlign w:val="center"/>
            <w:shd w:fill="0B4F6C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Controllo obbligatorio</w:t>
            </w:r>
          </w:p>
        </w:tc>
        <w:tc>
          <w:tcPr>
            <w:tcW w:type="dxa" w:w="3969"/>
            <w:vAlign w:val="center"/>
            <w:shd w:fill="0B4F6C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Esito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Ricezione</w:t>
            </w:r>
          </w:p>
        </w:tc>
        <w:tc>
          <w:tcPr>
            <w:tcW w:type="dxa" w:w="4819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Contract version, checksum, idempotency key, source/run refs</w:t>
            </w:r>
          </w:p>
        </w:tc>
        <w:tc>
          <w:tcPr>
            <w:tcW w:type="dxa" w:w="3969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ACCEPT oppure rifiuto machine-readable</w:t>
            </w:r>
          </w:p>
        </w:tc>
      </w:tr>
      <w:tr>
        <w:tc>
          <w:tcPr>
            <w:tcW w:type="dxa" w:w="1871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Durability</w:t>
            </w:r>
          </w:p>
        </w:tc>
        <w:tc>
          <w:tcPr>
            <w:tcW w:type="dxa" w:w="4819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Payload/RAW ref durevole prima dell’ACK</w:t>
            </w:r>
          </w:p>
        </w:tc>
        <w:tc>
          <w:tcPr>
            <w:tcW w:type="dxa" w:w="3969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Durable ACK solo dopo persistenza verificabile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Compatibility</w:t>
            </w:r>
          </w:p>
        </w:tc>
        <w:tc>
          <w:tcPr>
            <w:tcW w:type="dxa" w:w="4819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Bundle, schema e semantic refs risolvibili</w:t>
            </w:r>
          </w:p>
        </w:tc>
        <w:tc>
          <w:tcPr>
            <w:tcW w:type="dxa" w:w="3969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Materialize oppure QUARANTINE/PAUSE</w:t>
            </w:r>
          </w:p>
        </w:tc>
      </w:tr>
      <w:tr>
        <w:tc>
          <w:tcPr>
            <w:tcW w:type="dxa" w:w="1871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Resolution</w:t>
            </w:r>
          </w:p>
        </w:tc>
        <w:tc>
          <w:tcPr>
            <w:tcW w:type="dxa" w:w="4819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Object/relationship/spatial resolution deterministica o governata</w:t>
            </w:r>
          </w:p>
        </w:tc>
        <w:tc>
          <w:tcPr>
            <w:tcW w:type="dxa" w:w="3969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MATCH / NEW / REVIEW_REQUIRED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Materialization</w:t>
            </w:r>
          </w:p>
        </w:tc>
        <w:tc>
          <w:tcPr>
            <w:tcW w:type="dxa" w:w="4819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Revisione, provenance, authority e access labels atomici</w:t>
            </w:r>
          </w:p>
        </w:tc>
        <w:tc>
          <w:tcPr>
            <w:tcW w:type="dxa" w:w="3969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Nuova revision current/history</w:t>
            </w:r>
          </w:p>
        </w:tc>
      </w:tr>
      <w:tr>
        <w:tc>
          <w:tcPr>
            <w:tcW w:type="dxa" w:w="1871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Serving visibility</w:t>
            </w:r>
          </w:p>
        </w:tc>
        <w:tc>
          <w:tcPr>
            <w:tcW w:type="dxa" w:w="4819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Commit completo e policy enforcement disponibile</w:t>
            </w:r>
          </w:p>
        </w:tc>
        <w:tc>
          <w:tcPr>
            <w:tcW w:type="dxa" w:w="3969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Revisione visibile ai consumer</w:t>
            </w:r>
          </w:p>
        </w:tc>
      </w:tr>
    </w:tbl>
    <w:p>
      <w:pPr>
        <w:pStyle w:val="Heading1"/>
      </w:pPr>
      <w:r>
        <w:rPr>
          <w:rFonts w:ascii="Noto Sans" w:hAnsi="Noto Sans" w:eastAsia="Noto Sans"/>
        </w:rPr>
        <w:t>97. Propagazione DataAccessLabel e authorization alignment</w:t>
      </w:r>
    </w:p>
    <w:p>
      <w:r>
        <w:rPr>
          <w:rFonts w:ascii="Noto Sans" w:hAnsi="Noto Sans" w:eastAsia="Noto Sans"/>
        </w:rPr>
        <w:t>La classificazione non è un attributo puramente descrittivo. Quando la piattaforma abiliterà PERSONAL/SENSITIVE/RESTRICTED, il label e la policy applicabile devono accompagnare la materializzazione fino al serving. Il controllo avviene prima della restituzione al consumer, incluso MCP/AI.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>Onboarding classification + INCLUDE decision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 xml:space="preserve">            |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 xml:space="preserve">            v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>PublishedConfigurationBundle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 xml:space="preserve">            |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 xml:space="preserve">            v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>Ingestion HandoffPayload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 xml:space="preserve">            |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 xml:space="preserve">            v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>UDP property / relationship / geometry / lineage label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 xml:space="preserve">            | + AuthorizationContext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 xml:space="preserve">            v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>ALLOW / MASK / SUPPRESS / DENY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 xml:space="preserve">            |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 xml:space="preserve">            v</w:t>
      </w:r>
    </w:p>
    <w:p>
      <w:pPr>
        <w:pStyle w:val="OUFCode"/>
        <w:spacing w:after="0"/>
      </w:pPr>
      <w:r>
        <w:rPr>
          <w:rFonts w:ascii="DejaVu Sans Mono" w:hAnsi="DejaVu Sans Mono" w:eastAsia="DejaVu Sans Mono" w:cs="DejaVu Sans Mono"/>
          <w:sz w:val="17"/>
        </w:rPr>
        <w:t>API / MCP response minimizzata</w:t>
      </w:r>
    </w:p>
    <w:p>
      <w:r>
        <w:rPr>
          <w:rFonts w:ascii="Noto Sans" w:hAnsi="Noto Sans" w:eastAsia="Noto Sans"/>
        </w:rPr>
        <w:t>L’Agent non riceve mai il valore integrale per poi “decidere” di nasconderlo. Redaction, masking e denial sono enforcement server-side.</w:t>
      </w:r>
    </w:p>
    <w:p>
      <w:pPr>
        <w:pStyle w:val="Heading1"/>
      </w:pPr>
      <w:r>
        <w:rPr>
          <w:rFonts w:ascii="Noto Sans" w:hAnsi="Noto Sans" w:eastAsia="Noto Sans"/>
        </w:rPr>
        <w:t>98. Capability conversazionali e boundary MCP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vAlign w:val="center"/>
            <w:shd w:fill="0B4F6C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Capability family</w:t>
            </w:r>
          </w:p>
        </w:tc>
        <w:tc>
          <w:tcPr>
            <w:tcW w:type="dxa" w:w="3969"/>
            <w:vAlign w:val="center"/>
            <w:shd w:fill="0B4F6C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Esempi</w:t>
            </w:r>
          </w:p>
        </w:tc>
        <w:tc>
          <w:tcPr>
            <w:tcW w:type="dxa" w:w="4535"/>
            <w:vAlign w:val="center"/>
            <w:shd w:fill="0B4F6C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Regola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Object</w:t>
            </w:r>
          </w:p>
        </w:tc>
        <w:tc>
          <w:tcPr>
            <w:tcW w:type="dxa" w:w="3969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urban.object.read, search, history</w:t>
            </w:r>
          </w:p>
        </w:tc>
        <w:tc>
          <w:tcPr>
            <w:tcW w:type="dxa" w:w="4535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Policy object/property level e pagination obbligatorie.</w:t>
            </w:r>
          </w:p>
        </w:tc>
      </w:tr>
      <w:tr>
        <w:tc>
          <w:tcPr>
            <w:tcW w:type="dxa" w:w="2268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Graph</w:t>
            </w:r>
          </w:p>
        </w:tc>
        <w:tc>
          <w:tcPr>
            <w:tcW w:type="dxa" w:w="3969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urban.graph.neighbors, path, traverse</w:t>
            </w:r>
          </w:p>
        </w:tc>
        <w:tc>
          <w:tcPr>
            <w:tcW w:type="dxa" w:w="4535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r>
              <w:rPr>
                <w:rFonts w:ascii="Noto Sans" w:hAnsi="Noto Sans"/>
                <w:sz w:val="17"/>
              </w:rPr>
              <w:t>neighbors è preferito per esplorazione incrementale con pruning; traverse solo ricorsivo/gerarchico; depth/node/edge/correlation budget; nessun query language libero.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Spatial</w:t>
            </w:r>
          </w:p>
        </w:tc>
        <w:tc>
          <w:tcPr>
            <w:tcW w:type="dxa" w:w="3969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r>
              <w:rPr>
                <w:rFonts w:ascii="Noto Sans" w:hAnsi="Noto Sans"/>
                <w:sz w:val="17"/>
              </w:rPr>
              <w:t>urban.spatial.nearby, intersects, within, intersection_search</w:t>
            </w:r>
          </w:p>
        </w:tc>
        <w:tc>
          <w:tcPr>
            <w:tcW w:type="dxa" w:w="4535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r>
              <w:rPr>
                <w:rFonts w:ascii="Noto Sans" w:hAnsi="Noto Sans"/>
                <w:sz w:val="17"/>
              </w:rPr>
              <w:t>CRS/tolerance/anchor type governati; planner PostGIS/relazionale; risultati soggetti a label.</w:t>
            </w:r>
          </w:p>
        </w:tc>
      </w:tr>
      <w:tr>
        <w:tc>
          <w:tcPr>
            <w:tcW w:type="dxa" w:w="2268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Lineage</w:t>
            </w:r>
          </w:p>
        </w:tc>
        <w:tc>
          <w:tcPr>
            <w:tcW w:type="dxa" w:w="3969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lineage.object.read, property.read, source.trace</w:t>
            </w:r>
          </w:p>
        </w:tc>
        <w:tc>
          <w:tcPr>
            <w:tcW w:type="dxa" w:w="4535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Può mascherare sourceObjectId/value/evidence.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Resolution</w:t>
            </w:r>
          </w:p>
        </w:tc>
        <w:tc>
          <w:tcPr>
            <w:tcW w:type="dxa" w:w="3969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resolution.candidates.read, impact.read</w:t>
            </w:r>
          </w:p>
        </w:tc>
        <w:tc>
          <w:tcPr>
            <w:tcW w:type="dxa" w:w="4535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Proposte AI ammesse; merge/split/override secondo human policy.</w:t>
            </w:r>
          </w:p>
        </w:tc>
      </w:tr>
      <w:tr>
        <w:tc>
          <w:tcPr>
            <w:tcW w:type="dxa" w:w="2268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Operations</w:t>
            </w:r>
          </w:p>
        </w:tc>
        <w:tc>
          <w:tcPr>
            <w:tcW w:type="dxa" w:w="3969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replay.plan, rebuild.plan, issue.explain</w:t>
            </w:r>
          </w:p>
        </w:tc>
        <w:tc>
          <w:tcPr>
            <w:tcW w:type="dxa" w:w="4535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Diagnosi/proposta agentica; operazioni distruttive o ad alto impatto protette.</w:t>
            </w:r>
          </w:p>
        </w:tc>
      </w:tr>
      <w:tr>
        <w:tc>
          <w:tcPr>
            <w:tcW w:type="dxa" w:w="3286"/>
          </w:tcPr>
          <w:p>
            <w:r>
              <w:rPr>
                <w:rFonts w:ascii="Noto Sans" w:hAnsi="Noto Sans"/>
                <w:sz w:val="17"/>
              </w:rPr>
              <w:t>Related pattern</w:t>
            </w:r>
          </w:p>
        </w:tc>
        <w:tc>
          <w:tcPr>
            <w:tcW w:type="dxa" w:w="3286"/>
          </w:tcPr>
          <w:p>
            <w:r>
              <w:rPr>
                <w:rFonts w:ascii="Noto Sans" w:hAnsi="Noto Sans"/>
                <w:sz w:val="17"/>
              </w:rPr>
              <w:t>urban.object.related_search</w:t>
            </w:r>
          </w:p>
        </w:tc>
        <w:tc>
          <w:tcPr>
            <w:tcW w:type="dxa" w:w="3286"/>
          </w:tcPr>
          <w:p>
            <w:r>
              <w:rPr>
                <w:rFonts w:ascii="Noto Sans" w:hAnsi="Noto Sans"/>
                <w:sz w:val="17"/>
              </w:rPr>
              <w:t>Cross-domain tipizzato tradotto in fixed join/index lookup.</w:t>
            </w:r>
          </w:p>
        </w:tc>
      </w:tr>
    </w:tbl>
    <w:p>
      <w:pPr>
        <w:pStyle w:val="Heading2"/>
      </w:pPr>
      <w:r>
        <w:rPr>
          <w:rFonts w:ascii="Noto Sans" w:hAnsi="Noto Sans"/>
        </w:rPr>
        <w:t>98.1 Capability Manifest MCP: contratto operativo auto-esplicativo</w:t>
      </w:r>
    </w:p>
    <w:p>
      <w:pPr/>
      <w:r>
        <w:rPr>
          <w:rFonts w:ascii="Noto Sans" w:hAnsi="Noto Sans"/>
        </w:rPr>
        <w:t>Ogni capability esposta tramite MCP DEVE descrivere in linguaggio naturale non soltanto ciò che fa, ma anche quando è appropriato usarla, quando non deve essere usata, quali alternative preferire e quali limiti operativi si applicano. La descrizione è un livello di guidance cognitiva per l’Agent, non un enforcement point: MCP Capability Router, Query Complexity Governor e Query Planner restano autoritativi anche quando l’Agent ignora o interpreta male la descrizione.</w:t>
      </w:r>
    </w:p>
    <w:p>
      <w:pPr/>
      <w:r>
        <w:rPr>
          <w:rFonts w:ascii="Noto Sans" w:hAnsi="Noto Sans"/>
        </w:rPr>
        <w:t>Requisito MCP-MANIFEST-01 — Il manifest di ogni tool/capability tool-eligible deve esporre almeno i campi purpose, useWhen, doNotUseWhen, preferredAlternatives, operationalLimits, resultSemantics e securityNotes. La descrizione deve essere sintetica, non ambigua e comprensibile direttamente da un LLM senza conoscenza esterna dell’architettura OUF.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tcBorders>
              <w:top w:val="single" w:sz="4" w:space="0" w:color="C7D4E2"/>
              <w:left w:val="single" w:sz="4" w:space="0" w:color="C7D4E2"/>
              <w:bottom w:val="single" w:sz="4" w:space="0" w:color="C7D4E2"/>
              <w:right w:val="single" w:sz="4" w:space="0" w:color="C7D4E2"/>
              <w:insideH w:val="single" w:sz="4" w:space="0" w:color="C7D4E2"/>
              <w:insideV w:val="single" w:sz="4" w:space="0" w:color="C7D4E2"/>
            </w:tcBorders>
            <w:shd w:fill="0B4F6C"/>
          </w:tcPr>
          <w:p>
            <w:r>
              <w:rPr>
                <w:rFonts w:ascii="Noto Sans" w:hAnsi="Noto Sans"/>
                <w:b/>
                <w:color w:val="FFFFFF"/>
                <w:sz w:val="17"/>
              </w:rPr>
              <w:t>Campo manifest</w:t>
            </w:r>
          </w:p>
        </w:tc>
        <w:tc>
          <w:tcPr>
            <w:tcW w:type="dxa" w:w="4929"/>
            <w:tcBorders>
              <w:top w:val="single" w:sz="4" w:space="0" w:color="C7D4E2"/>
              <w:left w:val="single" w:sz="4" w:space="0" w:color="C7D4E2"/>
              <w:bottom w:val="single" w:sz="4" w:space="0" w:color="C7D4E2"/>
              <w:right w:val="single" w:sz="4" w:space="0" w:color="C7D4E2"/>
              <w:insideH w:val="single" w:sz="4" w:space="0" w:color="C7D4E2"/>
              <w:insideV w:val="single" w:sz="4" w:space="0" w:color="C7D4E2"/>
            </w:tcBorders>
            <w:shd w:fill="0B4F6C"/>
          </w:tcPr>
          <w:p>
            <w:r>
              <w:rPr>
                <w:rFonts w:ascii="Noto Sans" w:hAnsi="Noto Sans"/>
                <w:b/>
                <w:color w:val="FFFFFF"/>
                <w:sz w:val="17"/>
              </w:rPr>
              <w:t>Contenuto normativo</w:t>
            </w:r>
          </w:p>
        </w:tc>
      </w:tr>
      <w:tr>
        <w:tc>
          <w:tcPr>
            <w:tcW w:type="dxa" w:w="4929"/>
            <w:tcBorders>
              <w:top w:val="single" w:sz="4" w:space="0" w:color="C7D4E2"/>
              <w:left w:val="single" w:sz="4" w:space="0" w:color="C7D4E2"/>
              <w:bottom w:val="single" w:sz="4" w:space="0" w:color="C7D4E2"/>
              <w:right w:val="single" w:sz="4" w:space="0" w:color="C7D4E2"/>
              <w:insideH w:val="single" w:sz="4" w:space="0" w:color="C7D4E2"/>
              <w:insideV w:val="single" w:sz="4" w:space="0" w:color="C7D4E2"/>
            </w:tcBorders>
            <w:shd w:fill="FFFFFF"/>
          </w:tcPr>
          <w:p>
            <w:r>
              <w:rPr>
                <w:rFonts w:ascii="Noto Sans" w:hAnsi="Noto Sans"/>
                <w:sz w:val="17"/>
              </w:rPr>
              <w:t>purpose</w:t>
            </w:r>
          </w:p>
        </w:tc>
        <w:tc>
          <w:tcPr>
            <w:tcW w:type="dxa" w:w="4929"/>
            <w:tcBorders>
              <w:top w:val="single" w:sz="4" w:space="0" w:color="C7D4E2"/>
              <w:left w:val="single" w:sz="4" w:space="0" w:color="C7D4E2"/>
              <w:bottom w:val="single" w:sz="4" w:space="0" w:color="C7D4E2"/>
              <w:right w:val="single" w:sz="4" w:space="0" w:color="C7D4E2"/>
              <w:insideH w:val="single" w:sz="4" w:space="0" w:color="C7D4E2"/>
              <w:insideV w:val="single" w:sz="4" w:space="0" w:color="C7D4E2"/>
            </w:tcBorders>
            <w:shd w:fill="FFFFFF"/>
          </w:tcPr>
          <w:p>
            <w:r>
              <w:rPr>
                <w:rFonts w:ascii="Noto Sans" w:hAnsi="Noto Sans"/>
                <w:sz w:val="17"/>
              </w:rPr>
              <w:t>Scopo funzionale della capability e risultato atteso.</w:t>
            </w:r>
          </w:p>
        </w:tc>
      </w:tr>
      <w:tr>
        <w:tc>
          <w:tcPr>
            <w:tcW w:type="dxa" w:w="4929"/>
            <w:tcBorders>
              <w:top w:val="single" w:sz="4" w:space="0" w:color="C7D4E2"/>
              <w:left w:val="single" w:sz="4" w:space="0" w:color="C7D4E2"/>
              <w:bottom w:val="single" w:sz="4" w:space="0" w:color="C7D4E2"/>
              <w:right w:val="single" w:sz="4" w:space="0" w:color="C7D4E2"/>
              <w:insideH w:val="single" w:sz="4" w:space="0" w:color="C7D4E2"/>
              <w:insideV w:val="single" w:sz="4" w:space="0" w:color="C7D4E2"/>
            </w:tcBorders>
            <w:shd w:fill="F3F6F9"/>
          </w:tcPr>
          <w:p>
            <w:r>
              <w:rPr>
                <w:rFonts w:ascii="Noto Sans" w:hAnsi="Noto Sans"/>
                <w:sz w:val="17"/>
              </w:rPr>
              <w:t>useWhen</w:t>
            </w:r>
          </w:p>
        </w:tc>
        <w:tc>
          <w:tcPr>
            <w:tcW w:type="dxa" w:w="4929"/>
            <w:tcBorders>
              <w:top w:val="single" w:sz="4" w:space="0" w:color="C7D4E2"/>
              <w:left w:val="single" w:sz="4" w:space="0" w:color="C7D4E2"/>
              <w:bottom w:val="single" w:sz="4" w:space="0" w:color="C7D4E2"/>
              <w:right w:val="single" w:sz="4" w:space="0" w:color="C7D4E2"/>
              <w:insideH w:val="single" w:sz="4" w:space="0" w:color="C7D4E2"/>
              <w:insideV w:val="single" w:sz="4" w:space="0" w:color="C7D4E2"/>
            </w:tcBorders>
            <w:shd w:fill="F3F6F9"/>
          </w:tcPr>
          <w:p>
            <w:r>
              <w:rPr>
                <w:rFonts w:ascii="Noto Sans" w:hAnsi="Noto Sans"/>
                <w:sz w:val="17"/>
              </w:rPr>
              <w:t>Casi d’uso consigliati, con esempi positivi rappresentativi.</w:t>
            </w:r>
          </w:p>
        </w:tc>
      </w:tr>
      <w:tr>
        <w:tc>
          <w:tcPr>
            <w:tcW w:type="dxa" w:w="4929"/>
            <w:tcBorders>
              <w:top w:val="single" w:sz="4" w:space="0" w:color="C7D4E2"/>
              <w:left w:val="single" w:sz="4" w:space="0" w:color="C7D4E2"/>
              <w:bottom w:val="single" w:sz="4" w:space="0" w:color="C7D4E2"/>
              <w:right w:val="single" w:sz="4" w:space="0" w:color="C7D4E2"/>
              <w:insideH w:val="single" w:sz="4" w:space="0" w:color="C7D4E2"/>
              <w:insideV w:val="single" w:sz="4" w:space="0" w:color="C7D4E2"/>
            </w:tcBorders>
            <w:shd w:fill="FFFFFF"/>
          </w:tcPr>
          <w:p>
            <w:r>
              <w:rPr>
                <w:rFonts w:ascii="Noto Sans" w:hAnsi="Noto Sans"/>
                <w:sz w:val="17"/>
              </w:rPr>
              <w:t>doNotUseWhen</w:t>
            </w:r>
          </w:p>
        </w:tc>
        <w:tc>
          <w:tcPr>
            <w:tcW w:type="dxa" w:w="4929"/>
            <w:tcBorders>
              <w:top w:val="single" w:sz="4" w:space="0" w:color="C7D4E2"/>
              <w:left w:val="single" w:sz="4" w:space="0" w:color="C7D4E2"/>
              <w:bottom w:val="single" w:sz="4" w:space="0" w:color="C7D4E2"/>
              <w:right w:val="single" w:sz="4" w:space="0" w:color="C7D4E2"/>
              <w:insideH w:val="single" w:sz="4" w:space="0" w:color="C7D4E2"/>
              <w:insideV w:val="single" w:sz="4" w:space="0" w:color="C7D4E2"/>
            </w:tcBorders>
            <w:shd w:fill="FFFFFF"/>
          </w:tcPr>
          <w:p>
            <w:r>
              <w:rPr>
                <w:rFonts w:ascii="Noto Sans" w:hAnsi="Noto Sans"/>
                <w:sz w:val="17"/>
              </w:rPr>
              <w:t>Casi d’uso vietati o sconsigliati e anti-pattern espliciti.</w:t>
            </w:r>
          </w:p>
        </w:tc>
      </w:tr>
      <w:tr>
        <w:tc>
          <w:tcPr>
            <w:tcW w:type="dxa" w:w="4929"/>
            <w:tcBorders>
              <w:top w:val="single" w:sz="4" w:space="0" w:color="C7D4E2"/>
              <w:left w:val="single" w:sz="4" w:space="0" w:color="C7D4E2"/>
              <w:bottom w:val="single" w:sz="4" w:space="0" w:color="C7D4E2"/>
              <w:right w:val="single" w:sz="4" w:space="0" w:color="C7D4E2"/>
              <w:insideH w:val="single" w:sz="4" w:space="0" w:color="C7D4E2"/>
              <w:insideV w:val="single" w:sz="4" w:space="0" w:color="C7D4E2"/>
            </w:tcBorders>
            <w:shd w:fill="F3F6F9"/>
          </w:tcPr>
          <w:p>
            <w:r>
              <w:rPr>
                <w:rFonts w:ascii="Noto Sans" w:hAnsi="Noto Sans"/>
                <w:sz w:val="17"/>
              </w:rPr>
              <w:t>preferredAlternatives</w:t>
            </w:r>
          </w:p>
        </w:tc>
        <w:tc>
          <w:tcPr>
            <w:tcW w:type="dxa" w:w="4929"/>
            <w:tcBorders>
              <w:top w:val="single" w:sz="4" w:space="0" w:color="C7D4E2"/>
              <w:left w:val="single" w:sz="4" w:space="0" w:color="C7D4E2"/>
              <w:bottom w:val="single" w:sz="4" w:space="0" w:color="C7D4E2"/>
              <w:right w:val="single" w:sz="4" w:space="0" w:color="C7D4E2"/>
              <w:insideH w:val="single" w:sz="4" w:space="0" w:color="C7D4E2"/>
              <w:insideV w:val="single" w:sz="4" w:space="0" w:color="C7D4E2"/>
            </w:tcBorders>
            <w:shd w:fill="F3F6F9"/>
          </w:tcPr>
          <w:p>
            <w:r>
              <w:rPr>
                <w:rFonts w:ascii="Noto Sans" w:hAnsi="Noto Sans"/>
                <w:sz w:val="17"/>
              </w:rPr>
              <w:t>Capability da preferire quando il pattern richiesto è più specifico o meno costoso.</w:t>
            </w:r>
          </w:p>
        </w:tc>
      </w:tr>
      <w:tr>
        <w:tc>
          <w:tcPr>
            <w:tcW w:type="dxa" w:w="4929"/>
            <w:tcBorders>
              <w:top w:val="single" w:sz="4" w:space="0" w:color="C7D4E2"/>
              <w:left w:val="single" w:sz="4" w:space="0" w:color="C7D4E2"/>
              <w:bottom w:val="single" w:sz="4" w:space="0" w:color="C7D4E2"/>
              <w:right w:val="single" w:sz="4" w:space="0" w:color="C7D4E2"/>
              <w:insideH w:val="single" w:sz="4" w:space="0" w:color="C7D4E2"/>
              <w:insideV w:val="single" w:sz="4" w:space="0" w:color="C7D4E2"/>
            </w:tcBorders>
            <w:shd w:fill="FFFFFF"/>
          </w:tcPr>
          <w:p>
            <w:r>
              <w:rPr>
                <w:rFonts w:ascii="Noto Sans" w:hAnsi="Noto Sans"/>
                <w:sz w:val="17"/>
              </w:rPr>
              <w:t>operationalLimits</w:t>
            </w:r>
          </w:p>
        </w:tc>
        <w:tc>
          <w:tcPr>
            <w:tcW w:type="dxa" w:w="4929"/>
            <w:tcBorders>
              <w:top w:val="single" w:sz="4" w:space="0" w:color="C7D4E2"/>
              <w:left w:val="single" w:sz="4" w:space="0" w:color="C7D4E2"/>
              <w:bottom w:val="single" w:sz="4" w:space="0" w:color="C7D4E2"/>
              <w:right w:val="single" w:sz="4" w:space="0" w:color="C7D4E2"/>
              <w:insideH w:val="single" w:sz="4" w:space="0" w:color="C7D4E2"/>
              <w:insideV w:val="single" w:sz="4" w:space="0" w:color="C7D4E2"/>
            </w:tcBorders>
            <w:shd w:fill="FFFFFF"/>
          </w:tcPr>
          <w:p>
            <w:r>
              <w:rPr>
                <w:rFonts w:ascii="Noto Sans" w:hAnsi="Noto Sans"/>
                <w:sz w:val="17"/>
              </w:rPr>
              <w:t>Limiti di depth, nodi/edge, area, righe, tempo, result budget e correlation/session budget applicabili.</w:t>
            </w:r>
          </w:p>
        </w:tc>
      </w:tr>
      <w:tr>
        <w:tc>
          <w:tcPr>
            <w:tcW w:type="dxa" w:w="4929"/>
            <w:tcBorders>
              <w:top w:val="single" w:sz="4" w:space="0" w:color="C7D4E2"/>
              <w:left w:val="single" w:sz="4" w:space="0" w:color="C7D4E2"/>
              <w:bottom w:val="single" w:sz="4" w:space="0" w:color="C7D4E2"/>
              <w:right w:val="single" w:sz="4" w:space="0" w:color="C7D4E2"/>
              <w:insideH w:val="single" w:sz="4" w:space="0" w:color="C7D4E2"/>
              <w:insideV w:val="single" w:sz="4" w:space="0" w:color="C7D4E2"/>
            </w:tcBorders>
            <w:shd w:fill="F3F6F9"/>
          </w:tcPr>
          <w:p>
            <w:r>
              <w:rPr>
                <w:rFonts w:ascii="Noto Sans" w:hAnsi="Noto Sans"/>
                <w:sz w:val="17"/>
              </w:rPr>
              <w:t>resultSemantics</w:t>
            </w:r>
          </w:p>
        </w:tc>
        <w:tc>
          <w:tcPr>
            <w:tcW w:type="dxa" w:w="4929"/>
            <w:tcBorders>
              <w:top w:val="single" w:sz="4" w:space="0" w:color="C7D4E2"/>
              <w:left w:val="single" w:sz="4" w:space="0" w:color="C7D4E2"/>
              <w:bottom w:val="single" w:sz="4" w:space="0" w:color="C7D4E2"/>
              <w:right w:val="single" w:sz="4" w:space="0" w:color="C7D4E2"/>
              <w:insideH w:val="single" w:sz="4" w:space="0" w:color="C7D4E2"/>
              <w:insideV w:val="single" w:sz="4" w:space="0" w:color="C7D4E2"/>
            </w:tcBorders>
            <w:shd w:fill="F3F6F9"/>
          </w:tcPr>
          <w:p>
            <w:r>
              <w:rPr>
                <w:rFonts w:ascii="Noto Sans" w:hAnsi="Noto Sans"/>
                <w:sz w:val="17"/>
              </w:rPr>
              <w:t>Significato del risultato, completezza attesa, pagination e possibili stati parziali.</w:t>
            </w:r>
          </w:p>
        </w:tc>
      </w:tr>
      <w:tr>
        <w:tc>
          <w:tcPr>
            <w:tcW w:type="dxa" w:w="4929"/>
            <w:tcBorders>
              <w:top w:val="single" w:sz="4" w:space="0" w:color="C7D4E2"/>
              <w:left w:val="single" w:sz="4" w:space="0" w:color="C7D4E2"/>
              <w:bottom w:val="single" w:sz="4" w:space="0" w:color="C7D4E2"/>
              <w:right w:val="single" w:sz="4" w:space="0" w:color="C7D4E2"/>
              <w:insideH w:val="single" w:sz="4" w:space="0" w:color="C7D4E2"/>
              <w:insideV w:val="single" w:sz="4" w:space="0" w:color="C7D4E2"/>
            </w:tcBorders>
            <w:shd w:fill="FFFFFF"/>
          </w:tcPr>
          <w:p>
            <w:r>
              <w:rPr>
                <w:rFonts w:ascii="Noto Sans" w:hAnsi="Noto Sans"/>
                <w:sz w:val="17"/>
              </w:rPr>
              <w:t>securityNotes</w:t>
            </w:r>
          </w:p>
        </w:tc>
        <w:tc>
          <w:tcPr>
            <w:tcW w:type="dxa" w:w="4929"/>
            <w:tcBorders>
              <w:top w:val="single" w:sz="4" w:space="0" w:color="C7D4E2"/>
              <w:left w:val="single" w:sz="4" w:space="0" w:color="C7D4E2"/>
              <w:bottom w:val="single" w:sz="4" w:space="0" w:color="C7D4E2"/>
              <w:right w:val="single" w:sz="4" w:space="0" w:color="C7D4E2"/>
              <w:insideH w:val="single" w:sz="4" w:space="0" w:color="C7D4E2"/>
              <w:insideV w:val="single" w:sz="4" w:space="0" w:color="C7D4E2"/>
            </w:tcBorders>
            <w:shd w:fill="FFFFFF"/>
          </w:tcPr>
          <w:p>
            <w:r>
              <w:rPr>
                <w:rFonts w:ascii="Noto Sans" w:hAnsi="Noto Sans"/>
                <w:sz w:val="17"/>
              </w:rPr>
              <w:t>Vincoli authz, masking/redaction, dati non restituiti e operazioni human-only.</w:t>
            </w:r>
          </w:p>
        </w:tc>
      </w:tr>
    </w:tbl>
    <w:p>
      <w:pPr>
        <w:pStyle w:val="Heading2"/>
      </w:pPr>
      <w:r>
        <w:rPr>
          <w:rFonts w:ascii="Noto Sans" w:hAnsi="Noto Sans"/>
        </w:rPr>
        <w:t>98.2 Descrizioni normative delle capability graph/spatial principali</w:t>
      </w:r>
    </w:p>
    <w:p>
      <w:pPr>
        <w:pStyle w:val="OUFCode"/>
      </w:pPr>
      <w:r>
        <w:t>urban.graph.neighbors — Tool preferito per l’esplorazione progressiva del grafo. Restituisce il solo vicinato diretto e bounded. L’Agent deve analizzare i risultati e continuare soltanto sul sottoinsieme rilevante. Non deve essere usato in sequenza per aggirare limiti di depth o budget cumulativo.</w:t>
      </w:r>
    </w:p>
    <w:p>
      <w:pPr>
        <w:pStyle w:val="OUFCode"/>
      </w:pPr>
      <w:r>
        <w:t>urban.graph.traverse — Usare esclusivamente quando la richiesta è intrinsecamente ricorsiva o gerarchica, ad esempio catene di varianti, gerarchie o reti tecniche. Non usare per correlazioni cross-domain, oggetti che condividono uno stesso nodo/area o pattern traducibili in join tipizzati. Preferire urban.graph.neighbors, urban.object.related_search o urban.spatial.intersection_search. Il traversal è bounded da depth, fan-out, nodi/edge, timeout e correlation/session budget.</w:t>
      </w:r>
    </w:p>
    <w:p>
      <w:pPr>
        <w:pStyle w:val="OUFCode"/>
      </w:pPr>
      <w:r>
        <w:t>urban.object.related_search — Usare per correlare classi e relazioni note senza ricorsione, ad esempio Dehor, Worksite e LightingPole associati alla stessa Street. Il backend traduce il pattern in un Logical Query Plan validato e sceglie fixed JOIN/indexed lookup; l’Agent non fornisce SQL, CTE o linguaggi datastore-specifici.</w:t>
      </w:r>
    </w:p>
    <w:p>
      <w:pPr>
        <w:pStyle w:val="OUFCode"/>
      </w:pPr>
      <w:r>
        <w:t>urban.spatial.intersection_search — Usare per query cross-domain basate su relazioni spaziali o topologiche tra tipi di oggetto dichiarati, con anchor/target, CRS, area/raggio e result budget governati. Preferire questa capability a graph traversal quando la correlazione è spaziale, topologica o basata sulla condivisione di uno stesso oggetto geografico.</w:t>
      </w:r>
    </w:p>
    <w:p>
      <w:pPr/>
      <w:r>
        <w:rPr>
          <w:rFonts w:ascii="Noto Sans" w:hAnsi="Noto Sans"/>
        </w:rPr>
        <w:t>Regola MCP-MANIFEST-02 — La descrizione naturale del tool può suggerire una capability alternativa ma non può autorizzare redirect o rewrite automatici. Una richiesta incompatibile con la semantica del tool viene rifiutata dal Capability Router; ogni nuova invocazione resta esplicita, autenticata, autorizzata e contabilizzata nel medesimo complexity budget.</w:t>
      </w:r>
    </w:p>
    <w:p>
      <w:pPr>
        <w:pStyle w:val="Heading1"/>
      </w:pPr>
      <w:r>
        <w:rPr>
          <w:rFonts w:ascii="Noto Sans" w:hAnsi="Noto Sans" w:eastAsia="Noto Sans"/>
        </w:rPr>
        <w:t>99. Recovery responsibility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835"/>
            <w:vAlign w:val="center"/>
            <w:shd w:fill="0B4F6C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Evento</w:t>
            </w:r>
          </w:p>
        </w:tc>
        <w:tc>
          <w:tcPr>
            <w:tcW w:type="dxa" w:w="2835"/>
            <w:vAlign w:val="center"/>
            <w:shd w:fill="0B4F6C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Owner primario</w:t>
            </w:r>
          </w:p>
        </w:tc>
        <w:tc>
          <w:tcPr>
            <w:tcW w:type="dxa" w:w="5102"/>
            <w:vAlign w:val="center"/>
            <w:shd w:fill="0B4F6C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Cooperazione richiesta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Payload non interpretabile</w:t>
            </w:r>
          </w:p>
        </w:tc>
        <w:tc>
          <w:tcPr>
            <w:tcW w:type="dxa" w:w="2835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Ingestion Runtime</w:t>
            </w:r>
          </w:p>
        </w:tc>
        <w:tc>
          <w:tcPr>
            <w:tcW w:type="dxa" w:w="5102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Onboarding per nuovo contratto; UDP conserva solo handoff validi.</w:t>
            </w:r>
          </w:p>
        </w:tc>
      </w:tr>
      <w:tr>
        <w:tc>
          <w:tcPr>
            <w:tcW w:type="dxa" w:w="2835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RAW perso/corrotto</w:t>
            </w:r>
          </w:p>
        </w:tc>
        <w:tc>
          <w:tcPr>
            <w:tcW w:type="dxa" w:w="2835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Data Lake/UDP operations</w:t>
            </w:r>
          </w:p>
        </w:tc>
        <w:tc>
          <w:tcPr>
            <w:tcW w:type="dxa" w:w="5102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Restore object storage; verifica hash e lineage.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Serving table corrotta</w:t>
            </w:r>
          </w:p>
        </w:tc>
        <w:tc>
          <w:tcPr>
            <w:tcW w:type="dxa" w:w="2835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UDP</w:t>
            </w:r>
          </w:p>
        </w:tc>
        <w:tc>
          <w:tcPr>
            <w:tcW w:type="dxa" w:w="5102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Rebuild da lake + contratti storici.</w:t>
            </w:r>
          </w:p>
        </w:tc>
      </w:tr>
      <w:tr>
        <w:tc>
          <w:tcPr>
            <w:tcW w:type="dxa" w:w="2835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Semantic ref non risolvibile</w:t>
            </w:r>
          </w:p>
        </w:tc>
        <w:tc>
          <w:tcPr>
            <w:tcW w:type="dxa" w:w="2835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Semantic Registry</w:t>
            </w:r>
          </w:p>
        </w:tc>
        <w:tc>
          <w:tcPr>
            <w:tcW w:type="dxa" w:w="5102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UDP blocca rebuild/materialization e segnala incompatibilità.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Bundle storico non risolvibile</w:t>
            </w:r>
          </w:p>
        </w:tc>
        <w:tc>
          <w:tcPr>
            <w:tcW w:type="dxa" w:w="2835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Onboarding</w:t>
            </w:r>
          </w:p>
        </w:tc>
        <w:tc>
          <w:tcPr>
            <w:tcW w:type="dxa" w:w="5102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UDP blocca reproduce e mantiene evidenza dell’errore.</w:t>
            </w:r>
          </w:p>
        </w:tc>
      </w:tr>
      <w:tr>
        <w:tc>
          <w:tcPr>
            <w:tcW w:type="dxa" w:w="2835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Policy/identity unavailable</w:t>
            </w:r>
          </w:p>
        </w:tc>
        <w:tc>
          <w:tcPr>
            <w:tcW w:type="dxa" w:w="2835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Authorization/IAM</w:t>
            </w:r>
          </w:p>
        </w:tc>
        <w:tc>
          <w:tcPr>
            <w:tcW w:type="dxa" w:w="5102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Fail closed per dati protetti; nessun trusted-zone bypass.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Nuova fonte crea overload</w:t>
            </w:r>
          </w:p>
        </w:tc>
        <w:tc>
          <w:tcPr>
            <w:tcW w:type="dxa" w:w="2835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UDP/Ingestion operations</w:t>
            </w:r>
          </w:p>
        </w:tc>
        <w:tc>
          <w:tcPr>
            <w:tcW w:type="dxa" w:w="5102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Admission control, backpressure e capacity expansion.</w:t>
            </w:r>
          </w:p>
        </w:tc>
      </w:tr>
    </w:tbl>
    <w:p>
      <w:pPr>
        <w:pStyle w:val="Heading1"/>
      </w:pPr>
      <w:r>
        <w:rPr>
          <w:rFonts w:ascii="Noto Sans" w:hAnsi="Noto Sans" w:eastAsia="Noto Sans"/>
        </w:rPr>
        <w:t>100. Catalogo canonico delle capability v1.2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color="D9E2F3"/>
          <w:left w:val="single" w:sz="6" w:color="D9E2F3"/>
          <w:bottom w:val="single" w:sz="6" w:color="D9E2F3"/>
          <w:right w:val="single" w:sz="6" w:color="D9E2F3"/>
          <w:insideH w:val="single" w:sz="6" w:color="D9E2F3"/>
          <w:insideV w:val="single" w:sz="6" w:color="D9E2F3"/>
        </w:tblBorders>
      </w:tblPr>
      <w:tblGrid>
        <w:gridCol w:w="3286"/>
        <w:gridCol w:w="3286"/>
        <w:gridCol w:w="3286"/>
      </w:tblGrid>
      <w:tr>
        <w:trPr>
          <w:tblHeader w:val="true"/>
          <w:tblHeader w:val="true"/>
        </w:trPr>
        <w:tc>
          <w:tcPr>
            <w:tcW w:type="dxa" w:w="3402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b/>
                <w:sz w:val="17"/>
              </w:rPr>
              <w:t>Capability</w:t>
            </w:r>
          </w:p>
        </w:tc>
        <w:tc>
          <w:tcPr>
            <w:tcW w:type="dxa" w:w="3969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b/>
                <w:sz w:val="17"/>
              </w:rPr>
              <w:t>Scopo</w:t>
            </w:r>
          </w:p>
        </w:tc>
        <w:tc>
          <w:tcPr>
            <w:tcW w:type="dxa" w:w="2268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b/>
                <w:sz w:val="17"/>
              </w:rPr>
              <w:t>MCP eligibility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urban.object.read/search/history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Consultazione oggetti e revisioni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Si, secondo policy.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urban.graph.neighbors/traverse/path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/>
                <w:sz w:val="17"/>
              </w:rPr>
              <w:t>Navigazione graph bounded: neighbors 1-hop è il default per esplorazione agentica con pruning; traverse è riservato a gerarchie/reti realmente ricorsive.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/>
                <w:sz w:val="17"/>
              </w:rPr>
              <w:t>Si, con schema tipizzato, progressive pruning e complexity budget cumulativo.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/>
                <w:sz w:val="17"/>
              </w:rPr>
              <w:t>urban.spatial.nearby/intersects/within/intersection_search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/>
                <w:sz w:val="17"/>
              </w:rPr>
              <w:t>Query geospaziali e correlazioni cross-domain spatial/topological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/>
                <w:sz w:val="17"/>
              </w:rPr>
              <w:t>Si, con limiti e cost gate.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lineage.object/property/history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Lineage e provenienza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Si, filtrato/redacted.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urban.resolution.candidates/explain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Candidati di object resolution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Si.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urban.merge.plan/impact/propose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Preparazione merge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Si.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urban.merge.confirm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Decisione autoritativa di merge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No: human/trusted approval.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urban.split.plan/impact/propose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Preparazione split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Si.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urban.split.confirm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Decisione autoritativa di split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No: human/trusted approval.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udp.issue.read/explain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Diagnostica issue/quarantine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Si.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udp.replay.plan / rebuild.plan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Preparazione recovery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Si.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udp.replay.execute / rebuild.cutover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Operazioni ad alto impatto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Human/admin policy; non agent autonomous.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data.raw.read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Lettura RAW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Solo principal autorizzato; non implicita da urban.object.read.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urban.export.request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Export asincrono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Policy dedicata; bulk non implicito da read.</w:t>
            </w:r>
          </w:p>
        </w:tc>
      </w:tr>
      <w:tr>
        <w:tc>
          <w:tcPr>
            <w:tcW w:type="dxa" w:w="3286"/>
          </w:tcPr>
          <w:p>
            <w:r>
              <w:rPr>
                <w:rFonts w:ascii="Noto Sans" w:hAnsi="Noto Sans"/>
                <w:sz w:val="17"/>
              </w:rPr>
              <w:t>urban.object.related_search</w:t>
            </w:r>
          </w:p>
        </w:tc>
        <w:tc>
          <w:tcPr>
            <w:tcW w:type="dxa" w:w="3286"/>
          </w:tcPr>
          <w:p>
            <w:r>
              <w:rPr>
                <w:rFonts w:ascii="Noto Sans" w:hAnsi="Noto Sans"/>
                <w:sz w:val="17"/>
              </w:rPr>
              <w:t>Pattern relazionali cross-domain noti</w:t>
            </w:r>
          </w:p>
        </w:tc>
        <w:tc>
          <w:tcPr>
            <w:tcW w:type="dxa" w:w="3286"/>
          </w:tcPr>
          <w:p>
            <w:r>
              <w:rPr>
                <w:rFonts w:ascii="Noto Sans" w:hAnsi="Noto Sans"/>
                <w:sz w:val="17"/>
              </w:rPr>
              <w:t>Si; input tipizzato, fixed-plan eligible.</w:t>
            </w:r>
          </w:p>
        </w:tc>
      </w:tr>
      <w:tr>
        <w:tc>
          <w:tcPr>
            <w:tcW w:type="dxa" w:w="3286"/>
          </w:tcPr>
          <w:p>
            <w:r>
              <w:rPr>
                <w:rFonts w:ascii="Noto Sans" w:hAnsi="Noto Sans"/>
                <w:sz w:val="17"/>
              </w:rPr>
              <w:t>query.plan.explain</w:t>
            </w:r>
          </w:p>
        </w:tc>
        <w:tc>
          <w:tcPr>
            <w:tcW w:type="dxa" w:w="3286"/>
          </w:tcPr>
          <w:p>
            <w:r>
              <w:rPr>
                <w:rFonts w:ascii="Noto Sans" w:hAnsi="Noto Sans"/>
                <w:sz w:val="17"/>
              </w:rPr>
              <w:t>Spiega piano logico/costo senza esporre SQL fisico</w:t>
            </w:r>
          </w:p>
        </w:tc>
        <w:tc>
          <w:tcPr>
            <w:tcW w:type="dxa" w:w="3286"/>
          </w:tcPr>
          <w:p>
            <w:r>
              <w:rPr>
                <w:rFonts w:ascii="Noto Sans" w:hAnsi="Noto Sans"/>
                <w:sz w:val="17"/>
              </w:rPr>
              <w:t>Si, diagnostica read-only.</w:t>
            </w:r>
          </w:p>
        </w:tc>
      </w:tr>
    </w:tbl>
    <w:p>
      <w:pPr>
        <w:pStyle w:val="Heading2"/>
      </w:pPr>
      <w:r>
        <w:rPr>
          <w:rFonts w:ascii="Noto Sans" w:hAnsi="Noto Sans"/>
        </w:rPr>
        <w:t>100.1 Regola di pubblicazione del catalogo MCP</w:t>
      </w:r>
    </w:p>
    <w:p>
      <w:pPr/>
      <w:r>
        <w:rPr>
          <w:rFonts w:ascii="Noto Sans" w:hAnsi="Noto Sans"/>
        </w:rPr>
        <w:t>Il catalogo canonico non è sufficiente se pubblica soltanto nome e schema JSON. Per ogni capability tool-eligible la build del MCP Server deve generare una descrizione naturale conforme a MCP-MANIFEST-01 e validarla in CI. Una capability priva di useWhen/doNotUseWhen/preferredAlternatives/operationalLimits non è pubblicabile in produzione. Le descrizioni sono versionate insieme al Capability Manifest e ogni modifica sostanziale è sottoposta a regression test di tool selection su un set di prompt rappresentativi.</w:t>
      </w:r>
    </w:p>
    <w:p>
      <w:pPr>
        <w:pStyle w:val="Heading2"/>
      </w:pPr>
      <w:r>
        <w:rPr>
          <w:rFonts w:ascii="Noto Sans" w:hAnsi="Noto Sans"/>
        </w:rPr>
        <w:t>100.2 Adversarial Agent Regression Suite in CI/CD</w:t>
      </w:r>
    </w:p>
    <w:p>
      <w:pPr/>
      <w:r>
        <w:rPr>
          <w:rFonts w:ascii="Noto Sans" w:hAnsi="Noto Sans"/>
        </w:rPr>
        <w:t>La pipeline CI/CD deve includere una suite di regressione agentica che simula consumer deliberatamente subottimali o aggressivi. La suite invia tool call errate, varianti equivalenti, retry concorrenti e sequenze cross-Pod, verificando remediation, budget condiviso e arresto deterministico tramite TOOL_SELECTION_STALLED. Il test non valuta la qualita linguistica del modello: verifica i contratti server-side e l impossibilita di aggirare i guardrail tramite ripetizione o variazioni superficiali.</w:t>
      </w:r>
    </w:p>
    <w:p>
      <w:pPr>
        <w:pStyle w:val="Heading1"/>
      </w:pPr>
      <w:r>
        <w:rPr>
          <w:rFonts w:ascii="Noto Sans" w:hAnsi="Noto Sans" w:eastAsia="Noto Sans"/>
        </w:rPr>
        <w:t>101. Casi d’uso operativi consolidati</w:t>
      </w:r>
    </w:p>
    <w:p>
      <w:pPr>
        <w:pStyle w:val="Heading2"/>
      </w:pPr>
      <w:r>
        <w:rPr>
          <w:rFonts w:ascii="Noto Sans" w:hAnsi="Noto Sans" w:eastAsia="Noto Sans"/>
        </w:rPr>
        <w:t>101.1 Acquisizione e materializzazione</w:t>
      </w:r>
    </w:p>
    <w:p>
      <w:pPr>
        <w:pStyle w:val="ListBullet"/>
      </w:pPr>
      <w:r>
        <w:rPr>
          <w:rFonts w:ascii="Noto Sans" w:hAnsi="Noto Sans" w:eastAsia="Noto Sans"/>
        </w:rPr>
        <w:t>Nuova source-object identity genera candidate; Object Resolution decide NEW_OBJECT o MATCH.</w:t>
      </w:r>
    </w:p>
    <w:p>
      <w:pPr>
        <w:pStyle w:val="ListBullet"/>
      </w:pPr>
      <w:r>
        <w:rPr>
          <w:rFonts w:ascii="Noto Sans" w:hAnsi="Noto Sans" w:eastAsia="Noto Sans"/>
        </w:rPr>
        <w:t>Aggiornamento produce nuova revision mantenendo urbanObjectId.</w:t>
      </w:r>
    </w:p>
    <w:p>
      <w:pPr>
        <w:pStyle w:val="ListBullet"/>
      </w:pPr>
      <w:r>
        <w:rPr>
          <w:rFonts w:ascii="Noto Sans" w:hAnsi="Noto Sans" w:eastAsia="Noto Sans"/>
        </w:rPr>
        <w:t>Delete/tombstone modifica validità/stato secondo policy senza perdere lineage.</w:t>
      </w:r>
    </w:p>
    <w:p>
      <w:pPr>
        <w:pStyle w:val="ListBullet"/>
      </w:pPr>
      <w:r>
        <w:rPr>
          <w:rFonts w:ascii="Noto Sans" w:hAnsi="Noto Sans" w:eastAsia="Noto Sans"/>
        </w:rPr>
        <w:t>Schema drift viene intercettato dal preflight e non reinterpretato silenziosamente.</w:t>
      </w:r>
    </w:p>
    <w:p>
      <w:pPr>
        <w:pStyle w:val="Heading2"/>
      </w:pPr>
      <w:r>
        <w:rPr>
          <w:rFonts w:ascii="Noto Sans" w:hAnsi="Noto Sans" w:eastAsia="Noto Sans"/>
        </w:rPr>
        <w:t>101.2 Multi-source e authority</w:t>
      </w:r>
    </w:p>
    <w:p>
      <w:r>
        <w:rPr>
          <w:rFonts w:ascii="Noto Sans" w:hAnsi="Noto Sans" w:eastAsia="Noto Sans"/>
        </w:rPr>
        <w:t>SUO descrive geometria/superficie del DEHOR; Tributi descrive canone e stato contabile. Entrambe le source-object identity vengono associate a DEHOR-471; l’Authority Engine seleziona i contributi per proprietà e periodo.</w:t>
      </w:r>
    </w:p>
    <w:p>
      <w:pPr>
        <w:pStyle w:val="Heading2"/>
      </w:pPr>
      <w:r>
        <w:rPr>
          <w:rFonts w:ascii="Noto Sans" w:hAnsi="Noto Sans" w:eastAsia="Noto Sans"/>
        </w:rPr>
        <w:t>101.3 GIS e WFS</w:t>
      </w:r>
    </w:p>
    <w:p>
      <w:r>
        <w:rPr>
          <w:rFonts w:ascii="Noto Sans" w:hAnsi="Noto Sans" w:eastAsia="Noto Sans"/>
        </w:rPr>
        <w:t>L’utente fornisce al chatbot un endpoint WFS. Il sistema esegue discovery, chiede quali layer integrare, propone identity key, mapping semantico e spatial relationship con oggetti già presenti; la pubblicazione avviene solo dopo review/approval umana.</w:t>
      </w:r>
    </w:p>
    <w:p>
      <w:pPr>
        <w:pStyle w:val="Heading2"/>
      </w:pPr>
      <w:r>
        <w:rPr>
          <w:rFonts w:ascii="Noto Sans" w:hAnsi="Noto Sans" w:eastAsia="Noto Sans"/>
        </w:rPr>
        <w:t>101.4 Layer GIS statico</w:t>
      </w:r>
    </w:p>
    <w:p>
      <w:r>
        <w:rPr>
          <w:rFonts w:ascii="Noto Sans" w:hAnsi="Noto Sans" w:eastAsia="Noto Sans"/>
        </w:rPr>
        <w:t>Un GeoPackage/GeoJSON/Shapefile viene caricato tramite capability managed-source, profilato e trasformato in source governata. Ogni feature produce una source-object identity e candidate object; eventuali correlazioni con Street/Building/District vengono proposte e revisionate.</w:t>
      </w:r>
    </w:p>
    <w:p>
      <w:pPr>
        <w:pStyle w:val="Heading2"/>
      </w:pPr>
      <w:r>
        <w:rPr>
          <w:rFonts w:ascii="Noto Sans" w:hAnsi="Noto Sans" w:eastAsia="Noto Sans"/>
        </w:rPr>
        <w:t>101.5 Excel INTERNAL_MANAGED</w:t>
      </w:r>
    </w:p>
    <w:p>
      <w:r>
        <w:rPr>
          <w:rFonts w:ascii="Noto Sans" w:hAnsi="Noto Sans" w:eastAsia="Noto Sans"/>
        </w:rPr>
        <w:t>Il file/dataset rappresenta la source; le righe rappresentano source objects. Il profiler propone schema, key, datatype, classificazioni e mapping; dopo approvazione il processing produce candidate Urban Object.</w:t>
      </w:r>
    </w:p>
    <w:p>
      <w:pPr>
        <w:pStyle w:val="Heading2"/>
      </w:pPr>
      <w:r>
        <w:rPr>
          <w:rFonts w:ascii="Noto Sans" w:hAnsi="Noto Sans" w:eastAsia="Noto Sans"/>
        </w:rPr>
        <w:t>101.6 Merge via chatbot</w:t>
      </w:r>
    </w:p>
    <w:p>
      <w:r>
        <w:rPr>
          <w:rFonts w:ascii="Noto Sans" w:hAnsi="Noto Sans" w:eastAsia="Noto Sans"/>
        </w:rPr>
        <w:t>Il chatbot mostra due oggetti candidati, evidence, differenze, authority e MergeImpactReport. L’utente può modificare il piano e approvare/rifiutare; il backend registra decisione, alias e lineage.</w:t>
      </w:r>
    </w:p>
    <w:p>
      <w:pPr>
        <w:pStyle w:val="Heading2"/>
      </w:pPr>
      <w:r>
        <w:rPr>
          <w:rFonts w:ascii="Noto Sans" w:hAnsi="Noto Sans" w:eastAsia="Noto Sans"/>
        </w:rPr>
        <w:t>101.7 Lineage via chatbot</w:t>
      </w:r>
    </w:p>
    <w:p>
      <w:r>
        <w:rPr>
          <w:rFonts w:ascii="Noto Sans" w:hAnsi="Noto Sans" w:eastAsia="Noto Sans"/>
        </w:rPr>
        <w:t>L’utente chiede “da dove viene il valore superficie di DEHOR-471?”. La capability restituisce source, raw reference, schema/bundle/mapping/publication set/run; eventuali valori protetti sono masked prima dell’AI.</w:t>
      </w:r>
    </w:p>
    <w:p>
      <w:pPr>
        <w:pStyle w:val="Heading2"/>
      </w:pPr>
      <w:r>
        <w:rPr>
          <w:rFonts w:ascii="Noto Sans" w:hAnsi="Noto Sans"/>
        </w:rPr>
        <w:t>101.8 Esplorazione agentica incrementale del grafo</w:t>
      </w:r>
    </w:p>
    <w:p>
      <w:pPr/>
      <w:r>
        <w:rPr>
          <w:rFonts w:ascii="Noto Sans" w:hAnsi="Noto Sans"/>
        </w:rPr>
        <w:t>L’utente chiede di esplorare correlazioni non completamente note a priori. L’Agent invoca urban.graph.neighbors su un primo oggetto, analizza il risultato già filtrato, scarta i nodi non pertinenti e continua solo sul sottoinsieme necessario. Ogni hop resta 1-hop/bounded e consuma il budget cumulativo della correlation. Se durante l’analisi emerge un pattern noto e ripetibile, l’Agent passa a urban.object.related_search o urban.spatial.intersection_search invece di continuare un traversal cieco.</w:t>
      </w:r>
    </w:p>
    <w:p>
      <w:pPr>
        <w:pStyle w:val="Heading3"/>
      </w:pPr>
      <w:r>
        <w:rPr>
          <w:rFonts w:ascii="Noto Sans" w:hAnsi="Noto Sans"/>
        </w:rPr>
        <w:t>101.9 Agent subottimale: tool errato e ricorsione tramite più call</w:t>
      </w:r>
    </w:p>
    <w:p>
      <w:pPr/>
      <w:r>
        <w:rPr>
          <w:rFonts w:ascii="Noto Sans" w:hAnsi="Noto Sans"/>
        </w:rPr>
        <w:t>L’Agent tenta urban.graph.traverse per correlare Dehor, Worksite e LightingPole sulla stessa Street. Il Capability Router riconosce un pattern cross-domain non ricorsivo, rifiuta la tool call con QUERY_CAPABILITY_MISMATCH e suggerisce urban.object.related_search o urban.spatial.intersection_search. Se l’Agent prova invece a ricostruire quattro hop con chiamate neighbors successive, ogni chiamata consuma lo stesso correlation budget; al superamento della soglia il Governor interrompe la catena. Nessun comportamento corretto dell’Agent è richiesto per preservare la stabilità del DB.</w:t>
      </w:r>
    </w:p>
    <w:p>
      <w:pPr>
        <w:pStyle w:val="Heading3"/>
      </w:pPr>
      <w:r>
        <w:rPr>
          <w:rFonts w:ascii="Noto Sans" w:hAnsi="Noto Sans"/>
        </w:rPr>
        <w:t>101.9.1 Capability mismatch remediation contract</w:t>
      </w:r>
    </w:p>
    <w:p>
      <w:pPr/>
      <w:r>
        <w:rPr>
          <w:rFonts w:ascii="Noto Sans" w:hAnsi="Noto Sans"/>
        </w:rPr>
        <w:t>QUERY_CAPABILITY_MISMATCH è un errore operativo destinato anche a un consumer agentico e deve quindi essere actionable e machine-readable. Un semplice codice tecnico o una frase generica non è sufficiente. La risposta deve guidare il replanning senza eseguire implicitamente una capability diversa.</w:t>
      </w:r>
    </w:p>
    <w:p>
      <w:pPr>
        <w:pStyle w:val="OUFCode"/>
      </w:pPr>
      <w:r>
        <w:t>{</w:t>
        <w:br/>
        <w:t xml:space="preserve">  "code": "QUERY_CAPABILITY_MISMATCH",</w:t>
        <w:br/>
        <w:t xml:space="preserve">  "requestedCapability": "urban.graph.traverse",</w:t>
        <w:br/>
        <w:t xml:space="preserve">  "reason": "CROSS_DOMAIN_NON_RECURSIVE_PATTERN",</w:t>
        <w:br/>
        <w:t xml:space="preserve">  "recommendedCapability": "urban.object.related_search",</w:t>
        <w:br/>
        <w:t xml:space="preserve">  "retryable": true,</w:t>
        <w:br/>
        <w:t xml:space="preserve">  "reusableArguments": ["anchorType", "targetTypes"],</w:t>
        <w:br/>
        <w:t xml:space="preserve">  "missingArguments": ["relationConstraints"],</w:t>
        <w:br/>
        <w:t xml:space="preserve">  "recommendedArgumentShapeRef": "capability://urban.object.related_search/input-schema",</w:t>
        <w:br/>
        <w:t xml:space="preserve">  "budgetImpact": {</w:t>
        <w:br/>
        <w:t xml:space="preserve">    "queryExecution": "NONE",</w:t>
        <w:br/>
        <w:t xml:space="preserve">    "agentOrchestration": "ONE_MISMATCH"</w:t>
        <w:br/>
        <w:t xml:space="preserve">  }</w:t>
        <w:br/>
        <w:t>}</w:t>
      </w:r>
    </w:p>
    <w:p>
      <w:pPr/>
      <w:r>
        <w:rPr>
          <w:rFonts w:ascii="Noto Sans" w:hAnsi="Noto Sans"/>
        </w:rPr>
        <w:t>Regola ROUTER-01 — La remediation può indicare capability raccomandata, reason code, argomenti riusabili, argomenti mancanti, riferimento allo schema DTO e retryability. Non deve inventare valori di dominio non deducibili dalla richiesta né trasformare automaticamente l'invocazione.</w:t>
      </w:r>
    </w:p>
    <w:p>
      <w:pPr/>
      <w:r>
        <w:rPr>
          <w:rFonts w:ascii="Noto Sans" w:hAnsi="Noto Sans"/>
        </w:rPr>
        <w:t>Regola ROUTER-02 — La remediation non espone SQL, cardinalità sensibili, statistiche interne del planner o dettagli che consentano probing del datastore. La guidance è semantica e contrattuale.</w:t>
      </w:r>
    </w:p>
    <w:p>
      <w:pPr>
        <w:pStyle w:val="Heading3"/>
      </w:pPr>
      <w:r>
        <w:rPr>
          <w:rFonts w:ascii="Noto Sans" w:hAnsi="Noto Sans"/>
        </w:rPr>
        <w:t>101.9.2 Retry-loop guard e TOOL_SELECTION_STALLED</w:t>
      </w:r>
    </w:p>
    <w:p>
      <w:pPr/>
      <w:r>
        <w:rPr>
          <w:rFonts w:ascii="Noto Sans" w:hAnsi="Noto Sans"/>
        </w:rPr>
        <w:t>Il Router/Governor deve riconoscere retry semanticamente equivalenti sulla stessa correlation. Dopo una soglia configurata di mismatch/replanning senza progresso, ulteriori retry automatici vengono bloccati con TOOL_SELECTION_STALLED. La risposta propone una delle azioni governate: restringere la richiesta, chiedere chiarimento all'utente, utilizzare una capability analitica/asincrona se disponibile oppure terminare con spiegazione trasparente.</w:t>
      </w:r>
    </w:p>
    <w:p>
      <w:pPr/>
      <w:r>
        <w:rPr>
          <w:rFonts w:ascii="Noto Sans" w:hAnsi="Noto Sans"/>
        </w:rPr>
        <w:t>La soglia non è un numero universale imposto dal documento; deve essere configurabile per workload e validata con regression test agentici. Il principio normativo è che nessun LLM possa entrare in un retry loop illimitato a costo applicativo o DB crescente.</w:t>
      </w:r>
    </w:p>
    <w:p>
      <w:pPr>
        <w:pStyle w:val="Heading2"/>
      </w:pPr>
      <w:r>
        <w:rPr>
          <w:rFonts w:ascii="Noto Sans" w:hAnsi="Noto Sans"/>
        </w:rPr>
        <w:t>101.10 Recovery</w:t>
      </w:r>
    </w:p>
    <w:p>
      <w:r>
        <w:rPr>
          <w:rFonts w:ascii="Noto Sans" w:hAnsi="Noto Sans" w:eastAsia="Noto Sans"/>
        </w:rPr>
        <w:t>Dopo perdita/corruzione di una porzione del serving state, il sistema costruisce un rebuild plan da raw + historical contracts, materializza in shadow e valida prima del cut-over.</w:t>
      </w:r>
    </w:p>
    <w:p>
      <w:pPr>
        <w:pStyle w:val="Heading1"/>
      </w:pPr>
      <w:r>
        <w:rPr>
          <w:rFonts w:ascii="Noto Sans" w:hAnsi="Noto Sans" w:eastAsia="Noto Sans"/>
        </w:rPr>
        <w:t>102. End-to-End Acceptance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814"/>
            <w:vAlign w:val="center"/>
            <w:shd w:fill="0B4F6C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81"/>
            <w:vAlign w:val="center"/>
            <w:shd w:fill="0B4F6C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6520"/>
            <w:vAlign w:val="center"/>
            <w:shd w:fill="0B4F6C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Criterio di accettazione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UDP-E2E-01</w:t>
            </w:r>
          </w:p>
        </w:tc>
        <w:tc>
          <w:tcPr>
            <w:tcW w:type="dxa" w:w="2381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Ingestion handoff</w:t>
            </w:r>
          </w:p>
        </w:tc>
        <w:tc>
          <w:tcPr>
            <w:tcW w:type="dxa" w:w="6520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Durable ACK non precede la persistenza verificabile del payload e dei riferimenti di lineage.</w:t>
            </w:r>
          </w:p>
        </w:tc>
      </w:tr>
      <w:tr>
        <w:tc>
          <w:tcPr>
            <w:tcW w:type="dxa" w:w="1814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UDP-E2E-02</w:t>
            </w:r>
          </w:p>
        </w:tc>
        <w:tc>
          <w:tcPr>
            <w:tcW w:type="dxa" w:w="2381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Idempotenza</w:t>
            </w:r>
          </w:p>
        </w:tc>
        <w:tc>
          <w:tcPr>
            <w:tcW w:type="dxa" w:w="6520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Replay dello stesso HandoffPayload non crea una seconda revisione equivalente.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UDP-E2E-03</w:t>
            </w:r>
          </w:p>
        </w:tc>
        <w:tc>
          <w:tcPr>
            <w:tcW w:type="dxa" w:w="2381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Historical contracts</w:t>
            </w:r>
          </w:p>
        </w:tc>
        <w:tc>
          <w:tcPr>
            <w:tcW w:type="dxa" w:w="6520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Una revisione vecchia resta risolvibile dopo attivazione di nuovi bundle/schema.</w:t>
            </w:r>
          </w:p>
        </w:tc>
      </w:tr>
      <w:tr>
        <w:tc>
          <w:tcPr>
            <w:tcW w:type="dxa" w:w="1814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UDP-E2E-04</w:t>
            </w:r>
          </w:p>
        </w:tc>
        <w:tc>
          <w:tcPr>
            <w:tcW w:type="dxa" w:w="2381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Schema drift</w:t>
            </w:r>
          </w:p>
        </w:tc>
        <w:tc>
          <w:tcPr>
            <w:tcW w:type="dxa" w:w="6520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Breaking source schema non modifica né elimina gli Urban Object storici.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UDP-E2E-05</w:t>
            </w:r>
          </w:p>
        </w:tc>
        <w:tc>
          <w:tcPr>
            <w:tcW w:type="dxa" w:w="2381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Object resolution</w:t>
            </w:r>
          </w:p>
        </w:tc>
        <w:tc>
          <w:tcPr>
            <w:tcW w:type="dxa" w:w="6520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MATCH/NEW/REVIEW è deterministico, spiegabile e tracciato.</w:t>
            </w:r>
          </w:p>
        </w:tc>
      </w:tr>
      <w:tr>
        <w:tc>
          <w:tcPr>
            <w:tcW w:type="dxa" w:w="1814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UDP-E2E-06</w:t>
            </w:r>
          </w:p>
        </w:tc>
        <w:tc>
          <w:tcPr>
            <w:tcW w:type="dxa" w:w="2381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Merge/Split</w:t>
            </w:r>
          </w:p>
        </w:tc>
        <w:tc>
          <w:tcPr>
            <w:tcW w:type="dxa" w:w="6520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Nessuna operazione perde binding, provenance o authority history.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UDP-E2E-07</w:t>
            </w:r>
          </w:p>
        </w:tc>
        <w:tc>
          <w:tcPr>
            <w:tcW w:type="dxa" w:w="2381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Spatial</w:t>
            </w:r>
          </w:p>
        </w:tc>
        <w:tc>
          <w:tcPr>
            <w:tcW w:type="dxa" w:w="6520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WFS/geometry correlation usa CRS/tolerance espliciti e gestisce match multipli.</w:t>
            </w:r>
          </w:p>
        </w:tc>
      </w:tr>
      <w:tr>
        <w:tc>
          <w:tcPr>
            <w:tcW w:type="dxa" w:w="1814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UDP-E2E-08</w:t>
            </w:r>
          </w:p>
        </w:tc>
        <w:tc>
          <w:tcPr>
            <w:tcW w:type="dxa" w:w="2381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Authority</w:t>
            </w:r>
          </w:p>
        </w:tc>
        <w:tc>
          <w:tcPr>
            <w:tcW w:type="dxa" w:w="6520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La property current deriva dalla fonte autoritativa applicabile nel periodo.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UDP-E2E-09</w:t>
            </w:r>
          </w:p>
        </w:tc>
        <w:tc>
          <w:tcPr>
            <w:tcW w:type="dxa" w:w="2381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Data access</w:t>
            </w:r>
          </w:p>
        </w:tc>
        <w:tc>
          <w:tcPr>
            <w:tcW w:type="dxa" w:w="6520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Property/relationship/lineage non autorizzati sono filtrati prima di MCP/consumer.</w:t>
            </w:r>
          </w:p>
        </w:tc>
      </w:tr>
      <w:tr>
        <w:tc>
          <w:tcPr>
            <w:tcW w:type="dxa" w:w="1814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UDP-E2E-10</w:t>
            </w:r>
          </w:p>
        </w:tc>
        <w:tc>
          <w:tcPr>
            <w:tcW w:type="dxa" w:w="2381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Graph navigation</w:t>
            </w:r>
          </w:p>
        </w:tc>
        <w:tc>
          <w:tcPr>
            <w:tcW w:type="dxa" w:w="6520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Traversal MCP rispetta maxDepth/maxNodes/maxEdges e timeout.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UDP-E2E-11</w:t>
            </w:r>
          </w:p>
        </w:tc>
        <w:tc>
          <w:tcPr>
            <w:tcW w:type="dxa" w:w="2381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Serving history</w:t>
            </w:r>
          </w:p>
        </w:tc>
        <w:tc>
          <w:tcPr>
            <w:tcW w:type="dxa" w:w="6520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current, history e asOf producono risultati coerenti con la temporalità.</w:t>
            </w:r>
          </w:p>
        </w:tc>
      </w:tr>
      <w:tr>
        <w:tc>
          <w:tcPr>
            <w:tcW w:type="dxa" w:w="1814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UDP-E2E-12</w:t>
            </w:r>
          </w:p>
        </w:tc>
        <w:tc>
          <w:tcPr>
            <w:tcW w:type="dxa" w:w="2381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Replay/Rebuild</w:t>
            </w:r>
          </w:p>
        </w:tc>
        <w:tc>
          <w:tcPr>
            <w:tcW w:type="dxa" w:w="6520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Reproduce usa contratti originali; rebuild shadow valida prima del cut-over.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UDP-E2E-13</w:t>
            </w:r>
          </w:p>
        </w:tc>
        <w:tc>
          <w:tcPr>
            <w:tcW w:type="dxa" w:w="2381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Multi-source growth</w:t>
            </w:r>
          </w:p>
        </w:tc>
        <w:tc>
          <w:tcPr>
            <w:tcW w:type="dxa" w:w="6520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L’aggiunta di una nuova fonte non richiede un nuovo database o un nuovo deployable.</w:t>
            </w:r>
          </w:p>
        </w:tc>
      </w:tr>
      <w:tr>
        <w:tc>
          <w:tcPr>
            <w:tcW w:type="dxa" w:w="1814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UDP-E2E-14</w:t>
            </w:r>
          </w:p>
        </w:tc>
        <w:tc>
          <w:tcPr>
            <w:tcW w:type="dxa" w:w="2381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Backup/restore</w:t>
            </w:r>
          </w:p>
        </w:tc>
        <w:tc>
          <w:tcPr>
            <w:tcW w:type="dxa" w:w="6520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PITR PostgreSQL e restore object storage ricostruiscono un punto coerente.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UDP-E2E-15</w:t>
            </w:r>
          </w:p>
        </w:tc>
        <w:tc>
          <w:tcPr>
            <w:tcW w:type="dxa" w:w="2381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Observability</w:t>
            </w:r>
          </w:p>
        </w:tc>
        <w:tc>
          <w:tcPr>
            <w:tcW w:type="dxa" w:w="6520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correlationId/lineageId consentono di seguire una richiesta dalla source al serving.</w:t>
            </w:r>
          </w:p>
        </w:tc>
      </w:tr>
      <w:tr>
        <w:tc>
          <w:tcPr>
            <w:tcW w:type="dxa" w:w="1814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UDP-E2E-16</w:t>
            </w:r>
          </w:p>
        </w:tc>
        <w:tc>
          <w:tcPr>
            <w:tcW w:type="dxa" w:w="2381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Economy gate</w:t>
            </w:r>
          </w:p>
        </w:tc>
        <w:tc>
          <w:tcPr>
            <w:tcW w:type="dxa" w:w="6520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Nessun componente extra entra senza trigger misurabile e approvazione architetturale.</w:t>
            </w:r>
          </w:p>
        </w:tc>
      </w:tr>
    </w:tbl>
    <w:p>
      <w:pPr>
        <w:pStyle w:val="Heading1"/>
      </w:pPr>
      <w:r>
        <w:rPr>
          <w:rFonts w:ascii="Noto Sans" w:hAnsi="Noto Sans" w:eastAsia="Noto Sans"/>
        </w:rPr>
        <w:t>103. Non-functional acceptance profile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vAlign w:val="center"/>
            <w:shd w:fill="0B4F6C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Dimensione</w:t>
            </w:r>
          </w:p>
        </w:tc>
        <w:tc>
          <w:tcPr>
            <w:tcW w:type="dxa" w:w="8504"/>
            <w:vAlign w:val="center"/>
            <w:shd w:fill="0B4F6C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Baseline pre-v1.0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Disponibilità</w:t>
            </w:r>
          </w:p>
        </w:tc>
        <w:tc>
          <w:tcPr>
            <w:tcW w:type="dxa" w:w="8504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HA coerente con il profilo infrastrutturale scelto; nessun single point applicativo intenzionale.</w:t>
            </w:r>
          </w:p>
        </w:tc>
      </w:tr>
      <w:tr>
        <w:tc>
          <w:tcPr>
            <w:tcW w:type="dxa" w:w="2268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Performance</w:t>
            </w:r>
          </w:p>
        </w:tc>
        <w:tc>
          <w:tcPr>
            <w:tcW w:type="dxa" w:w="8504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SLO v1.0 verificati su current read/search, spatial, graph e lineage con dataset rappresentativo.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Scalabilità</w:t>
            </w:r>
          </w:p>
        </w:tc>
        <w:tc>
          <w:tcPr>
            <w:tcW w:type="dxa" w:w="8504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Storage espandibile; API/worker scalabili indipendentemente; capacity gate per nuove fonti.</w:t>
            </w:r>
          </w:p>
        </w:tc>
      </w:tr>
      <w:tr>
        <w:tc>
          <w:tcPr>
            <w:tcW w:type="dxa" w:w="2268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Sicurezza</w:t>
            </w:r>
          </w:p>
        </w:tc>
        <w:tc>
          <w:tcPr>
            <w:tcW w:type="dxa" w:w="8504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TLS, M2M, least privilege, network policy, encryption, audit e fail-closed per risorse protette.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Recovery</w:t>
            </w:r>
          </w:p>
        </w:tc>
        <w:tc>
          <w:tcPr>
            <w:tcW w:type="dxa" w:w="8504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RPO/RTO misurati; restore e rebuild provati, non solo documentati.</w:t>
            </w:r>
          </w:p>
        </w:tc>
      </w:tr>
      <w:tr>
        <w:tc>
          <w:tcPr>
            <w:tcW w:type="dxa" w:w="2268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Maintainability</w:t>
            </w:r>
          </w:p>
        </w:tc>
        <w:tc>
          <w:tcPr>
            <w:tcW w:type="dxa" w:w="8504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Flyway expand/contract, SBOM, runbook, metriche e configuration-as-code.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Portabilità</w:t>
            </w:r>
          </w:p>
        </w:tc>
        <w:tc>
          <w:tcPr>
            <w:tcW w:type="dxa" w:w="8504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Kubernetes + PostgreSQL/PostGIS + S3-compatible; nessuna dipendenza proprietaria necessaria.</w:t>
            </w:r>
          </w:p>
        </w:tc>
      </w:tr>
      <w:tr>
        <w:tc>
          <w:tcPr>
            <w:tcW w:type="dxa" w:w="2268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Cost control</w:t>
            </w:r>
          </w:p>
        </w:tc>
        <w:tc>
          <w:tcPr>
            <w:tcW w:type="dxa" w:w="8504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Baseline compatibile con il design constraint complessivo; scaling guidato da metriche.</w:t>
            </w:r>
          </w:p>
        </w:tc>
      </w:tr>
    </w:tbl>
    <w:p>
      <w:pPr>
        <w:pStyle w:val="Heading1"/>
      </w:pPr>
      <w:r>
        <w:rPr>
          <w:rFonts w:ascii="Noto Sans" w:hAnsi="Noto Sans" w:eastAsia="Noto Sans"/>
        </w:rPr>
        <w:t>104. Capacity acceptance per crescita futura delle fonti</w:t>
      </w:r>
    </w:p>
    <w:p>
      <w:r>
        <w:rPr>
          <w:rFonts w:ascii="Noto Sans" w:hAnsi="Noto Sans" w:eastAsia="Noto Sans"/>
        </w:rPr>
        <w:t>Il dimensionamento iniziale non costituisce un tetto. La baseline congela un modello di crescita misurabile: ogni nuova fonte viene valutata in onboarding anche per volume, frequenza, retention, geometrie e storico atteso; prima dell’attivazione il Capacity Gate verifica headroom di storage, DB, IOPS e worker.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402"/>
            <w:vAlign w:val="center"/>
            <w:shd w:fill="0B4F6C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Indicatore</w:t>
            </w:r>
          </w:p>
        </w:tc>
        <w:tc>
          <w:tcPr>
            <w:tcW w:type="dxa" w:w="7370"/>
            <w:vAlign w:val="center"/>
            <w:shd w:fill="0B4F6C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/>
                <w:color w:val="FFFFFF"/>
                <w:sz w:val="17"/>
              </w:rPr>
              <w:t>Trigger operativo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PostgreSQL usable storage</w:t>
            </w:r>
          </w:p>
        </w:tc>
        <w:tc>
          <w:tcPr>
            <w:tcW w:type="dxa" w:w="7370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Espansione pianificata prima di superare 70% sostenuto.</w:t>
            </w:r>
          </w:p>
        </w:tc>
      </w:tr>
      <w:tr>
        <w:tc>
          <w:tcPr>
            <w:tcW w:type="dxa" w:w="3402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Object storage</w:t>
            </w:r>
          </w:p>
        </w:tc>
        <w:tc>
          <w:tcPr>
            <w:tcW w:type="dxa" w:w="7370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Espansione o nuova tier prima di 75% sostenuto.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DB IOPS/latency</w:t>
            </w:r>
          </w:p>
        </w:tc>
        <w:tc>
          <w:tcPr>
            <w:tcW w:type="dxa" w:w="7370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Scale-up/partition review se SLO violati per carico e non per query difettose.</w:t>
            </w:r>
          </w:p>
        </w:tc>
      </w:tr>
      <w:tr>
        <w:tc>
          <w:tcPr>
            <w:tcW w:type="dxa" w:w="3402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Worker backlog</w:t>
            </w:r>
          </w:p>
        </w:tc>
        <w:tc>
          <w:tcPr>
            <w:tcW w:type="dxa" w:w="7370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Scale-out o admission control se backlog supera la recovery window definita.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Index/bloat ratio</w:t>
            </w:r>
          </w:p>
        </w:tc>
        <w:tc>
          <w:tcPr>
            <w:tcW w:type="dxa" w:w="7370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Maintenance/REINDEX mirato quando supera soglia operativa misurata.</w:t>
            </w:r>
          </w:p>
        </w:tc>
      </w:tr>
      <w:tr>
        <w:tc>
          <w:tcPr>
            <w:tcW w:type="dxa" w:w="3402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Graph traversal cost</w:t>
            </w:r>
          </w:p>
        </w:tc>
        <w:tc>
          <w:tcPr>
            <w:tcW w:type="dxa" w:w="7370"/>
            <w:vAlign w:val="center"/>
            <w:shd w:fill="F5F7F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Valutare projection dedicata solo dopo evidenza di query multi-hop non sostenibili.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Spatial query cost</w:t>
            </w:r>
          </w:p>
        </w:tc>
        <w:tc>
          <w:tcPr>
            <w:tcW w:type="dxa" w:w="7370"/>
            <w:vAlign w:val="center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 w:before="0"/>
            </w:pPr>
            <w:r>
              <w:rPr>
                <w:rFonts w:ascii="Noto Sans" w:hAnsi="Noto Sans" w:eastAsia="Noto Sans" w:cs="Noto Sans"/>
                <w:b w:val="0"/>
                <w:sz w:val="17"/>
              </w:rPr>
              <w:t>Tune indici/partitioning prima di introdurre datastore geospaziali aggiuntivi.</w:t>
            </w:r>
          </w:p>
        </w:tc>
      </w:tr>
    </w:tbl>
    <w:p>
      <w:pPr>
        <w:pStyle w:val="Heading1"/>
      </w:pPr>
      <w:r>
        <w:rPr>
          <w:rFonts w:ascii="Noto Sans" w:hAnsi="Noto Sans" w:eastAsia="Noto Sans"/>
        </w:rPr>
        <w:t>105. Conformance &amp; Acceptance Suite v1.2</w:t>
      </w:r>
    </w:p>
    <w:p>
      <w:pPr>
        <w:pStyle w:val="Heading2"/>
      </w:pPr>
      <w:r>
        <w:rPr>
          <w:rFonts w:ascii="Noto Sans" w:hAnsi="Noto Sans"/>
        </w:rPr>
        <w:t>105.1 Addendum di conformità v1.2</w:t>
      </w:r>
    </w:p>
    <w:p>
      <w:pPr>
        <w:pStyle w:val="ListBullet"/>
      </w:pPr>
      <w:r>
        <w:rPr>
          <w:rFonts w:ascii="Noto Sans" w:hAnsi="Noto Sans"/>
        </w:rPr>
        <w:t>UDP-A21 — Repeated observation senza material change non crea una nuova Canonical Revision.</w:t>
      </w:r>
    </w:p>
    <w:p>
      <w:pPr>
        <w:pStyle w:val="ListBullet"/>
      </w:pPr>
      <w:r>
        <w:rPr>
          <w:rFonts w:ascii="Noto Sans" w:hAnsi="Noto Sans"/>
        </w:rPr>
        <w:t>UDP-A22 — BITEMPORAL_REQUIRED applica system interval completo solo sullo scope configurato; gli altri fatti usano system evidence.</w:t>
      </w:r>
    </w:p>
    <w:p>
      <w:pPr>
        <w:pStyle w:val="ListBullet"/>
      </w:pPr>
      <w:r>
        <w:rPr>
          <w:rFonts w:ascii="Noto Sans" w:hAnsi="Noto Sans"/>
        </w:rPr>
        <w:t>UDP-A23 — Payload storico cold può essere risolto tramite objectStorageRef mantenendo history/asOf e lineage.</w:t>
      </w:r>
    </w:p>
    <w:p>
      <w:pPr>
        <w:pStyle w:val="ListBullet"/>
      </w:pPr>
      <w:r>
        <w:rPr>
          <w:rFonts w:ascii="Noto Sans" w:hAnsi="Noto Sans"/>
        </w:rPr>
        <w:t>UDP-A24 — urban.object.related_search viene tradotto in piano server-side tipizzato senza query language fornito dall’Agent.</w:t>
      </w:r>
    </w:p>
    <w:p>
      <w:pPr>
        <w:pStyle w:val="ListBullet"/>
      </w:pPr>
      <w:r>
        <w:rPr>
          <w:rFonts w:ascii="Noto Sans" w:hAnsi="Noto Sans"/>
        </w:rPr>
        <w:t>UDP-A25 — urban.spatial.intersection_search usa anchor/target types e cost gate; non degrada in traversal cieco.</w:t>
      </w:r>
    </w:p>
    <w:p>
      <w:pPr>
        <w:pStyle w:val="ListBullet"/>
      </w:pPr>
      <w:r>
        <w:rPr>
          <w:rFonts w:ascii="Noto Sans" w:hAnsi="Noto Sans"/>
        </w:rPr>
        <w:t>UDP-A26 — urban.graph.traverse rifiuta pattern non ricorsivi quando esiste una capability specialistica equivalente.</w:t>
      </w:r>
    </w:p>
    <w:p>
      <w:pPr>
        <w:pStyle w:val="ListBullet"/>
      </w:pPr>
      <w:r>
        <w:rPr>
          <w:rFonts w:ascii="Noto Sans" w:hAnsi="Noto Sans"/>
        </w:rPr>
        <w:t>UDP-A27 — Complexity budget cumulativo impedisce di aggirare maxDepth tramite sequenze di tool call correlate.</w:t>
      </w:r>
    </w:p>
    <w:p>
      <w:pPr>
        <w:pStyle w:val="ListBullet"/>
      </w:pPr>
      <w:r>
        <w:rPr>
          <w:rFonts w:ascii="Noto Sans" w:hAnsi="Noto Sans"/>
        </w:rPr>
        <w:t>UDP-A28 — Query planner può selezionare fixed JOIN, indexed adjacency, PostGIS o recursive CTE; l’Agent non controlla la strategia fisica.</w:t>
      </w:r>
    </w:p>
    <w:p>
      <w:pPr>
        <w:pStyle w:val="ListBullet"/>
      </w:pPr>
      <w:r>
        <w:rPr>
          <w:rFonts w:ascii="Noto Sans" w:hAnsi="Noto Sans"/>
        </w:rPr>
        <w:t>UDP-A29 — Exploratory graph navigation usa urban.graph.neighbors come primitive preferito e richiede progressive pruning prima dell’hop successivo.</w:t>
      </w:r>
    </w:p>
    <w:p>
      <w:pPr>
        <w:pStyle w:val="ListBullet"/>
      </w:pPr>
      <w:r>
        <w:rPr>
          <w:rFonts w:ascii="Noto Sans" w:hAnsi="Noto Sans"/>
        </w:rPr>
        <w:t>UDP-A30 — Una sequenza agentica hop-by-hop che supera il budget cumulativo viene rifiutata o interrotta anche se ciascuna singola tool call rispetta i limiti locali.</w:t>
      </w:r>
    </w:p>
    <w:p>
      <w:pPr>
        <w:pStyle w:val="ListBullet"/>
      </w:pPr>
      <w:r>
        <w:rPr>
          <w:rFonts w:ascii="Noto Sans" w:hAnsi="Noto Sans"/>
        </w:rPr>
        <w:t>UDP-A31 — Quando la richiesta esprime un pattern cross-domain noto, il planner/tool routing preferisce urban.object.related_search o urban.spatial.intersection_search rispetto a una catena di traversal equivalente.</w:t>
      </w:r>
    </w:p>
    <w:p>
      <w:pPr>
        <w:pStyle w:val="ListBullet"/>
      </w:pPr>
      <w:r>
        <w:rPr>
          <w:rFonts w:ascii="Noto Sans" w:hAnsi="Noto Sans"/>
        </w:rPr>
        <w:t>UDP-A32 — MCP Capability Router rifiuta urban.graph.traverse per un pattern cross-domain non ricorsivo e restituisce QUERY_CAPABILITY_MISMATCH senza eseguire SQL sul datastore.</w:t>
      </w:r>
    </w:p>
    <w:p>
      <w:pPr>
        <w:pStyle w:val="ListBullet"/>
      </w:pPr>
      <w:r>
        <w:rPr>
          <w:rFonts w:ascii="Noto Sans" w:hAnsi="Noto Sans"/>
        </w:rPr>
        <w:t>UDP-A33 — Una tool call rifiutata non viene automaticamente riscritta/eseguita con una capability alternativa; la nuova invocazione resta esplicita e soggetta ad authz e budget.</w:t>
      </w:r>
    </w:p>
    <w:p>
      <w:pPr>
        <w:pStyle w:val="ListBullet"/>
      </w:pPr>
      <w:r>
        <w:rPr>
          <w:rFonts w:ascii="Noto Sans" w:hAnsi="Noto Sans"/>
        </w:rPr>
        <w:t>UDP-A34 — Query Complexity Governor mantiene il budget cumulativo attraverso più tool call della stessa correlation/session e impedisce reset artificiali per-call.</w:t>
      </w:r>
    </w:p>
    <w:p>
      <w:pPr>
        <w:pStyle w:val="ListBullet"/>
      </w:pPr>
      <w:r>
        <w:rPr>
          <w:rFonts w:ascii="Noto Sans" w:hAnsi="Noto Sans"/>
        </w:rPr>
        <w:t>UDP-A35 — Un Agent che non applica progressive pruning non può superare i limiti cumulativi; la piattaforma resta stabile e protegge current read e durable ingestion.</w:t>
      </w:r>
    </w:p>
    <w:p>
      <w:pPr>
        <w:pStyle w:val="ListBullet"/>
      </w:pPr>
      <w:r>
        <w:rPr>
          <w:rFonts w:ascii="Noto Sans" w:hAnsi="Noto Sans"/>
        </w:rPr>
        <w:t>UDP-A36 — Una richiesta analitica composita non coperta dal serving operativo produce QUERY_REQUIRES_ANALYTICAL_CAPABILITY o job asincrono governato, senza decomposizione illimitata in query graph/spatial operative.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color="D9E2F3"/>
          <w:left w:val="single" w:sz="6" w:color="D9E2F3"/>
          <w:bottom w:val="single" w:sz="6" w:color="D9E2F3"/>
          <w:right w:val="single" w:sz="6" w:color="D9E2F3"/>
          <w:insideH w:val="single" w:sz="6" w:color="D9E2F3"/>
          <w:insideV w:val="single" w:sz="6" w:color="D9E2F3"/>
        </w:tblBorders>
      </w:tblPr>
      <w:tblGrid>
        <w:gridCol w:w="3286"/>
        <w:gridCol w:w="3286"/>
        <w:gridCol w:w="3286"/>
      </w:tblGrid>
      <w:tr>
        <w:trPr>
          <w:tblHeader w:val="true"/>
          <w:tblHeader w:val="true"/>
        </w:trPr>
        <w:tc>
          <w:tcPr>
            <w:tcW w:type="dxa" w:w="1417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b/>
                <w:sz w:val="17"/>
              </w:rPr>
              <w:t>ID</w:t>
            </w:r>
          </w:p>
        </w:tc>
        <w:tc>
          <w:tcPr>
            <w:tcW w:type="dxa" w:w="2835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b/>
                <w:sz w:val="17"/>
              </w:rPr>
              <w:t>Test</w:t>
            </w:r>
          </w:p>
        </w:tc>
        <w:tc>
          <w:tcPr>
            <w:tcW w:type="dxa" w:w="5669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b/>
                <w:sz w:val="17"/>
              </w:rPr>
              <w:t>Criterio di accettazione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UDP-A01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Durable ACK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ACK emesso solo dopo persistenza input/recovery metadata; watermark non avanza prima.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UDP-A02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No triplication invariant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RAW persistente; NORMALIZED/CURATED possono essere selettivi senza obbligo di copia 1:1.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UDP-A03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Urban Object creation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Candidate genera NEW_OBJECT o MATCH secondo resolution configurata; nessuna identity inventata.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UDP-A04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Multi-source object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Due fonti diverse possono contribuire allo stesso Urban Object con provenance separata.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UDP-A05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Property authority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Contributi in conflitto rispettano authority per proprietà/periodo.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UDP-A06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Valid time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validTo resta NULL quando non noto; expiry derivata solo da fonte/regola approvata.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UDP-A07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WFS conversational onboarding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Discovery e proposta via chatbot; attivazione solo dopo approval.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UDP-A08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Static GIS intake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Dataset crea source; feature crea source-object identity; candidate/resolution funzionano.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UDP-A09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Preflight contract check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Ogni run verifica source/type/schema fingerprint prima del processing.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UDP-A10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Breaking schema drift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Run non procede silenziosamente; issue/quarantine/re-onboarding secondo policy.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UDP-A11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Historical readability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Vecchie revisioni restano interpretabili tramite contract refs storici.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UDP-A12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Merge human governance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AI può proporre/illustrare; confirm richiede human trusted approval.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UDP-A13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Property-level authorization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Dato PERSONAL/SENSITIVE non raggiunge MCP se non autorizzato.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UDP-A14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Lineage redaction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Lineage mostra metadata consentiti e redige valori/raw refs non autorizzati.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UDP-A15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Graph query guardrails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Traversal bounded rispetta maxDepth/result/timeout e non espone query language arbitrario.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UDP-A16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Spatial resolution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CRS/tolerance/strategy applicate; multiple match produce REVIEW_REQUIRED.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UDP-A17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Replay reproduce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REPRODUCE usa schema/bundle/mapping/publication set originali.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UDP-A18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Rebuild shadow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Full rebuild non sostituisce serving current prima di validation/cut-over.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UDP-A19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Migration safety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Una sola migration leader; failure blocca rollout; expand/contract verificato.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UDP-A20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Capacity growth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Nuova source ad alto volume passa capacity gate senza richiedere nuova architettura di base.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UDP-A21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Concurrency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Multi-user/multi-worker non causa lost update, duplicate materialization o inconsistent merge.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UDP-A22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Backup/restore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Restore PostgreSQL + manifest/object storage ricostruisce stato coerente entro RTO/RPO concordati.</w:t>
            </w:r>
          </w:p>
        </w:tc>
      </w:tr>
    </w:tbl>
    <w:p>
      <w:pPr>
        <w:pStyle w:val="ListBullet"/>
      </w:pPr>
      <w:r>
        <w:rPr>
          <w:rFonts w:ascii="Noto Sans" w:hAnsi="Noto Sans"/>
        </w:rPr>
        <w:t>UDP-A37 — Ogni capability MCP tool-eligible pubblicata espone purpose, useWhen, doNotUseWhen, preferredAlternatives, operationalLimits, resultSemantics e securityNotes; la CI rifiuta manifest incompleti.</w:t>
      </w:r>
    </w:p>
    <w:p>
      <w:pPr>
        <w:pStyle w:val="ListBullet"/>
      </w:pPr>
      <w:r>
        <w:rPr>
          <w:rFonts w:ascii="Noto Sans" w:hAnsi="Noto Sans"/>
        </w:rPr>
        <w:t>UDP-A38 — Su prompt cross-domain non ricorsivi, la descrizione di urban.graph.traverse indica esplicitamente di non usarlo e suggerisce urban.object.related_search o urban.spatial.intersection_search; il Router resta comunque l’enforcement autoritativo.</w:t>
      </w:r>
    </w:p>
    <w:p>
      <w:pPr>
        <w:pStyle w:val="ListBullet"/>
      </w:pPr>
      <w:r>
        <w:rPr>
          <w:rFonts w:ascii="Noto Sans" w:hAnsi="Noto Sans"/>
        </w:rPr>
        <w:t>UDP-A39 — Regression test di tool selection verificano che prompt rappresentativi conducano alla capability specialistica corretta nella maggioranza dei casi attesi, senza trasformare tale comportamento dell’Agent in requisito di sicurezza del datastore.</w:t>
      </w:r>
    </w:p>
    <w:p>
      <w:pPr>
        <w:pStyle w:val="ListBullet"/>
      </w:pPr>
      <w:r>
        <w:rPr>
          <w:rFonts w:ascii="Noto Sans" w:hAnsi="Noto Sans"/>
        </w:rPr>
        <w:t>UDP-A40 — Distributed governor: due Pod udp-api concorrenti consumano lo stesso correlation budget senza oversubscription; il risultato è indipendente dal Pod che riceve la richiesta.</w:t>
      </w:r>
    </w:p>
    <w:p>
      <w:pPr>
        <w:pStyle w:val="ListBullet"/>
      </w:pPr>
      <w:r>
        <w:rPr>
          <w:rFonts w:ascii="Noto Sans" w:hAnsi="Noto Sans"/>
        </w:rPr>
        <w:t>UDP-A41 — Pod restart/cache miss: il budget cumulativo sopravvive al restart di un Pod e non viene ricreato da zero.</w:t>
      </w:r>
    </w:p>
    <w:p>
      <w:pPr>
        <w:pStyle w:val="ListBullet"/>
      </w:pPr>
      <w:r>
        <w:rPr>
          <w:rFonts w:ascii="Noto Sans" w:hAnsi="Noto Sans"/>
        </w:rPr>
        <w:t>UDP-A42 — Budget cleanup: righe query_budget scadute vengono eliminate senza long lock o crescita incontrollata; autovacuum/bloat metric restano entro soglia di collaudo.</w:t>
      </w:r>
    </w:p>
    <w:p>
      <w:pPr>
        <w:pStyle w:val="ListBullet"/>
      </w:pPr>
      <w:r>
        <w:rPr>
          <w:rFonts w:ascii="Noto Sans" w:hAnsi="Noto Sans"/>
        </w:rPr>
        <w:t>UDP-A43 — High-frequency snapshot: N osservazioni identiche non producono N Canonical Revision e non richiedono parsing completo del payload precedente quando fingerprint sufficienti sono invariati.</w:t>
      </w:r>
    </w:p>
    <w:p>
      <w:pPr>
        <w:pStyle w:val="ListBullet"/>
      </w:pPr>
      <w:r>
        <w:rPr>
          <w:rFonts w:ascii="Noto Sans" w:hAnsi="Noto Sans"/>
        </w:rPr>
        <w:t>UDP-A44 — Delta materialization: una singola proprietà modificata può generare una revisione/delta senza duplicazione obbligatoria dell'intero JSONB voluminoso; la ricostruzione da checkpoint + delta è deterministica.</w:t>
      </w:r>
    </w:p>
    <w:p>
      <w:pPr>
        <w:pStyle w:val="ListBullet"/>
      </w:pPr>
      <w:r>
        <w:rPr>
          <w:rFonts w:ascii="Noto Sans" w:hAnsi="Noto Sans"/>
        </w:rPr>
        <w:t>UDP-A45 — Capability remediation: QUERY_CAPABILITY_MISMATCH restituisce reason, recommendedCapability, reusable/missing arguments e schema ref senza eseguire redirect implicito.</w:t>
      </w:r>
    </w:p>
    <w:p>
      <w:pPr>
        <w:pStyle w:val="ListBullet"/>
      </w:pPr>
      <w:r>
        <w:rPr>
          <w:rFonts w:ascii="Noto Sans" w:hAnsi="Noto Sans"/>
        </w:rPr>
        <w:t>UDP-A46 — Retry-loop guard: mismatch semanticamente equivalenti oltre soglia producono TOOL_SELECTION_STALLED e nessun retry infinito.</w:t>
      </w:r>
    </w:p>
    <w:p>
      <w:pPr>
        <w:pStyle w:val="ListBullet"/>
      </w:pPr>
      <w:r>
        <w:rPr>
          <w:rFonts w:ascii="Noto Sans" w:hAnsi="Noto Sans"/>
        </w:rPr>
        <w:t>UDP-A47 — Budget separation: una chiamata rifiutata prima del DB consuma Agent Orchestration Budget ma non incrementa dbExecutionTime/nodesObserved/edgesObserved.</w:t>
      </w:r>
    </w:p>
    <w:p>
      <w:pPr>
        <w:pStyle w:val="ListBullet"/>
      </w:pPr>
      <w:r>
        <w:rPr>
          <w:rFonts w:ascii="Noto Sans" w:hAnsi="Noto Sans"/>
        </w:rPr>
        <w:t>UDP-A48 - BudgetStore contention: un carico concorrente superiore al bulkhead non causa esaurimento del pool HikariCP; consumeBudget termina entro il timeout dedicato o fallisce rapidamente in fail-closed.</w:t>
      </w:r>
    </w:p>
    <w:p>
      <w:pPr>
        <w:pStyle w:val="ListBullet"/>
      </w:pPr>
      <w:r>
        <w:rPr>
          <w:rFonts w:ascii="Noto Sans" w:hAnsi="Noto Sans"/>
        </w:rPr>
        <w:t>UDP-A49 - Adversarial multi-Pod Agent: un Agent aggressivo invia richieste errate e concorrenti verso repliche Kubernetes differenti; mismatch count e orchestration budget restano unici e coerenti sullo stato condiviso.</w:t>
      </w:r>
    </w:p>
    <w:p>
      <w:pPr>
        <w:pStyle w:val="ListBullet"/>
      </w:pPr>
      <w:r>
        <w:rPr>
          <w:rFonts w:ascii="Noto Sans" w:hAnsi="Noto Sans"/>
        </w:rPr>
        <w:t>UDP-A50 - TOOL_SELECTION_STALLED threshold: con soglia N configurata, i primi N-1 tentativi equivalenti ricevono remediation/mismatch secondo policy e il tentativo N produce TOOL_SELECTION_STALLED; il tentativo successivo equivalente non raggiunge Query Planner o DB.</w:t>
      </w:r>
    </w:p>
    <w:p>
      <w:pPr>
        <w:pStyle w:val="ListBullet"/>
      </w:pPr>
      <w:r>
        <w:rPr>
          <w:rFonts w:ascii="Noto Sans" w:hAnsi="Noto Sans"/>
        </w:rPr>
        <w:t>UDP-A51 - Retry equivalence: variazioni cosmetiche o parametri non sostanziali del DTO non azzerano il retry-loop guard; una modifica sostanziale e riconosciuta secondo policy configurata e testata.</w:t>
      </w:r>
    </w:p>
    <w:p>
      <w:pPr>
        <w:pStyle w:val="Heading1"/>
      </w:pPr>
      <w:r>
        <w:rPr>
          <w:rFonts w:ascii="Noto Sans" w:hAnsi="Noto Sans" w:eastAsia="Noto Sans"/>
        </w:rPr>
        <w:t>106. Technology Economy Gate</w:t>
      </w:r>
    </w:p>
    <w:p>
      <w:pPr/>
      <w:r>
        <w:rPr>
          <w:rFonts w:ascii="Noto Sans" w:hAnsi="Noto Sans"/>
        </w:rPr>
        <w:t>La v1.2 conferma PostgreSQL/PostGIS come baseline e rende esplicito il principio di escalation misurabile: una graph projection fisica viene introdotta solo dopo evidenza SLO/capacity e resta ricostruibile dal system of record.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color="D9E2F3"/>
          <w:left w:val="single" w:sz="6" w:color="D9E2F3"/>
          <w:bottom w:val="single" w:sz="6" w:color="D9E2F3"/>
          <w:right w:val="single" w:sz="6" w:color="D9E2F3"/>
          <w:insideH w:val="single" w:sz="6" w:color="D9E2F3"/>
          <w:insideV w:val="single" w:sz="6" w:color="D9E2F3"/>
        </w:tblBorders>
      </w:tblPr>
      <w:tblGrid>
        <w:gridCol w:w="4929"/>
        <w:gridCol w:w="4929"/>
      </w:tblGrid>
      <w:tr>
        <w:trPr>
          <w:tblHeader w:val="true"/>
          <w:tblHeader w:val="true"/>
        </w:trPr>
        <w:tc>
          <w:tcPr>
            <w:tcW w:type="dxa" w:w="3402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b/>
                <w:sz w:val="17"/>
              </w:rPr>
              <w:t>Tecnologia/capability</w:t>
            </w:r>
          </w:p>
        </w:tc>
        <w:tc>
          <w:tcPr>
            <w:tcW w:type="dxa" w:w="6236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b/>
                <w:sz w:val="17"/>
              </w:rPr>
              <w:t>Decisione v1.0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PostgreSQL/PostGIS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OBBLIGATORIO nella baseline come serving/system of record operativo.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Object storage S3-compatible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OBBLIGATORIO per RAW e artefatti durevoli/replayable.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Graph DB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NON richiesto; introdurre solo su trigger misurabile di traversal/pattern query.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Redis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NON richiesto; cache locale/DB first finché SLO soddisfatti.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Kafka/NATS/RabbitMQ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NON richiesto dal modulo; possibile futuro componente condiviso.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Spark/Flink/lakehouse engine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NON richiesto ai volumi/bisogni iniziali.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Service mesh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NON richiesto come dipendenza del modulo.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Workflow engine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sz w:val="17"/>
              </w:rPr>
              <w:t>NON richiesto; state machine/worker applicativi sufficienti nella baseline.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color="D9E2F3"/>
          <w:left w:val="single" w:sz="6" w:color="D9E2F3"/>
          <w:bottom w:val="single" w:sz="6" w:color="D9E2F3"/>
          <w:right w:val="single" w:sz="6" w:color="D9E2F3"/>
          <w:insideH w:val="single" w:sz="6" w:color="D9E2F3"/>
          <w:insideV w:val="single" w:sz="6" w:color="D9E2F3"/>
        </w:tblBorders>
      </w:tblPr>
      <w:tblGrid>
        <w:gridCol w:w="9858"/>
      </w:tblGrid>
      <w:tr>
        <w:tc>
          <w:tcPr>
            <w:tcW w:type="dxa" w:w="9858"/>
            <w:shd w:fill="EEF4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" w:hAnsi="Noto Sans" w:eastAsia="Noto Sans"/>
                <w:b/>
                <w:sz w:val="17"/>
              </w:rPr>
              <w:t xml:space="preserve">Executive Freeze v1.0 — </w:t>
            </w:r>
            <w:r>
              <w:rPr>
                <w:rFonts w:ascii="Noto Sans" w:hAnsi="Noto Sans" w:eastAsia="Noto Sans"/>
                <w:sz w:val="17"/>
              </w:rPr>
              <w:t>Il documento definisce una baseline implementabile e collaudabile. Qualsiasi modifica incompatibile a Canonical Object Contract, Serving API, identity/temporal model, HandoffPayload, authorization semantics o persistence invariants richiede change control e verifica cross-module. Le ottimizzazioni interne compatibili possono evolvere senza modificare i contratti pubblici.</w:t>
            </w:r>
          </w:p>
        </w:tc>
      </w:tr>
    </w:tbl>
    <w:p>
      <w:r>
        <w:rPr>
          <w:rFonts w:ascii="Noto Sans" w:hAnsi="Noto Sans" w:eastAsia="Noto Sans"/>
        </w:rPr>
        <w:t>Stato finale: READY FOR IMPLEMENTATION &amp; ACCEPTANCE. Il successivo Cross-Module Alignment Matrix dovrà elencare puntualmente i delta da recepire in Ingestion Runtime, Source Onboarding, Authorization &amp; Access Control, Urban API Gateway, Semantic Model / Registry e Linee di indirizzo API dei verticali.</w:t>
      </w:r>
    </w:p>
    <w:p>
      <w:pPr/>
      <w:r>
        <w:rPr>
          <w:rFonts w:ascii="Noto Sans" w:hAnsi="Noto Sans"/>
        </w:rPr>
        <w:t>Technology Economy Gate v1.2 — Redis o cache distribuita non entra automaticamente nella baseline. L'escalation è ammessa quando il BudgetStore PostgreSQL mostra contention/latency misurabile che compromette gli SLO o richiede tuning sproporzionato. Analogamente, l'adozione di property-event ingestion o formati delta nativi è selettiva per source/type ad alta frequenza e deve essere giustificata da profiling/capacity test.</w:t>
      </w:r>
    </w:p>
    <w:p>
      <w:pPr>
        <w:pStyle w:val="Heading1"/>
      </w:pPr>
      <w:r>
        <w:rPr>
          <w:rFonts w:ascii="Noto Sans" w:hAnsi="Noto Sans" w:eastAsia="Noto Sans"/>
        </w:rPr>
        <w:t>107. Executive Freeze e dichiarazione finale della baseline v1.2</w:t>
      </w:r>
    </w:p>
    <w:p>
      <w:r>
        <w:rPr>
          <w:rFonts w:ascii="Noto Sans" w:hAnsi="Noto Sans"/>
        </w:rPr>
        <w:t>La baseline v1.2 è considerata completa ai fini dell'implementazione, del procurement tecnico e della predisposizione del collaudo. Conferma PostgreSQL/PostGIS come system of record e object storage S3-compatible per il Lake, mantenendo graph projection e distributed cache come escalation condizionali. Rispetto alla v1.1, la v1.2 rende production-grade tre aree: (1) il Query Complexity Governor usa stato condiviso e atomico, non memoria locale dei Pod, con PostgreSQL BudgetStore in baseline e cache distribuita solo su trigger misurabili; (2) la materializzazione supporta Change Representation Profile, hash granulari, snapshot + delta e strategie che evitano rewrite JSONB/TOAST e parsing Java indiscriminati; (3) il Capability Router restituisce remediation machine-readable e applica retry-loop guard, separando Query Execution Budget da Agent Orchestration Budget. La stabilità del datastore non dipende dal comportamento corretto dell'Agent e nessun LLM può imporre SQL, traversal, retry o workload non bounded. Il BudgetStore applica inoltre timeout dedicati e bulkhead applicativo per impedire queueing sul pool JDBC/HikariCP; la CI/CD comprende adversarial-agent regression test che verificano la soglia deterministica di TOOL_SELECTION_STALLED anche in scenari concorrenti e multi-Pod.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color="D9E2F3"/>
          <w:left w:val="single" w:sz="6" w:color="D9E2F3"/>
          <w:bottom w:val="single" w:sz="6" w:color="D9E2F3"/>
          <w:right w:val="single" w:sz="6" w:color="D9E2F3"/>
          <w:insideH w:val="single" w:sz="6" w:color="D9E2F3"/>
          <w:insideV w:val="single" w:sz="6" w:color="D9E2F3"/>
        </w:tblBorders>
      </w:tblPr>
      <w:tblGrid>
        <w:gridCol w:w="4929"/>
        <w:gridCol w:w="4929"/>
      </w:tblGrid>
      <w:tr>
        <w:tc>
          <w:tcPr>
            <w:tcW w:type="dxa" w:w="4929"/>
            <w:shd w:fill="DCE6F1"/>
          </w:tcPr>
          <w:p>
            <w:r>
              <w:rPr>
                <w:rFonts w:ascii="Noto Sans" w:hAnsi="Noto Sans" w:eastAsia="Noto Sans"/>
                <w:b/>
                <w:sz w:val="17"/>
              </w:rPr>
              <w:t>Area</w:t>
            </w:r>
          </w:p>
        </w:tc>
        <w:tc>
          <w:tcPr>
            <w:tcW w:type="dxa" w:w="4929"/>
            <w:shd w:fill="DCE6F1"/>
          </w:tcPr>
          <w:p>
            <w:r>
              <w:rPr>
                <w:rFonts w:ascii="Noto Sans" w:hAnsi="Noto Sans" w:eastAsia="Noto Sans"/>
                <w:b/>
                <w:sz w:val="17"/>
              </w:rPr>
              <w:t>Condizione v1.0</w:t>
            </w:r>
          </w:p>
        </w:tc>
      </w:tr>
      <w:tr>
        <w:tc>
          <w:tcPr>
            <w:tcW w:type="dxa" w:w="4929"/>
          </w:tcPr>
          <w:p>
            <w:r>
              <w:rPr>
                <w:rFonts w:ascii="Noto Sans" w:hAnsi="Noto Sans" w:eastAsia="Noto Sans"/>
                <w:b w:val="0"/>
                <w:sz w:val="17"/>
              </w:rPr>
              <w:t>Contratti</w:t>
            </w:r>
          </w:p>
        </w:tc>
        <w:tc>
          <w:tcPr>
            <w:tcW w:type="dxa" w:w="4929"/>
          </w:tcPr>
          <w:p>
            <w:r>
              <w:rPr>
                <w:rFonts w:ascii="Noto Sans" w:hAnsi="Noto Sans" w:eastAsia="Noto Sans"/>
                <w:b w:val="0"/>
                <w:sz w:val="17"/>
              </w:rPr>
              <w:t>HandoffPayload, Canonical Urban Object, Serving API, DataAccessLabel e capability sono versionati e governati.</w:t>
            </w:r>
          </w:p>
        </w:tc>
      </w:tr>
      <w:tr>
        <w:tc>
          <w:tcPr>
            <w:tcW w:type="dxa" w:w="4929"/>
          </w:tcPr>
          <w:p>
            <w:r>
              <w:rPr>
                <w:rFonts w:ascii="Noto Sans" w:hAnsi="Noto Sans" w:eastAsia="Noto Sans"/>
                <w:b w:val="0"/>
                <w:sz w:val="17"/>
              </w:rPr>
              <w:t>Persistenza</w:t>
            </w:r>
          </w:p>
        </w:tc>
        <w:tc>
          <w:tcPr>
            <w:tcW w:type="dxa" w:w="4929"/>
          </w:tcPr>
          <w:p>
            <w:r>
              <w:rPr>
                <w:rFonts w:ascii="Noto Sans" w:hAnsi="Noto Sans" w:eastAsia="Noto Sans"/>
                <w:b w:val="0"/>
                <w:sz w:val="17"/>
              </w:rPr>
              <w:t>PostgreSQL/PostGIS + object storage S3-compatible costituiscono la baseline fisica.</w:t>
            </w:r>
          </w:p>
        </w:tc>
      </w:tr>
      <w:tr>
        <w:tc>
          <w:tcPr>
            <w:tcW w:type="dxa" w:w="4929"/>
          </w:tcPr>
          <w:p>
            <w:r>
              <w:rPr>
                <w:rFonts w:ascii="Noto Sans" w:hAnsi="Noto Sans" w:eastAsia="Noto Sans"/>
                <w:b w:val="0"/>
                <w:sz w:val="17"/>
              </w:rPr>
              <w:t>Governance</w:t>
            </w:r>
          </w:p>
        </w:tc>
        <w:tc>
          <w:tcPr>
            <w:tcW w:type="dxa" w:w="4929"/>
          </w:tcPr>
          <w:p>
            <w:r>
              <w:rPr>
                <w:rFonts w:ascii="Noto Sans" w:hAnsi="Noto Sans" w:eastAsia="Noto Sans"/>
                <w:b w:val="0"/>
                <w:sz w:val="17"/>
              </w:rPr>
              <w:t>Merge/split, dati protetti, recovery ad alto impatto e change breaking richiedono policy e audit appropriati.</w:t>
            </w:r>
          </w:p>
        </w:tc>
      </w:tr>
      <w:tr>
        <w:tc>
          <w:tcPr>
            <w:tcW w:type="dxa" w:w="4929"/>
          </w:tcPr>
          <w:p>
            <w:r>
              <w:rPr>
                <w:rFonts w:ascii="Noto Sans" w:hAnsi="Noto Sans" w:eastAsia="Noto Sans"/>
                <w:b w:val="0"/>
                <w:sz w:val="17"/>
              </w:rPr>
              <w:t>Operatività</w:t>
            </w:r>
          </w:p>
        </w:tc>
        <w:tc>
          <w:tcPr>
            <w:tcW w:type="dxa" w:w="4929"/>
          </w:tcPr>
          <w:p>
            <w:r>
              <w:rPr>
                <w:rFonts w:ascii="Noto Sans" w:hAnsi="Noto Sans" w:eastAsia="Noto Sans"/>
                <w:b w:val="0"/>
                <w:sz w:val="17"/>
              </w:rPr>
              <w:t>Replay, rebuild, backup/restore, capacity growth, concurrency e migration safety sono definiti.</w:t>
            </w:r>
          </w:p>
        </w:tc>
      </w:tr>
      <w:tr>
        <w:tc>
          <w:tcPr>
            <w:tcW w:type="dxa" w:w="4929"/>
          </w:tcPr>
          <w:p>
            <w:r>
              <w:rPr>
                <w:rFonts w:ascii="Noto Sans" w:hAnsi="Noto Sans" w:eastAsia="Noto Sans"/>
                <w:b w:val="0"/>
                <w:sz w:val="17"/>
              </w:rPr>
              <w:t>AI/MCP</w:t>
            </w:r>
          </w:p>
        </w:tc>
        <w:tc>
          <w:tcPr>
            <w:tcW w:type="dxa" w:w="4929"/>
          </w:tcPr>
          <w:p>
            <w:r>
              <w:rPr>
                <w:rFonts w:ascii="Noto Sans" w:hAnsi="Noto Sans" w:eastAsia="Noto Sans"/>
                <w:b w:val="0"/>
                <w:sz w:val="17"/>
              </w:rPr>
              <w:t>L’AI può cercare, spiegare e proporre; non ottiene accesso DB diretto né autorità umana implicita.</w:t>
            </w:r>
          </w:p>
        </w:tc>
      </w:tr>
      <w:tr>
        <w:tc>
          <w:tcPr>
            <w:tcW w:type="dxa" w:w="4929"/>
          </w:tcPr>
          <w:p>
            <w:r>
              <w:rPr>
                <w:rFonts w:ascii="Noto Sans" w:hAnsi="Noto Sans" w:eastAsia="Noto Sans"/>
                <w:b w:val="0"/>
                <w:sz w:val="17"/>
              </w:rPr>
              <w:t>Stato</w:t>
            </w:r>
          </w:p>
        </w:tc>
        <w:tc>
          <w:tcPr>
            <w:tcW w:type="dxa" w:w="4929"/>
          </w:tcPr>
          <w:p>
            <w:r>
              <w:rPr>
                <w:rFonts w:ascii="Noto Sans" w:hAnsi="Noto Sans" w:eastAsia="Noto Sans"/>
                <w:b w:val="0"/>
                <w:sz w:val="17"/>
              </w:rPr>
              <w:t>READY FOR IMPLEMENTATION &amp; ACCEPTANCE; i delta verso gli altri moduli saranno formalizzati nella Cross-Module Alignment Matrix.</w:t>
            </w:r>
          </w:p>
        </w:tc>
      </w:tr>
    </w:tbl>
    <w:p>
      <w:r>
        <w:br w:type="page"/>
      </w:r>
    </w:p>
    <w:p>
      <w:pPr>
        <w:pStyle w:val="Heading1"/>
      </w:pPr>
      <w:r>
        <w:t>108. Implementation Readiness Alignment — Ingestion Gold Standard</w:t>
      </w:r>
    </w:p>
    <w:p>
      <w:r>
        <w:t>Questa parte consolida il documento secondo lo standard esecutivo adottato per OUF prendendo come gold standard l'Ingestion Runtime. Non modifica i bounded context o le decisioni architetturali già definite: rende invece espliciti gli artefatti che un team di sviluppo deve ricevere, i gate di build/release, le responsabilità implementative, le failure semantics, la compatibilità e le evidence richieste. In caso di conflitto editoriale con descrizioni storiche o baseline intermedie, prevalgono le decisioni tecniche correnti del modulo e i contratti cross-module versionati.</w:t>
      </w:r>
    </w:p>
    <w:p>
      <w:pPr>
        <w:pStyle w:val="Heading2"/>
      </w:pPr>
      <w:r>
        <w:t>108.1 Artefatti contrattuali e repository minimo</w:t>
      </w:r>
    </w:p>
    <w:p>
      <w:r>
        <w:rPr>
          <w:rFonts w:ascii="Liberation Mono" w:hAnsi="Liberation Mono"/>
          <w:sz w:val="17"/>
        </w:rPr>
        <w:t>ouf-data-platform/</w:t>
        <w:br/>
      </w:r>
      <w:r>
        <w:rPr>
          <w:rFonts w:ascii="Liberation Mono" w:hAnsi="Liberation Mono"/>
          <w:sz w:val="17"/>
        </w:rPr>
        <w:t>├── src/</w:t>
        <w:br/>
      </w:r>
      <w:r>
        <w:rPr>
          <w:rFonts w:ascii="Liberation Mono" w:hAnsi="Liberation Mono"/>
          <w:sz w:val="17"/>
        </w:rPr>
        <w:t>├── db/migration/</w:t>
        <w:br/>
      </w:r>
      <w:r>
        <w:rPr>
          <w:rFonts w:ascii="Liberation Mono" w:hAnsi="Liberation Mono"/>
          <w:sz w:val="17"/>
        </w:rPr>
        <w:t>├── openapi/</w:t>
        <w:br/>
      </w:r>
      <w:r>
        <w:rPr>
          <w:rFonts w:ascii="Liberation Mono" w:hAnsi="Liberation Mono"/>
          <w:sz w:val="17"/>
        </w:rPr>
        <w:t>│   ├── udp-serving-v1.yaml</w:t>
        <w:br/>
      </w:r>
      <w:r>
        <w:rPr>
          <w:rFonts w:ascii="Liberation Mono" w:hAnsi="Liberation Mono"/>
          <w:sz w:val="17"/>
        </w:rPr>
        <w:t>│   ├── object-resolution-v1.yaml</w:t>
        <w:br/>
      </w:r>
      <w:r>
        <w:rPr>
          <w:rFonts w:ascii="Liberation Mono" w:hAnsi="Liberation Mono"/>
          <w:sz w:val="17"/>
        </w:rPr>
        <w:t>│   └── udp-operations-v1.yaml</w:t>
        <w:br/>
      </w:r>
      <w:r>
        <w:rPr>
          <w:rFonts w:ascii="Liberation Mono" w:hAnsi="Liberation Mono"/>
          <w:sz w:val="17"/>
        </w:rPr>
        <w:t>├── schemas/</w:t>
        <w:br/>
      </w:r>
      <w:r>
        <w:rPr>
          <w:rFonts w:ascii="Liberation Mono" w:hAnsi="Liberation Mono"/>
          <w:sz w:val="17"/>
        </w:rPr>
        <w:t>│   ├── urban-object-view-v1.json</w:t>
        <w:br/>
      </w:r>
      <w:r>
        <w:rPr>
          <w:rFonts w:ascii="Liberation Mono" w:hAnsi="Liberation Mono"/>
          <w:sz w:val="17"/>
        </w:rPr>
        <w:t>│   ├── handoff-intake-v1.json</w:t>
        <w:br/>
      </w:r>
      <w:r>
        <w:rPr>
          <w:rFonts w:ascii="Liberation Mono" w:hAnsi="Liberation Mono"/>
          <w:sz w:val="17"/>
        </w:rPr>
        <w:t>│   ├── lineage-view-v1.json</w:t>
        <w:br/>
      </w:r>
      <w:r>
        <w:rPr>
          <w:rFonts w:ascii="Liberation Mono" w:hAnsi="Liberation Mono"/>
          <w:sz w:val="17"/>
        </w:rPr>
        <w:t>│   ├── query-problem-details-v1.json</w:t>
        <w:br/>
      </w:r>
      <w:r>
        <w:rPr>
          <w:rFonts w:ascii="Liberation Mono" w:hAnsi="Liberation Mono"/>
          <w:sz w:val="17"/>
        </w:rPr>
        <w:t>│   └── export-job-v1.json</w:t>
        <w:br/>
      </w:r>
      <w:r>
        <w:rPr>
          <w:rFonts w:ascii="Liberation Mono" w:hAnsi="Liberation Mono"/>
          <w:sz w:val="17"/>
        </w:rPr>
        <w:t>├── examples/</w:t>
        <w:br/>
      </w:r>
      <w:r>
        <w:rPr>
          <w:rFonts w:ascii="Liberation Mono" w:hAnsi="Liberation Mono"/>
          <w:sz w:val="17"/>
        </w:rPr>
        <w:t>├── helm/</w:t>
        <w:br/>
      </w:r>
      <w:r>
        <w:rPr>
          <w:rFonts w:ascii="Liberation Mono" w:hAnsi="Liberation Mono"/>
          <w:sz w:val="17"/>
        </w:rPr>
        <w:t>├── docs/runbook/</w:t>
        <w:br/>
      </w:r>
      <w:r>
        <w:rPr>
          <w:rFonts w:ascii="Liberation Mono" w:hAnsi="Liberation Mono"/>
          <w:sz w:val="17"/>
        </w:rPr>
        <w:t>├── tests/contract/</w:t>
        <w:br/>
      </w:r>
      <w:r>
        <w:rPr>
          <w:rFonts w:ascii="Liberation Mono" w:hAnsi="Liberation Mono"/>
          <w:sz w:val="17"/>
        </w:rPr>
        <w:t>├── tests/e2e/</w:t>
        <w:br/>
      </w:r>
      <w:r>
        <w:rPr>
          <w:rFonts w:ascii="Liberation Mono" w:hAnsi="Liberation Mono"/>
          <w:sz w:val="17"/>
        </w:rPr>
        <w:t>└── sbom/</w:t>
        <w:br/>
      </w:r>
    </w:p>
    <w:p>
      <w:pPr>
        <w:pStyle w:val="ListBullet"/>
      </w:pPr>
      <w:r>
        <w:t>OpenAPI e JSON Schema sono versionati insieme al codice e validati in CI; gli esempi devono validare contro gli schema pubblicati.</w:t>
      </w:r>
    </w:p>
    <w:p>
      <w:pPr>
        <w:pStyle w:val="ListBullet"/>
      </w:pPr>
      <w:r>
        <w:t>HandoffPayload resta un contratto prodotto dall’Ingestion e consumato dalla UDP: la UDP pubblica lo schema di intake compatibile senza ridefinire semanticamente il contratto upstream.</w:t>
      </w:r>
    </w:p>
    <w:p>
      <w:pPr>
        <w:pStyle w:val="ListBullet"/>
      </w:pPr>
      <w:r>
        <w:t>Ogni capability consumer-facing deve avere capabilityId, owner, operation class, input/output schema, authorization requirement, hard maxima e binding logico al Gateway.</w:t>
      </w:r>
    </w:p>
    <w:p>
      <w:pPr>
        <w:pStyle w:val="Heading2"/>
      </w:pPr>
      <w:r>
        <w:t>108.2 Struttura applicativa minima</w:t>
      </w:r>
    </w:p>
    <w:p>
      <w:r>
        <w:rPr>
          <w:rFonts w:ascii="Liberation Mono" w:hAnsi="Liberation Mono"/>
          <w:sz w:val="17"/>
        </w:rPr>
        <w:t>it.comune.trieste.ouf.udp</w:t>
        <w:br/>
      </w:r>
      <w:r>
        <w:rPr>
          <w:rFonts w:ascii="Liberation Mono" w:hAnsi="Liberation Mono"/>
          <w:sz w:val="17"/>
        </w:rPr>
        <w:t>├── api</w:t>
        <w:br/>
      </w:r>
      <w:r>
        <w:rPr>
          <w:rFonts w:ascii="Liberation Mono" w:hAnsi="Liberation Mono"/>
          <w:sz w:val="17"/>
        </w:rPr>
        <w:t>├── application</w:t>
        <w:br/>
      </w:r>
      <w:r>
        <w:rPr>
          <w:rFonts w:ascii="Liberation Mono" w:hAnsi="Liberation Mono"/>
          <w:sz w:val="17"/>
        </w:rPr>
        <w:t>│   ├── intake</w:t>
        <w:br/>
      </w:r>
      <w:r>
        <w:rPr>
          <w:rFonts w:ascii="Liberation Mono" w:hAnsi="Liberation Mono"/>
          <w:sz w:val="17"/>
        </w:rPr>
        <w:t>│   ├── serving</w:t>
        <w:br/>
      </w:r>
      <w:r>
        <w:rPr>
          <w:rFonts w:ascii="Liberation Mono" w:hAnsi="Liberation Mono"/>
          <w:sz w:val="17"/>
        </w:rPr>
        <w:t>│   ├── graph</w:t>
        <w:br/>
      </w:r>
      <w:r>
        <w:rPr>
          <w:rFonts w:ascii="Liberation Mono" w:hAnsi="Liberation Mono"/>
          <w:sz w:val="17"/>
        </w:rPr>
        <w:t>│   ├── spatial</w:t>
        <w:br/>
      </w:r>
      <w:r>
        <w:rPr>
          <w:rFonts w:ascii="Liberation Mono" w:hAnsi="Liberation Mono"/>
          <w:sz w:val="17"/>
        </w:rPr>
        <w:t>│   ├── lineage</w:t>
        <w:br/>
      </w:r>
      <w:r>
        <w:rPr>
          <w:rFonts w:ascii="Liberation Mono" w:hAnsi="Liberation Mono"/>
          <w:sz w:val="17"/>
        </w:rPr>
        <w:t>│   ├── export</w:t>
        <w:br/>
      </w:r>
      <w:r>
        <w:rPr>
          <w:rFonts w:ascii="Liberation Mono" w:hAnsi="Liberation Mono"/>
          <w:sz w:val="17"/>
        </w:rPr>
        <w:t>│   └── resolution</w:t>
        <w:br/>
      </w:r>
      <w:r>
        <w:rPr>
          <w:rFonts w:ascii="Liberation Mono" w:hAnsi="Liberation Mono"/>
          <w:sz w:val="17"/>
        </w:rPr>
        <w:t>├── domain</w:t>
        <w:br/>
      </w:r>
      <w:r>
        <w:rPr>
          <w:rFonts w:ascii="Liberation Mono" w:hAnsi="Liberation Mono"/>
          <w:sz w:val="17"/>
        </w:rPr>
        <w:t>├── persistence</w:t>
        <w:br/>
      </w:r>
      <w:r>
        <w:rPr>
          <w:rFonts w:ascii="Liberation Mono" w:hAnsi="Liberation Mono"/>
          <w:sz w:val="17"/>
        </w:rPr>
        <w:t>├── planning</w:t>
        <w:br/>
      </w:r>
      <w:r>
        <w:rPr>
          <w:rFonts w:ascii="Liberation Mono" w:hAnsi="Liberation Mono"/>
          <w:sz w:val="17"/>
        </w:rPr>
        <w:t>├── security</w:t>
        <w:br/>
      </w:r>
      <w:r>
        <w:rPr>
          <w:rFonts w:ascii="Liberation Mono" w:hAnsi="Liberation Mono"/>
          <w:sz w:val="17"/>
        </w:rPr>
        <w:t>├── storage</w:t>
        <w:br/>
      </w:r>
      <w:r>
        <w:rPr>
          <w:rFonts w:ascii="Liberation Mono" w:hAnsi="Liberation Mono"/>
          <w:sz w:val="17"/>
        </w:rPr>
        <w:t>└── worker</w:t>
        <w:br/>
      </w:r>
    </w:p>
    <w:p>
      <w:r>
        <w:t>La separazione è logica e non impone microservizi. API, materializer, resolution worker e maintenance worker possono condividere codebase e contratti pur scalando con profili runtime distinti.</w:t>
      </w:r>
    </w:p>
    <w:p>
      <w:pPr>
        <w:pStyle w:val="Heading2"/>
      </w:pPr>
      <w:r>
        <w:t>108.3 Pipeline CI/CD e release gate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t>Stage</w:t>
            </w:r>
          </w:p>
        </w:tc>
        <w:tc>
          <w:tcPr>
            <w:tcW w:type="dxa" w:w="4929"/>
          </w:tcPr>
          <w:p>
            <w:r>
              <w:t>Controllo bloccante</w:t>
            </w:r>
          </w:p>
        </w:tc>
      </w:tr>
      <w:tr>
        <w:tc>
          <w:tcPr>
            <w:tcW w:type="dxa" w:w="4929"/>
          </w:tcPr>
          <w:p>
            <w:r>
              <w:t>Compile/unit</w:t>
            </w:r>
          </w:p>
        </w:tc>
        <w:tc>
          <w:tcPr>
            <w:tcW w:type="dxa" w:w="4929"/>
          </w:tcPr>
          <w:p>
            <w:r>
              <w:t>Java 21 build, unit test, static analysis.</w:t>
            </w:r>
          </w:p>
        </w:tc>
      </w:tr>
      <w:tr>
        <w:tc>
          <w:tcPr>
            <w:tcW w:type="dxa" w:w="4929"/>
          </w:tcPr>
          <w:p>
            <w:r>
              <w:t>Contract</w:t>
            </w:r>
          </w:p>
        </w:tc>
        <w:tc>
          <w:tcPr>
            <w:tcW w:type="dxa" w:w="4929"/>
          </w:tcPr>
          <w:p>
            <w:r>
              <w:t>OpenAPI lint, JSON Schema validation, capability manifest lint, fixture validation.</w:t>
            </w:r>
          </w:p>
        </w:tc>
      </w:tr>
      <w:tr>
        <w:tc>
          <w:tcPr>
            <w:tcW w:type="dxa" w:w="4929"/>
          </w:tcPr>
          <w:p>
            <w:r>
              <w:t>DB</w:t>
            </w:r>
          </w:p>
        </w:tc>
        <w:tc>
          <w:tcPr>
            <w:tcW w:type="dxa" w:w="4929"/>
          </w:tcPr>
          <w:p>
            <w:r>
              <w:t>Flyway migrate/validate da zero e upgrade N→N+1; check expand/contract.</w:t>
            </w:r>
          </w:p>
        </w:tc>
      </w:tr>
      <w:tr>
        <w:tc>
          <w:tcPr>
            <w:tcW w:type="dxa" w:w="4929"/>
          </w:tcPr>
          <w:p>
            <w:r>
              <w:t>Integration</w:t>
            </w:r>
          </w:p>
        </w:tc>
        <w:tc>
          <w:tcPr>
            <w:tcW w:type="dxa" w:w="4929"/>
          </w:tcPr>
          <w:p>
            <w:r>
              <w:t>PostgreSQL/PostGIS + object storage test; stub Ingestion/Gateway/Auth/Semantic.</w:t>
            </w:r>
          </w:p>
        </w:tc>
      </w:tr>
      <w:tr>
        <w:tc>
          <w:tcPr>
            <w:tcW w:type="dxa" w:w="4929"/>
          </w:tcPr>
          <w:p>
            <w:r>
              <w:t>Security</w:t>
            </w:r>
          </w:p>
        </w:tc>
        <w:tc>
          <w:tcPr>
            <w:tcW w:type="dxa" w:w="4929"/>
          </w:tcPr>
          <w:p>
            <w:r>
              <w:t>SAST/SCA, container/secret scan, authorization deny tests, NetworkPolicy checks.</w:t>
            </w:r>
          </w:p>
        </w:tc>
      </w:tr>
      <w:tr>
        <w:tc>
          <w:tcPr>
            <w:tcW w:type="dxa" w:w="4929"/>
          </w:tcPr>
          <w:p>
            <w:r>
              <w:t>E2E</w:t>
            </w:r>
          </w:p>
        </w:tc>
        <w:tc>
          <w:tcPr>
            <w:tcW w:type="dxa" w:w="4929"/>
          </w:tcPr>
          <w:p>
            <w:r>
              <w:t>handoff, materialization, graph/spatial, lineage, history, resolution, export, recovery.</w:t>
            </w:r>
          </w:p>
        </w:tc>
      </w:tr>
      <w:tr>
        <w:tc>
          <w:tcPr>
            <w:tcW w:type="dxa" w:w="4929"/>
          </w:tcPr>
          <w:p>
            <w:r>
              <w:t>Performance</w:t>
            </w:r>
          </w:p>
        </w:tc>
        <w:tc>
          <w:tcPr>
            <w:tcW w:type="dxa" w:w="4929"/>
          </w:tcPr>
          <w:p>
            <w:r>
              <w:t>SLO current/search/spatial/graph/lineage; Query Complexity Governor multi-replica.</w:t>
            </w:r>
          </w:p>
        </w:tc>
      </w:tr>
      <w:tr>
        <w:tc>
          <w:tcPr>
            <w:tcW w:type="dxa" w:w="4929"/>
          </w:tcPr>
          <w:p>
            <w:r>
              <w:t>Package</w:t>
            </w:r>
          </w:p>
        </w:tc>
        <w:tc>
          <w:tcPr>
            <w:tcW w:type="dxa" w:w="4929"/>
          </w:tcPr>
          <w:p>
            <w:r>
              <w:t>OCI images, Helm, SBOM, checksums/provenance.</w:t>
            </w:r>
          </w:p>
        </w:tc>
      </w:tr>
      <w:tr>
        <w:tc>
          <w:tcPr>
            <w:tcW w:type="dxa" w:w="4929"/>
          </w:tcPr>
          <w:p>
            <w:r>
              <w:t>Deploy staging</w:t>
            </w:r>
          </w:p>
        </w:tc>
        <w:tc>
          <w:tcPr>
            <w:tcW w:type="dxa" w:w="4929"/>
          </w:tcPr>
          <w:p>
            <w:r>
              <w:t>GitOps/pipeline OUF con migration job controllato.</w:t>
            </w:r>
          </w:p>
        </w:tc>
      </w:tr>
      <w:tr>
        <w:tc>
          <w:tcPr>
            <w:tcW w:type="dxa" w:w="4929"/>
          </w:tcPr>
          <w:p>
            <w:r>
              <w:t>Acceptance</w:t>
            </w:r>
          </w:p>
        </w:tc>
        <w:tc>
          <w:tcPr>
            <w:tcW w:type="dxa" w:w="4929"/>
          </w:tcPr>
          <w:p>
            <w:r>
              <w:t>evidence package completo, restore/rebuild test, nessun blocker/high aperto.</w:t>
            </w:r>
          </w:p>
        </w:tc>
      </w:tr>
    </w:tbl>
    <w:p>
      <w:pPr>
        <w:pStyle w:val="Heading2"/>
      </w:pPr>
      <w:r>
        <w:t>108.4 Failure taxonomy e recovery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t>Failure domain</w:t>
            </w:r>
          </w:p>
        </w:tc>
        <w:tc>
          <w:tcPr>
            <w:tcW w:type="dxa" w:w="4929"/>
          </w:tcPr>
          <w:p>
            <w:r>
              <w:t>Comportamento normativo</w:t>
            </w:r>
          </w:p>
        </w:tc>
      </w:tr>
      <w:tr>
        <w:tc>
          <w:tcPr>
            <w:tcW w:type="dxa" w:w="4929"/>
          </w:tcPr>
          <w:p>
            <w:r>
              <w:t>Ingestion handoff</w:t>
            </w:r>
          </w:p>
        </w:tc>
        <w:tc>
          <w:tcPr>
            <w:tcW w:type="dxa" w:w="4929"/>
          </w:tcPr>
          <w:p>
            <w:r>
              <w:t>Idempotenza; duplicate safe; ACK ripetibile solo dopo durabilità verificata.</w:t>
            </w:r>
          </w:p>
        </w:tc>
      </w:tr>
      <w:tr>
        <w:tc>
          <w:tcPr>
            <w:tcW w:type="dxa" w:w="4929"/>
          </w:tcPr>
          <w:p>
            <w:r>
              <w:t>PostgreSQL/PostGIS</w:t>
            </w:r>
          </w:p>
        </w:tc>
        <w:tc>
          <w:tcPr>
            <w:tcW w:type="dxa" w:w="4929"/>
          </w:tcPr>
          <w:p>
            <w:r>
              <w:t>Rollback atomico; retry bounded; nessuna revision parziale.</w:t>
            </w:r>
          </w:p>
        </w:tc>
      </w:tr>
      <w:tr>
        <w:tc>
          <w:tcPr>
            <w:tcW w:type="dxa" w:w="4929"/>
          </w:tcPr>
          <w:p>
            <w:r>
              <w:t>Object storage</w:t>
            </w:r>
          </w:p>
        </w:tc>
        <w:tc>
          <w:tcPr>
            <w:tcW w:type="dxa" w:w="4929"/>
          </w:tcPr>
          <w:p>
            <w:r>
              <w:t>Nessun commit logico se checksum/durabilità non sono provati; reconciliation successiva.</w:t>
            </w:r>
          </w:p>
        </w:tc>
      </w:tr>
      <w:tr>
        <w:tc>
          <w:tcPr>
            <w:tcW w:type="dxa" w:w="4929"/>
          </w:tcPr>
          <w:p>
            <w:r>
              <w:t>Query overload</w:t>
            </w:r>
          </w:p>
        </w:tc>
        <w:tc>
          <w:tcPr>
            <w:tcW w:type="dxa" w:w="4929"/>
          </w:tcPr>
          <w:p>
            <w:r>
              <w:t>Admission/Query Complexity Governor; rifiuto machine-readable senza degradare authorization.</w:t>
            </w:r>
          </w:p>
        </w:tc>
      </w:tr>
      <w:tr>
        <w:tc>
          <w:tcPr>
            <w:tcW w:type="dxa" w:w="4929"/>
          </w:tcPr>
          <w:p>
            <w:r>
              <w:t>Resolution conflict</w:t>
            </w:r>
          </w:p>
        </w:tc>
        <w:tc>
          <w:tcPr>
            <w:tcW w:type="dxa" w:w="4929"/>
          </w:tcPr>
          <w:p>
            <w:r>
              <w:t>Nessun merge/split implicito; proposal/challenge e commit human-only dove previsto.</w:t>
            </w:r>
          </w:p>
        </w:tc>
      </w:tr>
      <w:tr>
        <w:tc>
          <w:tcPr>
            <w:tcW w:type="dxa" w:w="4929"/>
          </w:tcPr>
          <w:p>
            <w:r>
              <w:t>Dependency IAM/Auth/Gateway</w:t>
            </w:r>
          </w:p>
        </w:tc>
        <w:tc>
          <w:tcPr>
            <w:tcW w:type="dxa" w:w="4929"/>
          </w:tcPr>
          <w:p>
            <w:r>
              <w:t>Fail closed per capability protette; nessun bypass diretto.</w:t>
            </w:r>
          </w:p>
        </w:tc>
      </w:tr>
      <w:tr>
        <w:tc>
          <w:tcPr>
            <w:tcW w:type="dxa" w:w="4929"/>
          </w:tcPr>
          <w:p>
            <w:r>
              <w:t>Worker crash</w:t>
            </w:r>
          </w:p>
        </w:tc>
        <w:tc>
          <w:tcPr>
            <w:tcW w:type="dxa" w:w="4929"/>
          </w:tcPr>
          <w:p>
            <w:r>
              <w:t>Lease/retry/idempotency; nessun doppio effetto; recovery evidence auditabile.</w:t>
            </w:r>
          </w:p>
        </w:tc>
      </w:tr>
      <w:tr>
        <w:tc>
          <w:tcPr>
            <w:tcW w:type="dxa" w:w="4929"/>
          </w:tcPr>
          <w:p>
            <w:r>
              <w:t>Restore</w:t>
            </w:r>
          </w:p>
        </w:tc>
        <w:tc>
          <w:tcPr>
            <w:tcW w:type="dxa" w:w="4929"/>
          </w:tcPr>
          <w:p>
            <w:r>
              <w:t>Riconciliazione PostgreSQL&lt;-&gt;object storage prima di healthy completo.</w:t>
            </w:r>
          </w:p>
        </w:tc>
      </w:tr>
    </w:tbl>
    <w:p>
      <w:pPr>
        <w:pStyle w:val="Heading2"/>
      </w:pPr>
      <w:r>
        <w:t>108.5 Compatibility policy</w:t>
      </w:r>
    </w:p>
    <w:p>
      <w:pPr>
        <w:pStyle w:val="ListBullet"/>
      </w:pPr>
      <w:r>
        <w:t>API e schema seguono semantic versioning; breaking contract change richiede nuova major del contratto, non semplice cambio applicativo.</w:t>
      </w:r>
    </w:p>
    <w:p>
      <w:pPr>
        <w:pStyle w:val="ListBullet"/>
      </w:pPr>
      <w:r>
        <w:t>DB schema supporta rolling N/N+1 mediante expand/contract; destructive migration non avviene mentre N è attivo.</w:t>
      </w:r>
    </w:p>
    <w:p>
      <w:pPr>
        <w:pStyle w:val="ListBullet"/>
      </w:pPr>
      <w:r>
        <w:t>Historical references (bundle/schema/semantic set/lineage) restano risolvibili per l’intera retention necessaria a replay e audit.</w:t>
      </w:r>
    </w:p>
    <w:p>
      <w:pPr>
        <w:pStyle w:val="ListBullet"/>
      </w:pPr>
      <w:r>
        <w:t>Capability Manifest e Problem Details mantengono backward compatibility nella stessa major; nuovi reason/remediation code sono additive salvo documentazione contraria.</w:t>
      </w:r>
    </w:p>
    <w:p>
      <w:pPr>
        <w:pStyle w:val="Heading2"/>
      </w:pPr>
      <w:r>
        <w:t>108.6 Evidence package e deliverable del fornitore</w:t>
      </w:r>
    </w:p>
    <w:p>
      <w:pPr>
        <w:pStyle w:val="ListBullet"/>
      </w:pPr>
      <w:r>
        <w:t>Repository sorgente, OpenAPI/JSON Schema, Flyway, Helm/GitOps, SBOM e artifact checksum.</w:t>
      </w:r>
    </w:p>
    <w:p>
      <w:pPr>
        <w:pStyle w:val="ListBullet"/>
      </w:pPr>
      <w:r>
        <w:t>Data model fisico, indice/partition policy e capacity assumptions tracciati.</w:t>
      </w:r>
    </w:p>
    <w:p>
      <w:pPr>
        <w:pStyle w:val="ListBullet"/>
      </w:pPr>
      <w:r>
        <w:t>Dashboard/alert rules, runbook, backup/restore report, reconciliation report e performance report.</w:t>
      </w:r>
    </w:p>
    <w:p>
      <w:pPr>
        <w:pStyle w:val="ListBullet"/>
      </w:pPr>
      <w:r>
        <w:t>Contract test report e suite E2E con correlationId/lineageId e evidence URI.</w:t>
      </w:r>
    </w:p>
    <w:p>
      <w:pPr>
        <w:pStyle w:val="ListBullet"/>
      </w:pPr>
      <w:r>
        <w:t>Compatibility matrix N/N+1 e procedura di rollback applicativo compatibile con lo schema.</w:t>
      </w:r>
    </w:p>
    <w:p>
      <w:pPr>
        <w:pStyle w:val="Heading2"/>
      </w:pPr>
      <w:r>
        <w:t>108.7 Definition of Done implementativa</w:t>
      </w:r>
    </w:p>
    <w:p>
      <w:pPr>
        <w:pStyle w:val="ListBullet"/>
      </w:pPr>
      <w:r>
        <w:t>Installazione da DB vuoto e object storage vuoto ripetibile senza interventi manuali.</w:t>
      </w:r>
    </w:p>
    <w:p>
      <w:pPr>
        <w:pStyle w:val="ListBullet"/>
      </w:pPr>
      <w:r>
        <w:t>Handoff idempotente, durable materialization ACK e replay verificati sotto fault.</w:t>
      </w:r>
    </w:p>
    <w:p>
      <w:pPr>
        <w:pStyle w:val="ListBullet"/>
      </w:pPr>
      <w:r>
        <w:t>Serving, graph, spatial, lineage, history ed export autorizzano server-side e rispettano hard maxima.</w:t>
      </w:r>
    </w:p>
    <w:p>
      <w:pPr>
        <w:pStyle w:val="ListBullet"/>
      </w:pPr>
      <w:r>
        <w:t>Query Complexity Governor non bypassabile tra repliche.</w:t>
      </w:r>
    </w:p>
    <w:p>
      <w:pPr>
        <w:pStyle w:val="ListBullet"/>
      </w:pPr>
      <w:r>
        <w:t>Restore/PITR e reconciliation provati su dataset rappresentativo.</w:t>
      </w:r>
    </w:p>
    <w:p>
      <w:pPr>
        <w:pStyle w:val="ListBullet"/>
      </w:pPr>
      <w:r>
        <w:t>Tutti i contratti pubblicati sono versionati, testati e referenzialmente coerenti con Gateway, Authorization, Semantic e Ingestion.</w:t>
      </w:r>
    </w:p>
    <w:p>
      <w:pPr>
        <w:pStyle w:val="Heading1"/>
      </w:pPr>
      <w:r>
        <w:t>109. Implementation Readiness Closure — Ingestion-equivalent depth</w:t>
      </w:r>
    </w:p>
    <w:p>
      <w:r>
        <w:rPr>
          <w:b/>
        </w:rPr>
        <w:t xml:space="preserve">Norma di lettura. </w:t>
      </w:r>
      <w:r>
        <w:t>Le sezioni 109.x sono normative per l’implementazione v1.3 e completano, senza sostituirne il significato di dominio, le sezioni precedenti. In caso di ambiguità tra una formulazione storica e una regola 109.x, prevale la regola 109.x per packaging, configurazione, compatibilità, operatività, collaudo e consegna del software.</w:t>
      </w:r>
    </w:p>
    <w:p>
      <w:pPr>
        <w:pStyle w:val="Heading2"/>
      </w:pPr>
      <w:r>
        <w:t>109.1 Inventario canonico dei contratti e degli artefatti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3024"/>
            <w:shd w:fill="D9EAF7"/>
            <w:vAlign w:val="center"/>
          </w:tcPr>
          <w:p>
            <w:r>
              <w:rPr>
                <w:b/>
              </w:rPr>
              <w:t>Artefatto</w:t>
            </w:r>
          </w:p>
        </w:tc>
        <w:tc>
          <w:tcPr>
            <w:tcW w:type="dxa" w:w="1728"/>
            <w:shd w:fill="D9EAF7"/>
            <w:vAlign w:val="center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024"/>
            <w:shd w:fill="D9EAF7"/>
            <w:vAlign w:val="center"/>
          </w:tcPr>
          <w:p>
            <w:r>
              <w:rPr>
                <w:b/>
              </w:rPr>
              <w:t>Consumer principali</w:t>
            </w:r>
          </w:p>
        </w:tc>
        <w:tc>
          <w:tcPr>
            <w:tcW w:type="dxa" w:w="3744"/>
            <w:shd w:fill="D9EAF7"/>
            <w:vAlign w:val="center"/>
          </w:tcPr>
          <w:p>
            <w:r>
              <w:rPr>
                <w:b/>
              </w:rPr>
              <w:t>Versioning / gate</w:t>
            </w:r>
          </w:p>
        </w:tc>
      </w:tr>
      <w:tr>
        <w:tc>
          <w:tcPr>
            <w:tcW w:type="dxa" w:w="3024"/>
            <w:vAlign w:val="top"/>
          </w:tcPr>
          <w:p>
            <w:r>
              <w:t>openapi/udp-serving-v1.yaml</w:t>
            </w:r>
          </w:p>
        </w:tc>
        <w:tc>
          <w:tcPr>
            <w:tcW w:type="dxa" w:w="1728"/>
            <w:vAlign w:val="top"/>
          </w:tcPr>
          <w:p>
            <w:r>
              <w:t>UDP</w:t>
            </w:r>
          </w:p>
        </w:tc>
        <w:tc>
          <w:tcPr>
            <w:tcW w:type="dxa" w:w="3024"/>
            <w:vAlign w:val="top"/>
          </w:tcPr>
          <w:p>
            <w:r>
              <w:t>Gateway, UI, MCP client via Gateway</w:t>
            </w:r>
          </w:p>
        </w:tc>
        <w:tc>
          <w:tcPr>
            <w:tcW w:type="dxa" w:w="3744"/>
            <w:vAlign w:val="top"/>
          </w:tcPr>
          <w:p>
            <w:r>
              <w:t>SemVer; lint + backward-compatibility gate nella stessa major</w:t>
            </w:r>
          </w:p>
        </w:tc>
      </w:tr>
      <w:tr>
        <w:tc>
          <w:tcPr>
            <w:tcW w:type="dxa" w:w="3024"/>
            <w:vAlign w:val="top"/>
          </w:tcPr>
          <w:p>
            <w:r>
              <w:t>openapi/object-resolution-v1.yaml</w:t>
            </w:r>
          </w:p>
        </w:tc>
        <w:tc>
          <w:tcPr>
            <w:tcW w:type="dxa" w:w="1728"/>
            <w:vAlign w:val="top"/>
          </w:tcPr>
          <w:p>
            <w:r>
              <w:t>UDP</w:t>
            </w:r>
          </w:p>
        </w:tc>
        <w:tc>
          <w:tcPr>
            <w:tcW w:type="dxa" w:w="3024"/>
            <w:vAlign w:val="top"/>
          </w:tcPr>
          <w:p>
            <w:r>
              <w:t>THS, operatori autorizzati, MCP proposal tools</w:t>
            </w:r>
          </w:p>
        </w:tc>
        <w:tc>
          <w:tcPr>
            <w:tcW w:type="dxa" w:w="3744"/>
            <w:vAlign w:val="top"/>
          </w:tcPr>
          <w:p>
            <w:r>
              <w:t>SemVer; human-only command separati dai proposal/read</w:t>
            </w:r>
          </w:p>
        </w:tc>
      </w:tr>
      <w:tr>
        <w:tc>
          <w:tcPr>
            <w:tcW w:type="dxa" w:w="3024"/>
            <w:vAlign w:val="top"/>
          </w:tcPr>
          <w:p>
            <w:r>
              <w:t>openapi/udp-operations-v1.yaml</w:t>
            </w:r>
          </w:p>
        </w:tc>
        <w:tc>
          <w:tcPr>
            <w:tcW w:type="dxa" w:w="1728"/>
            <w:vAlign w:val="top"/>
          </w:tcPr>
          <w:p>
            <w:r>
              <w:t>UDP</w:t>
            </w:r>
          </w:p>
        </w:tc>
        <w:tc>
          <w:tcPr>
            <w:tcW w:type="dxa" w:w="3024"/>
            <w:vAlign w:val="top"/>
          </w:tcPr>
          <w:p>
            <w:r>
              <w:t>Operations/THS</w:t>
            </w:r>
          </w:p>
        </w:tc>
        <w:tc>
          <w:tcPr>
            <w:tcW w:type="dxa" w:w="3744"/>
            <w:vAlign w:val="top"/>
          </w:tcPr>
          <w:p>
            <w:r>
              <w:t>SemVer; operazioni ad alto impatto con policy e precondition</w:t>
            </w:r>
          </w:p>
        </w:tc>
      </w:tr>
      <w:tr>
        <w:tc>
          <w:tcPr>
            <w:tcW w:type="dxa" w:w="3024"/>
            <w:vAlign w:val="top"/>
          </w:tcPr>
          <w:p>
            <w:r>
              <w:t>schemas/canonical-urban-object-v1.json</w:t>
            </w:r>
          </w:p>
        </w:tc>
        <w:tc>
          <w:tcPr>
            <w:tcW w:type="dxa" w:w="1728"/>
            <w:vAlign w:val="top"/>
          </w:tcPr>
          <w:p>
            <w:r>
              <w:t>UDP</w:t>
            </w:r>
          </w:p>
        </w:tc>
        <w:tc>
          <w:tcPr>
            <w:tcW w:type="dxa" w:w="3024"/>
            <w:vAlign w:val="top"/>
          </w:tcPr>
          <w:p>
            <w:r>
              <w:t>Serving consumer / test fixture</w:t>
            </w:r>
          </w:p>
        </w:tc>
        <w:tc>
          <w:tcPr>
            <w:tcW w:type="dxa" w:w="3744"/>
            <w:vAlign w:val="top"/>
          </w:tcPr>
          <w:p>
            <w:r>
              <w:t>Immutabile per release tag; breaking change = nuova major</w:t>
            </w:r>
          </w:p>
        </w:tc>
      </w:tr>
      <w:tr>
        <w:tc>
          <w:tcPr>
            <w:tcW w:type="dxa" w:w="3024"/>
            <w:vAlign w:val="top"/>
          </w:tcPr>
          <w:p>
            <w:r>
              <w:t>schemas/canonical-revision-v1.json</w:t>
            </w:r>
          </w:p>
        </w:tc>
        <w:tc>
          <w:tcPr>
            <w:tcW w:type="dxa" w:w="1728"/>
            <w:vAlign w:val="top"/>
          </w:tcPr>
          <w:p>
            <w:r>
              <w:t>UDP</w:t>
            </w:r>
          </w:p>
        </w:tc>
        <w:tc>
          <w:tcPr>
            <w:tcW w:type="dxa" w:w="3024"/>
            <w:vAlign w:val="top"/>
          </w:tcPr>
          <w:p>
            <w:r>
              <w:t>History/lineage consumer</w:t>
            </w:r>
          </w:p>
        </w:tc>
        <w:tc>
          <w:tcPr>
            <w:tcW w:type="dxa" w:w="3744"/>
            <w:vAlign w:val="top"/>
          </w:tcPr>
          <w:p>
            <w:r>
              <w:t>Compatibilità additiva nella major</w:t>
            </w:r>
          </w:p>
        </w:tc>
      </w:tr>
      <w:tr>
        <w:tc>
          <w:tcPr>
            <w:tcW w:type="dxa" w:w="3024"/>
            <w:vAlign w:val="top"/>
          </w:tcPr>
          <w:p>
            <w:r>
              <w:t>schemas/source-binding-v1.json</w:t>
            </w:r>
          </w:p>
        </w:tc>
        <w:tc>
          <w:tcPr>
            <w:tcW w:type="dxa" w:w="1728"/>
            <w:vAlign w:val="top"/>
          </w:tcPr>
          <w:p>
            <w:r>
              <w:t>UDP</w:t>
            </w:r>
          </w:p>
        </w:tc>
        <w:tc>
          <w:tcPr>
            <w:tcW w:type="dxa" w:w="3024"/>
            <w:vAlign w:val="top"/>
          </w:tcPr>
          <w:p>
            <w:r>
              <w:t>Lineage/resolution</w:t>
            </w:r>
          </w:p>
        </w:tc>
        <w:tc>
          <w:tcPr>
            <w:tcW w:type="dxa" w:w="3744"/>
            <w:vAlign w:val="top"/>
          </w:tcPr>
          <w:p>
            <w:r>
              <w:t>Riferimenti source e authority versionati</w:t>
            </w:r>
          </w:p>
        </w:tc>
      </w:tr>
      <w:tr>
        <w:tc>
          <w:tcPr>
            <w:tcW w:type="dxa" w:w="3024"/>
            <w:vAlign w:val="top"/>
          </w:tcPr>
          <w:p>
            <w:r>
              <w:t>schemas/relationship-v1.json</w:t>
            </w:r>
          </w:p>
        </w:tc>
        <w:tc>
          <w:tcPr>
            <w:tcW w:type="dxa" w:w="1728"/>
            <w:vAlign w:val="top"/>
          </w:tcPr>
          <w:p>
            <w:r>
              <w:t>UDP</w:t>
            </w:r>
          </w:p>
        </w:tc>
        <w:tc>
          <w:tcPr>
            <w:tcW w:type="dxa" w:w="3024"/>
            <w:vAlign w:val="top"/>
          </w:tcPr>
          <w:p>
            <w:r>
              <w:t>Graph/related/spatial capability</w:t>
            </w:r>
          </w:p>
        </w:tc>
        <w:tc>
          <w:tcPr>
            <w:tcW w:type="dxa" w:w="3744"/>
            <w:vAlign w:val="top"/>
          </w:tcPr>
          <w:p>
            <w:r>
              <w:t>Edge type + visibility rules verificati</w:t>
            </w:r>
          </w:p>
        </w:tc>
      </w:tr>
      <w:tr>
        <w:tc>
          <w:tcPr>
            <w:tcW w:type="dxa" w:w="3024"/>
            <w:vAlign w:val="top"/>
          </w:tcPr>
          <w:p>
            <w:r>
              <w:t>schemas/problem-details-v1.json</w:t>
            </w:r>
          </w:p>
        </w:tc>
        <w:tc>
          <w:tcPr>
            <w:tcW w:type="dxa" w:w="1728"/>
            <w:vAlign w:val="top"/>
          </w:tcPr>
          <w:p>
            <w:r>
              <w:t>OUF common profile, implementato da UDP</w:t>
            </w:r>
          </w:p>
        </w:tc>
        <w:tc>
          <w:tcPr>
            <w:tcW w:type="dxa" w:w="3024"/>
            <w:vAlign w:val="top"/>
          </w:tcPr>
          <w:p>
            <w:r>
              <w:t>Tutti i consumer</w:t>
            </w:r>
          </w:p>
        </w:tc>
        <w:tc>
          <w:tcPr>
            <w:tcW w:type="dxa" w:w="3744"/>
            <w:vAlign w:val="top"/>
          </w:tcPr>
          <w:p>
            <w:r>
              <w:t>Codici nuovi additivi; semantica dei codici esistenti immutabile nella major</w:t>
            </w:r>
          </w:p>
        </w:tc>
      </w:tr>
      <w:tr>
        <w:tc>
          <w:tcPr>
            <w:tcW w:type="dxa" w:w="3024"/>
            <w:vAlign w:val="top"/>
          </w:tcPr>
          <w:p>
            <w:r>
              <w:t>schemas/udp-capability-manifest-v1.json</w:t>
            </w:r>
          </w:p>
        </w:tc>
        <w:tc>
          <w:tcPr>
            <w:tcW w:type="dxa" w:w="1728"/>
            <w:vAlign w:val="top"/>
          </w:tcPr>
          <w:p>
            <w:r>
              <w:t>UDP</w:t>
            </w:r>
          </w:p>
        </w:tc>
        <w:tc>
          <w:tcPr>
            <w:tcW w:type="dxa" w:w="3024"/>
            <w:vAlign w:val="top"/>
          </w:tcPr>
          <w:p>
            <w:r>
              <w:t>Gateway / Capability Registry</w:t>
            </w:r>
          </w:p>
        </w:tc>
        <w:tc>
          <w:tcPr>
            <w:tcW w:type="dxa" w:w="3744"/>
            <w:vAlign w:val="top"/>
          </w:tcPr>
          <w:p>
            <w:r>
              <w:t>Ogni capabilityId deve risolvere input/output schema, authz requirement e hard maxima</w:t>
            </w:r>
          </w:p>
        </w:tc>
      </w:tr>
      <w:tr>
        <w:tc>
          <w:tcPr>
            <w:tcW w:type="dxa" w:w="3024"/>
            <w:vAlign w:val="top"/>
          </w:tcPr>
          <w:p>
            <w:r>
              <w:t>schemas/udp-intake-compatibility-v1.json</w:t>
            </w:r>
          </w:p>
        </w:tc>
        <w:tc>
          <w:tcPr>
            <w:tcW w:type="dxa" w:w="1728"/>
            <w:vAlign w:val="top"/>
          </w:tcPr>
          <w:p>
            <w:r>
              <w:t>UDP consumer profile</w:t>
            </w:r>
          </w:p>
        </w:tc>
        <w:tc>
          <w:tcPr>
            <w:tcW w:type="dxa" w:w="3024"/>
            <w:vAlign w:val="top"/>
          </w:tcPr>
          <w:p>
            <w:r>
              <w:t>Ingestion contract test</w:t>
            </w:r>
          </w:p>
        </w:tc>
        <w:tc>
          <w:tcPr>
            <w:tcW w:type="dxa" w:w="3744"/>
            <w:vAlign w:val="top"/>
          </w:tcPr>
          <w:p>
            <w:r>
              <w:t>Non ridefinisce HandoffPayload; dichiara versioni upstream accettate</w:t>
            </w:r>
          </w:p>
        </w:tc>
      </w:tr>
    </w:tbl>
    <w:p>
      <w:pPr>
        <w:pStyle w:val="ListBullet"/>
      </w:pPr>
      <w:r>
        <w:t>Ogni artefatto contrattuale è presente nel repository e referenziato da release tag/checksum; il PET non è l’unica copia autoritativa dello schema macchina.</w:t>
      </w:r>
    </w:p>
    <w:p>
      <w:pPr>
        <w:pStyle w:val="ListBullet"/>
      </w:pPr>
      <w:r>
        <w:t>Gli esempi sotto examples/ devono validare contro gli schema pubblicati e coprire almeno happy path, validation error, authorization deny, pagination, stale ETag e retry/idempotency.</w:t>
      </w:r>
    </w:p>
    <w:p>
      <w:pPr>
        <w:pStyle w:val="ListBullet"/>
      </w:pPr>
      <w:r>
        <w:t>La CI rifiuta capability pubblicate senza capabilityId stabile, owner, operation class, inputSchemaRef, outputSchemaRef, authorization capability, hard maxima e Gateway binding logico.</w:t>
      </w:r>
    </w:p>
    <w:p>
      <w:pPr>
        <w:pStyle w:val="Heading2"/>
      </w:pPr>
      <w:r>
        <w:t>109.2 Compatibility Manifest e support window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160"/>
            <w:shd w:fill="D9EAF7"/>
            <w:vAlign w:val="center"/>
          </w:tcPr>
          <w:p>
            <w:r>
              <w:rPr>
                <w:b/>
              </w:rPr>
              <w:t>Dimensione</w:t>
            </w:r>
          </w:p>
        </w:tc>
        <w:tc>
          <w:tcPr>
            <w:tcW w:type="dxa" w:w="6048"/>
            <w:shd w:fill="D9EAF7"/>
            <w:vAlign w:val="center"/>
          </w:tcPr>
          <w:p>
            <w:r>
              <w:rPr>
                <w:b/>
              </w:rPr>
              <w:t>Regola normativa v1.3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Condizione di rimozione / breaking change</w:t>
            </w:r>
          </w:p>
        </w:tc>
      </w:tr>
      <w:tr>
        <w:tc>
          <w:tcPr>
            <w:tcW w:type="dxa" w:w="2160"/>
            <w:vAlign w:val="top"/>
          </w:tcPr>
          <w:p>
            <w:r>
              <w:t>API major</w:t>
            </w:r>
          </w:p>
        </w:tc>
        <w:tc>
          <w:tcPr>
            <w:tcW w:type="dxa" w:w="6048"/>
            <w:vAlign w:val="top"/>
          </w:tcPr>
          <w:p>
            <w:r>
              <w:t>La release N+1 deve accettare i contratti della stessa major già supportati da N durante il rolling rollout.</w:t>
            </w:r>
          </w:p>
        </w:tc>
        <w:tc>
          <w:tcPr>
            <w:tcW w:type="dxa" w:w="3312"/>
            <w:vAlign w:val="top"/>
          </w:tcPr>
          <w:p>
            <w:r>
              <w:t>Rimozione solo in nuova major e dopo migrazione dei consumer dichiarati.</w:t>
            </w:r>
          </w:p>
        </w:tc>
      </w:tr>
      <w:tr>
        <w:tc>
          <w:tcPr>
            <w:tcW w:type="dxa" w:w="2160"/>
            <w:vAlign w:val="top"/>
          </w:tcPr>
          <w:p>
            <w:r>
              <w:t>DB schema</w:t>
            </w:r>
          </w:p>
        </w:tc>
        <w:tc>
          <w:tcPr>
            <w:tcW w:type="dxa" w:w="6048"/>
            <w:vAlign w:val="top"/>
          </w:tcPr>
          <w:p>
            <w:r>
              <w:t>Expand -&gt; rollout N+1 -&gt; backfill -&gt; verifica -&gt; contract in release successiva.</w:t>
            </w:r>
          </w:p>
        </w:tc>
        <w:tc>
          <w:tcPr>
            <w:tcW w:type="dxa" w:w="3312"/>
            <w:vAlign w:val="top"/>
          </w:tcPr>
          <w:p>
            <w:r>
              <w:t>Nessuna DROP/rename incompatibile mentre workload N può essere attivo.</w:t>
            </w:r>
          </w:p>
        </w:tc>
      </w:tr>
      <w:tr>
        <w:tc>
          <w:tcPr>
            <w:tcW w:type="dxa" w:w="2160"/>
            <w:vAlign w:val="top"/>
          </w:tcPr>
          <w:p>
            <w:r>
              <w:t>Handoff upstream</w:t>
            </w:r>
          </w:p>
        </w:tc>
        <w:tc>
          <w:tcPr>
            <w:tcW w:type="dxa" w:w="6048"/>
            <w:vAlign w:val="top"/>
          </w:tcPr>
          <w:p>
            <w:r>
              <w:t>udp-intake-compatibility-v1 dichiara le versioni HandoffPayload accettate.</w:t>
            </w:r>
          </w:p>
        </w:tc>
        <w:tc>
          <w:tcPr>
            <w:tcW w:type="dxa" w:w="3312"/>
            <w:vAlign w:val="top"/>
          </w:tcPr>
          <w:p>
            <w:r>
              <w:t>Una versione upstream non viene rimossa finché esiste una run/replay o una release Ingestion supportata che la usa.</w:t>
            </w:r>
          </w:p>
        </w:tc>
      </w:tr>
      <w:tr>
        <w:tc>
          <w:tcPr>
            <w:tcW w:type="dxa" w:w="2160"/>
            <w:vAlign w:val="top"/>
          </w:tcPr>
          <w:p>
            <w:r>
              <w:t>Historical refs</w:t>
            </w:r>
          </w:p>
        </w:tc>
        <w:tc>
          <w:tcPr>
            <w:tcW w:type="dxa" w:w="6048"/>
            <w:vAlign w:val="top"/>
          </w:tcPr>
          <w:p>
            <w:r>
              <w:t>Bundle, schema, semantic set, source/run refs e lineage restano risolvibili per la retention necessaria a audit/replay.</w:t>
            </w:r>
          </w:p>
        </w:tc>
        <w:tc>
          <w:tcPr>
            <w:tcW w:type="dxa" w:w="3312"/>
            <w:vAlign w:val="top"/>
          </w:tcPr>
          <w:p>
            <w:r>
              <w:t>GC vietata quando un riferimento ancora supportato punta all’artefatto.</w:t>
            </w:r>
          </w:p>
        </w:tc>
      </w:tr>
      <w:tr>
        <w:tc>
          <w:tcPr>
            <w:tcW w:type="dxa" w:w="2160"/>
            <w:vAlign w:val="top"/>
          </w:tcPr>
          <w:p>
            <w:r>
              <w:t>Capability</w:t>
            </w:r>
          </w:p>
        </w:tc>
        <w:tc>
          <w:tcPr>
            <w:tcW w:type="dxa" w:w="6048"/>
            <w:vAlign w:val="top"/>
          </w:tcPr>
          <w:p>
            <w:r>
              <w:t>Nuovi campi/reason code possono essere additivi; hard maxima possono diventare più restrittivi solo con change notice e test di compatibilità.</w:t>
            </w:r>
          </w:p>
        </w:tc>
        <w:tc>
          <w:tcPr>
            <w:tcW w:type="dxa" w:w="3312"/>
            <w:vAlign w:val="top"/>
          </w:tcPr>
          <w:p>
            <w:r>
              <w:t>Rename/removal di capabilityId = breaking change.</w:t>
            </w:r>
          </w:p>
        </w:tc>
      </w:tr>
      <w:tr>
        <w:tc>
          <w:tcPr>
            <w:tcW w:type="dxa" w:w="2160"/>
            <w:vAlign w:val="top"/>
          </w:tcPr>
          <w:p>
            <w:r>
              <w:t>Authorization</w:t>
            </w:r>
          </w:p>
        </w:tc>
        <w:tc>
          <w:tcPr>
            <w:tcW w:type="dxa" w:w="6048"/>
            <w:vAlign w:val="top"/>
          </w:tcPr>
          <w:p>
            <w:r>
              <w:t>Nuove capability sono default-deny finché non presenti nel policy bundle compatibile.</w:t>
            </w:r>
          </w:p>
        </w:tc>
        <w:tc>
          <w:tcPr>
            <w:tcW w:type="dxa" w:w="3312"/>
            <w:vAlign w:val="top"/>
          </w:tcPr>
          <w:p>
            <w:r>
              <w:t>Nessun fallback permissivo in caso di bundle vecchio o capability sconosciuta.</w:t>
            </w:r>
          </w:p>
        </w:tc>
      </w:tr>
    </w:tbl>
    <w:p>
      <w:r>
        <w:rPr>
          <w:b/>
        </w:rPr>
        <w:t xml:space="preserve">Support window operativo. </w:t>
      </w:r>
      <w:r>
        <w:t>Per rolling upgrade la UDP supporta contemporaneamente applicazione N e N+1 sullo schema DB expand-compatible. La durata temporale concreta del supporto N/N+1 è una proprietà della release pipeline, non un valore hard-coded nel dominio; la pipeline non può eseguire la fase CONTRACT finché l’ambiente dimostra l’assenza di workload N e consumer incompatibili.</w:t>
      </w:r>
    </w:p>
    <w:p>
      <w:pPr>
        <w:pStyle w:val="Heading2"/>
      </w:pPr>
      <w:r>
        <w:t>109.3 Configuration Catalog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584"/>
            <w:shd w:fill="D9EAF7"/>
            <w:vAlign w:val="center"/>
          </w:tcPr>
          <w:p>
            <w:r>
              <w:rPr>
                <w:b/>
              </w:rPr>
              <w:t>Gruppo</w:t>
            </w:r>
          </w:p>
        </w:tc>
        <w:tc>
          <w:tcPr>
            <w:tcW w:type="dxa" w:w="3600"/>
            <w:shd w:fill="D9EAF7"/>
            <w:vAlign w:val="center"/>
          </w:tcPr>
          <w:p>
            <w:r>
              <w:rPr>
                <w:b/>
              </w:rPr>
              <w:t>Property / famiglia</w:t>
            </w:r>
          </w:p>
        </w:tc>
        <w:tc>
          <w:tcPr>
            <w:tcW w:type="dxa" w:w="3024"/>
            <w:shd w:fill="D9EAF7"/>
            <w:vAlign w:val="center"/>
          </w:tcPr>
          <w:p>
            <w:r>
              <w:rPr>
                <w:b/>
              </w:rPr>
              <w:t>Default normativo</w:t>
            </w:r>
          </w:p>
        </w:tc>
        <w:tc>
          <w:tcPr>
            <w:tcW w:type="dxa" w:w="4320"/>
            <w:shd w:fill="D9EAF7"/>
            <w:vAlign w:val="center"/>
          </w:tcPr>
          <w:p>
            <w:r>
              <w:rPr>
                <w:b/>
              </w:rPr>
              <w:t>Vincolo / validazione</w:t>
            </w:r>
          </w:p>
        </w:tc>
      </w:tr>
      <w:tr>
        <w:tc>
          <w:tcPr>
            <w:tcW w:type="dxa" w:w="1584"/>
            <w:vAlign w:val="top"/>
          </w:tcPr>
          <w:p>
            <w:r>
              <w:t>HTTP/API</w:t>
            </w:r>
          </w:p>
        </w:tc>
        <w:tc>
          <w:tcPr>
            <w:tcW w:type="dxa" w:w="3600"/>
            <w:vAlign w:val="top"/>
          </w:tcPr>
          <w:p>
            <w:r>
              <w:t>udp.api.max-page-size</w:t>
            </w:r>
          </w:p>
        </w:tc>
        <w:tc>
          <w:tcPr>
            <w:tcW w:type="dxa" w:w="3024"/>
            <w:vAlign w:val="top"/>
          </w:tcPr>
          <w:p>
            <w:r>
              <w:t>bounded; valore di ambiente validato in acceptance</w:t>
            </w:r>
          </w:p>
        </w:tc>
        <w:tc>
          <w:tcPr>
            <w:tcW w:type="dxa" w:w="4320"/>
            <w:vAlign w:val="top"/>
          </w:tcPr>
          <w:p>
            <w:r>
              <w:t>Mai illimitato; richiesta oltre limite -&gt; 400/422 machine-readable</w:t>
            </w:r>
          </w:p>
        </w:tc>
      </w:tr>
      <w:tr>
        <w:tc>
          <w:tcPr>
            <w:tcW w:type="dxa" w:w="1584"/>
            <w:vAlign w:val="top"/>
          </w:tcPr>
          <w:p>
            <w:r>
              <w:t>HTTP/API</w:t>
            </w:r>
          </w:p>
        </w:tc>
        <w:tc>
          <w:tcPr>
            <w:tcW w:type="dxa" w:w="3600"/>
            <w:vAlign w:val="top"/>
          </w:tcPr>
          <w:p>
            <w:r>
              <w:t>udp.api.max-response-bytes</w:t>
            </w:r>
          </w:p>
        </w:tc>
        <w:tc>
          <w:tcPr>
            <w:tcW w:type="dxa" w:w="3024"/>
            <w:vAlign w:val="top"/>
          </w:tcPr>
          <w:p>
            <w:r>
              <w:t>bounded per capability class</w:t>
            </w:r>
          </w:p>
        </w:tc>
        <w:tc>
          <w:tcPr>
            <w:tcW w:type="dxa" w:w="4320"/>
            <w:vAlign w:val="top"/>
          </w:tcPr>
          <w:p>
            <w:r>
              <w:t>Export grandi passano ad async/resultRef; no payload arbitrariamente grande</w:t>
            </w:r>
          </w:p>
        </w:tc>
      </w:tr>
      <w:tr>
        <w:tc>
          <w:tcPr>
            <w:tcW w:type="dxa" w:w="1584"/>
            <w:vAlign w:val="top"/>
          </w:tcPr>
          <w:p>
            <w:r>
              <w:t>Query</w:t>
            </w:r>
          </w:p>
        </w:tc>
        <w:tc>
          <w:tcPr>
            <w:tcW w:type="dxa" w:w="3600"/>
            <w:vAlign w:val="top"/>
          </w:tcPr>
          <w:p>
            <w:r>
              <w:t>udp.query.max-depth / max-nodes / max-edges</w:t>
            </w:r>
          </w:p>
        </w:tc>
        <w:tc>
          <w:tcPr>
            <w:tcW w:type="dxa" w:w="3024"/>
            <w:vAlign w:val="top"/>
          </w:tcPr>
          <w:p>
            <w:r>
              <w:t>per capability profile</w:t>
            </w:r>
          </w:p>
        </w:tc>
        <w:tc>
          <w:tcPr>
            <w:tcW w:type="dxa" w:w="4320"/>
            <w:vAlign w:val="top"/>
          </w:tcPr>
          <w:p>
            <w:r>
              <w:t>Hard ceiling server-side; il client non può elevarlo</w:t>
            </w:r>
          </w:p>
        </w:tc>
      </w:tr>
      <w:tr>
        <w:tc>
          <w:tcPr>
            <w:tcW w:type="dxa" w:w="1584"/>
            <w:vAlign w:val="top"/>
          </w:tcPr>
          <w:p>
            <w:r>
              <w:t>Query</w:t>
            </w:r>
          </w:p>
        </w:tc>
        <w:tc>
          <w:tcPr>
            <w:tcW w:type="dxa" w:w="3600"/>
            <w:vAlign w:val="top"/>
          </w:tcPr>
          <w:p>
            <w:r>
              <w:t>udp.query.execution-timeout</w:t>
            </w:r>
          </w:p>
        </w:tc>
        <w:tc>
          <w:tcPr>
            <w:tcW w:type="dxa" w:w="3024"/>
            <w:vAlign w:val="top"/>
          </w:tcPr>
          <w:p>
            <w:r>
              <w:t>per workload class</w:t>
            </w:r>
          </w:p>
        </w:tc>
        <w:tc>
          <w:tcPr>
            <w:tcW w:type="dxa" w:w="4320"/>
            <w:vAlign w:val="top"/>
          </w:tcPr>
          <w:p>
            <w:r>
              <w:t>Timeout distinto per current/search, graph, spatial, lineage, export</w:t>
            </w:r>
          </w:p>
        </w:tc>
      </w:tr>
      <w:tr>
        <w:tc>
          <w:tcPr>
            <w:tcW w:type="dxa" w:w="1584"/>
            <w:vAlign w:val="top"/>
          </w:tcPr>
          <w:p>
            <w:r>
              <w:t>Governor</w:t>
            </w:r>
          </w:p>
        </w:tc>
        <w:tc>
          <w:tcPr>
            <w:tcW w:type="dxa" w:w="3600"/>
            <w:vAlign w:val="top"/>
          </w:tcPr>
          <w:p>
            <w:r>
              <w:t>udp.query.budget-window / budget-limit</w:t>
            </w:r>
          </w:p>
        </w:tc>
        <w:tc>
          <w:tcPr>
            <w:tcW w:type="dxa" w:w="3024"/>
            <w:vAlign w:val="top"/>
          </w:tcPr>
          <w:p>
            <w:r>
              <w:t>policy-driven</w:t>
            </w:r>
          </w:p>
        </w:tc>
        <w:tc>
          <w:tcPr>
            <w:tcW w:type="dxa" w:w="4320"/>
            <w:vAlign w:val="top"/>
          </w:tcPr>
          <w:p>
            <w:r>
              <w:t>Stato condiviso/atomico; restart Pod non resetta il budget</w:t>
            </w:r>
          </w:p>
        </w:tc>
      </w:tr>
      <w:tr>
        <w:tc>
          <w:tcPr>
            <w:tcW w:type="dxa" w:w="1584"/>
            <w:vAlign w:val="top"/>
          </w:tcPr>
          <w:p>
            <w:r>
              <w:t>DB</w:t>
            </w:r>
          </w:p>
        </w:tc>
        <w:tc>
          <w:tcPr>
            <w:tcW w:type="dxa" w:w="3600"/>
            <w:vAlign w:val="top"/>
          </w:tcPr>
          <w:p>
            <w:r>
              <w:t>udp.db.query-pool.max-size</w:t>
            </w:r>
          </w:p>
        </w:tc>
        <w:tc>
          <w:tcPr>
            <w:tcW w:type="dxa" w:w="3024"/>
            <w:vAlign w:val="top"/>
          </w:tcPr>
          <w:p>
            <w:r>
              <w:t>separato dal pool ingestion/materialization</w:t>
            </w:r>
          </w:p>
        </w:tc>
        <w:tc>
          <w:tcPr>
            <w:tcW w:type="dxa" w:w="4320"/>
            <w:vAlign w:val="top"/>
          </w:tcPr>
          <w:p>
            <w:r>
              <w:t>Bulkhead: overload query non deve esaurire i path durable</w:t>
            </w:r>
          </w:p>
        </w:tc>
      </w:tr>
      <w:tr>
        <w:tc>
          <w:tcPr>
            <w:tcW w:type="dxa" w:w="1584"/>
            <w:vAlign w:val="top"/>
          </w:tcPr>
          <w:p>
            <w:r>
              <w:t>DB</w:t>
            </w:r>
          </w:p>
        </w:tc>
        <w:tc>
          <w:tcPr>
            <w:tcW w:type="dxa" w:w="3600"/>
            <w:vAlign w:val="top"/>
          </w:tcPr>
          <w:p>
            <w:r>
              <w:t>udp.db.budget-pool.max-size / timeout</w:t>
            </w:r>
          </w:p>
        </w:tc>
        <w:tc>
          <w:tcPr>
            <w:tcW w:type="dxa" w:w="3024"/>
            <w:vAlign w:val="top"/>
          </w:tcPr>
          <w:p>
            <w:r>
              <w:t>piccolo e dedicato</w:t>
            </w:r>
          </w:p>
        </w:tc>
        <w:tc>
          <w:tcPr>
            <w:tcW w:type="dxa" w:w="4320"/>
            <w:vAlign w:val="top"/>
          </w:tcPr>
          <w:p>
            <w:r>
              <w:t>consumeBudget fallisce rapidamente sotto contention; niente attese non bounded</w:t>
            </w:r>
          </w:p>
        </w:tc>
      </w:tr>
      <w:tr>
        <w:tc>
          <w:tcPr>
            <w:tcW w:type="dxa" w:w="1584"/>
            <w:vAlign w:val="top"/>
          </w:tcPr>
          <w:p>
            <w:r>
              <w:t>Worker</w:t>
            </w:r>
          </w:p>
        </w:tc>
        <w:tc>
          <w:tcPr>
            <w:tcW w:type="dxa" w:w="3600"/>
            <w:vAlign w:val="top"/>
          </w:tcPr>
          <w:p>
            <w:r>
              <w:t>udp.worker.lease-timeout</w:t>
            </w:r>
          </w:p>
        </w:tc>
        <w:tc>
          <w:tcPr>
            <w:tcW w:type="dxa" w:w="3024"/>
            <w:vAlign w:val="top"/>
          </w:tcPr>
          <w:p>
            <w:r>
              <w:t>maggiore del normale heartbeat interval</w:t>
            </w:r>
          </w:p>
        </w:tc>
        <w:tc>
          <w:tcPr>
            <w:tcW w:type="dxa" w:w="4320"/>
            <w:vAlign w:val="top"/>
          </w:tcPr>
          <w:p>
            <w:r>
              <w:t>Lease scaduta rende il job nuovamente eleggibile senza doppio side effect</w:t>
            </w:r>
          </w:p>
        </w:tc>
      </w:tr>
      <w:tr>
        <w:tc>
          <w:tcPr>
            <w:tcW w:type="dxa" w:w="1584"/>
            <w:vAlign w:val="top"/>
          </w:tcPr>
          <w:p>
            <w:r>
              <w:t>Worker</w:t>
            </w:r>
          </w:p>
        </w:tc>
        <w:tc>
          <w:tcPr>
            <w:tcW w:type="dxa" w:w="3600"/>
            <w:vAlign w:val="top"/>
          </w:tcPr>
          <w:p>
            <w:r>
              <w:t>udp.worker.max-attempts / backoff</w:t>
            </w:r>
          </w:p>
        </w:tc>
        <w:tc>
          <w:tcPr>
            <w:tcW w:type="dxa" w:w="3024"/>
            <w:vAlign w:val="top"/>
          </w:tcPr>
          <w:p>
            <w:r>
              <w:t>per job class</w:t>
            </w:r>
          </w:p>
        </w:tc>
        <w:tc>
          <w:tcPr>
            <w:tcW w:type="dxa" w:w="4320"/>
            <w:vAlign w:val="top"/>
          </w:tcPr>
          <w:p>
            <w:r>
              <w:t>Retry infinito vietato; terminal failure con evidence</w:t>
            </w:r>
          </w:p>
        </w:tc>
      </w:tr>
      <w:tr>
        <w:tc>
          <w:tcPr>
            <w:tcW w:type="dxa" w:w="1584"/>
            <w:vAlign w:val="top"/>
          </w:tcPr>
          <w:p>
            <w:r>
              <w:t>Storage</w:t>
            </w:r>
          </w:p>
        </w:tc>
        <w:tc>
          <w:tcPr>
            <w:tcW w:type="dxa" w:w="3600"/>
            <w:vAlign w:val="top"/>
          </w:tcPr>
          <w:p>
            <w:r>
              <w:t>udp.object.max-object-bytes</w:t>
            </w:r>
          </w:p>
        </w:tc>
        <w:tc>
          <w:tcPr>
            <w:tcW w:type="dxa" w:w="3024"/>
            <w:vAlign w:val="top"/>
          </w:tcPr>
          <w:p>
            <w:r>
              <w:t>bounded per artifact class</w:t>
            </w:r>
          </w:p>
        </w:tc>
        <w:tc>
          <w:tcPr>
            <w:tcW w:type="dxa" w:w="4320"/>
            <w:vAlign w:val="top"/>
          </w:tcPr>
          <w:p>
            <w:r>
              <w:t>Checksum prima del commit logico; oversize -&gt; reject/quarantine</w:t>
            </w:r>
          </w:p>
        </w:tc>
      </w:tr>
      <w:tr>
        <w:tc>
          <w:tcPr>
            <w:tcW w:type="dxa" w:w="1584"/>
            <w:vAlign w:val="top"/>
          </w:tcPr>
          <w:p>
            <w:r>
              <w:t>Spatial</w:t>
            </w:r>
          </w:p>
        </w:tc>
        <w:tc>
          <w:tcPr>
            <w:tcW w:type="dxa" w:w="3600"/>
            <w:vAlign w:val="top"/>
          </w:tcPr>
          <w:p>
            <w:r>
              <w:t>udp.spatial.max-geometry-points / max-area</w:t>
            </w:r>
          </w:p>
        </w:tc>
        <w:tc>
          <w:tcPr>
            <w:tcW w:type="dxa" w:w="3024"/>
            <w:vAlign w:val="top"/>
          </w:tcPr>
          <w:p>
            <w:r>
              <w:t>per capability profile</w:t>
            </w:r>
          </w:p>
        </w:tc>
        <w:tc>
          <w:tcPr>
            <w:tcW w:type="dxa" w:w="4320"/>
            <w:vAlign w:val="top"/>
          </w:tcPr>
          <w:p>
            <w:r>
              <w:t>Geometrie/poligoni patologici rifiutati prima del planner costoso</w:t>
            </w:r>
          </w:p>
        </w:tc>
      </w:tr>
      <w:tr>
        <w:tc>
          <w:tcPr>
            <w:tcW w:type="dxa" w:w="1584"/>
            <w:vAlign w:val="top"/>
          </w:tcPr>
          <w:p>
            <w:r>
              <w:t>Shutdown</w:t>
            </w:r>
          </w:p>
        </w:tc>
        <w:tc>
          <w:tcPr>
            <w:tcW w:type="dxa" w:w="3600"/>
            <w:vAlign w:val="top"/>
          </w:tcPr>
          <w:p>
            <w:r>
              <w:t>server.shutdown + termination grace</w:t>
            </w:r>
          </w:p>
        </w:tc>
        <w:tc>
          <w:tcPr>
            <w:tcW w:type="dxa" w:w="3024"/>
            <w:vAlign w:val="top"/>
          </w:tcPr>
          <w:p>
            <w:r>
              <w:t>graceful</w:t>
            </w:r>
          </w:p>
        </w:tc>
        <w:tc>
          <w:tcPr>
            <w:tcW w:type="dxa" w:w="4320"/>
            <w:vAlign w:val="top"/>
          </w:tcPr>
          <w:p>
            <w:r>
              <w:t>Stop nuove request/job claim; completa/cede lease secondo job semantics</w:t>
            </w:r>
          </w:p>
        </w:tc>
      </w:tr>
    </w:tbl>
    <w:p>
      <w:pPr>
        <w:pStyle w:val="ListBullet"/>
      </w:pPr>
      <w:r>
        <w:t>Il repository contiene config/application.yaml con placeholder sicuri e config/application-prod.yaml senza secret; i secret sono solo secretRef/secret manager.</w:t>
      </w:r>
    </w:p>
    <w:p>
      <w:pPr>
        <w:pStyle w:val="ListBullet"/>
      </w:pPr>
      <w:r>
        <w:t>Ogni property ha unità, range minimo/massimo, mutabilità (startup-only o reloadable) e owner operativo documentati in docs/runbook/configuration-reference.md.</w:t>
      </w:r>
    </w:p>
    <w:p>
      <w:pPr>
        <w:pStyle w:val="ListBullet"/>
      </w:pPr>
      <w:r>
        <w:t>Una property mancante o invalida che protegge sicurezza, durabilità o hard maxima produce startup failure; nessun default permissivo.</w:t>
      </w:r>
    </w:p>
    <w:p>
      <w:pPr>
        <w:pStyle w:val="Heading2"/>
      </w:pPr>
      <w:r>
        <w:t>109.4 Technology BOM e version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160"/>
            <w:shd w:fill="D9EAF7"/>
            <w:vAlign w:val="center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888"/>
            <w:shd w:fill="D9EAF7"/>
            <w:vAlign w:val="center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6480"/>
            <w:shd w:fill="D9EAF7"/>
            <w:vAlign w:val="center"/>
          </w:tcPr>
          <w:p>
            <w:r>
              <w:rPr>
                <w:b/>
              </w:rPr>
              <w:t>Regola di pinning</w:t>
            </w:r>
          </w:p>
        </w:tc>
      </w:tr>
      <w:tr>
        <w:tc>
          <w:tcPr>
            <w:tcW w:type="dxa" w:w="2160"/>
            <w:vAlign w:val="top"/>
          </w:tcPr>
          <w:p>
            <w:r>
              <w:t>Runtime</w:t>
            </w:r>
          </w:p>
        </w:tc>
        <w:tc>
          <w:tcPr>
            <w:tcW w:type="dxa" w:w="3888"/>
            <w:vAlign w:val="top"/>
          </w:tcPr>
          <w:p>
            <w:r>
              <w:t>Java 21 LTS; Spring Boot 3.x</w:t>
            </w:r>
          </w:p>
        </w:tc>
        <w:tc>
          <w:tcPr>
            <w:tcW w:type="dxa" w:w="6480"/>
            <w:vAlign w:val="top"/>
          </w:tcPr>
          <w:p>
            <w:r>
              <w:t>La release tagga la patch/minor effettiva nel build descriptor; upgrade solo con regression suite verde.</w:t>
            </w:r>
          </w:p>
        </w:tc>
      </w:tr>
      <w:tr>
        <w:tc>
          <w:tcPr>
            <w:tcW w:type="dxa" w:w="2160"/>
            <w:vAlign w:val="top"/>
          </w:tcPr>
          <w:p>
            <w:r>
              <w:t>Database</w:t>
            </w:r>
          </w:p>
        </w:tc>
        <w:tc>
          <w:tcPr>
            <w:tcW w:type="dxa" w:w="3888"/>
            <w:vAlign w:val="top"/>
          </w:tcPr>
          <w:p>
            <w:r>
              <w:t>PostgreSQL 17.x + PostGIS compatibile</w:t>
            </w:r>
          </w:p>
        </w:tc>
        <w:tc>
          <w:tcPr>
            <w:tcW w:type="dxa" w:w="6480"/>
            <w:vAlign w:val="top"/>
          </w:tcPr>
          <w:p>
            <w:r>
              <w:t>Versione server e extension validate in startup diagnostics e migration test.</w:t>
            </w:r>
          </w:p>
        </w:tc>
      </w:tr>
      <w:tr>
        <w:tc>
          <w:tcPr>
            <w:tcW w:type="dxa" w:w="2160"/>
            <w:vAlign w:val="top"/>
          </w:tcPr>
          <w:p>
            <w:r>
              <w:t>Migration</w:t>
            </w:r>
          </w:p>
        </w:tc>
        <w:tc>
          <w:tcPr>
            <w:tcW w:type="dxa" w:w="3888"/>
            <w:vAlign w:val="top"/>
          </w:tcPr>
          <w:p>
            <w:r>
              <w:t>Flyway</w:t>
            </w:r>
          </w:p>
        </w:tc>
        <w:tc>
          <w:tcPr>
            <w:tcW w:type="dxa" w:w="6480"/>
            <w:vAlign w:val="top"/>
          </w:tcPr>
          <w:p>
            <w:r>
              <w:t>Versione pinata nel build; clean install + upgrade path testati in CI.</w:t>
            </w:r>
          </w:p>
        </w:tc>
      </w:tr>
      <w:tr>
        <w:tc>
          <w:tcPr>
            <w:tcW w:type="dxa" w:w="2160"/>
            <w:vAlign w:val="top"/>
          </w:tcPr>
          <w:p>
            <w:r>
              <w:t>Object storage</w:t>
            </w:r>
          </w:p>
        </w:tc>
        <w:tc>
          <w:tcPr>
            <w:tcW w:type="dxa" w:w="3888"/>
            <w:vAlign w:val="top"/>
          </w:tcPr>
          <w:p>
            <w:r>
              <w:t>S3-compatible</w:t>
            </w:r>
          </w:p>
        </w:tc>
        <w:tc>
          <w:tcPr>
            <w:tcW w:type="dxa" w:w="6480"/>
            <w:vAlign w:val="top"/>
          </w:tcPr>
          <w:p>
            <w:r>
              <w:t>Il codice usa un adapter S3; provider/endpoint sono environment binding, non dipendenza vendor-specific.</w:t>
            </w:r>
          </w:p>
        </w:tc>
      </w:tr>
      <w:tr>
        <w:tc>
          <w:tcPr>
            <w:tcW w:type="dxa" w:w="2160"/>
            <w:vAlign w:val="top"/>
          </w:tcPr>
          <w:p>
            <w:r>
              <w:t>Serialization/schema</w:t>
            </w:r>
          </w:p>
        </w:tc>
        <w:tc>
          <w:tcPr>
            <w:tcW w:type="dxa" w:w="3888"/>
            <w:vAlign w:val="top"/>
          </w:tcPr>
          <w:p>
            <w:r>
              <w:t>Jackson / JSON Schema/OpenAPI toolchain compatibile con Spring baseline</w:t>
            </w:r>
          </w:p>
        </w:tc>
        <w:tc>
          <w:tcPr>
            <w:tcW w:type="dxa" w:w="6480"/>
            <w:vAlign w:val="top"/>
          </w:tcPr>
          <w:p>
            <w:r>
              <w:t>Versioni effettive governate da dependency management e SBOM della release.</w:t>
            </w:r>
          </w:p>
        </w:tc>
      </w:tr>
      <w:tr>
        <w:tc>
          <w:tcPr>
            <w:tcW w:type="dxa" w:w="2160"/>
            <w:vAlign w:val="top"/>
          </w:tcPr>
          <w:p>
            <w:r>
              <w:t>Observability</w:t>
            </w:r>
          </w:p>
        </w:tc>
        <w:tc>
          <w:tcPr>
            <w:tcW w:type="dxa" w:w="3888"/>
            <w:vAlign w:val="top"/>
          </w:tcPr>
          <w:p>
            <w:r>
              <w:t>Micrometer/OpenTelemetry platform integration</w:t>
            </w:r>
          </w:p>
        </w:tc>
        <w:tc>
          <w:tcPr>
            <w:tcW w:type="dxa" w:w="6480"/>
            <w:vAlign w:val="top"/>
          </w:tcPr>
          <w:p>
            <w:r>
              <w:t>Nessun exporter proprietario hard-coded nel dominio.</w:t>
            </w:r>
          </w:p>
        </w:tc>
      </w:tr>
    </w:tbl>
    <w:p>
      <w:r>
        <w:rPr>
          <w:b/>
        </w:rPr>
        <w:t xml:space="preserve">BOM autoritativa. </w:t>
      </w:r>
      <w:r>
        <w:t>Il PET definisce famiglie e major compatibili; la BOM esatta di compilazione è il build descriptor versionato nel repository e l’SBOM generata in CI. Una release non è accettabile se usa dipendenze floating/non riproducibili o se l’SBOM non corrisponde all’immagine OCI consegnata.</w:t>
      </w:r>
    </w:p>
    <w:p>
      <w:pPr>
        <w:pStyle w:val="Heading2"/>
      </w:pPr>
      <w:r>
        <w:t>109.5 NetworkPolicy, trust e input hardening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168"/>
            <w:shd w:fill="D9EAF7"/>
            <w:vAlign w:val="center"/>
          </w:tcPr>
          <w:p>
            <w:r>
              <w:rPr>
                <w:b/>
              </w:rPr>
              <w:t>Flusso</w:t>
            </w:r>
          </w:p>
        </w:tc>
        <w:tc>
          <w:tcPr>
            <w:tcW w:type="dxa" w:w="2160"/>
            <w:shd w:fill="D9EAF7"/>
            <w:vAlign w:val="center"/>
          </w:tcPr>
          <w:p>
            <w:r>
              <w:rPr>
                <w:b/>
              </w:rPr>
              <w:t>Permesso</w:t>
            </w:r>
          </w:p>
        </w:tc>
        <w:tc>
          <w:tcPr>
            <w:tcW w:type="dxa" w:w="6912"/>
            <w:shd w:fill="D9EAF7"/>
            <w:vAlign w:val="center"/>
          </w:tcPr>
          <w:p>
            <w:r>
              <w:rPr>
                <w:b/>
              </w:rPr>
              <w:t>Regola</w:t>
            </w:r>
          </w:p>
        </w:tc>
      </w:tr>
      <w:tr>
        <w:tc>
          <w:tcPr>
            <w:tcW w:type="dxa" w:w="3168"/>
            <w:vAlign w:val="top"/>
          </w:tcPr>
          <w:p>
            <w:r>
              <w:t>Gateway -&gt; udp-api</w:t>
            </w:r>
          </w:p>
        </w:tc>
        <w:tc>
          <w:tcPr>
            <w:tcW w:type="dxa" w:w="2160"/>
            <w:vAlign w:val="top"/>
          </w:tcPr>
          <w:p>
            <w:r>
              <w:t>Sì</w:t>
            </w:r>
          </w:p>
        </w:tc>
        <w:tc>
          <w:tcPr>
            <w:tcW w:type="dxa" w:w="6912"/>
            <w:vAlign w:val="top"/>
          </w:tcPr>
          <w:p>
            <w:r>
              <w:t>Solo service/namespace/port approvati; principal e correlation context validati.</w:t>
            </w:r>
          </w:p>
        </w:tc>
      </w:tr>
      <w:tr>
        <w:tc>
          <w:tcPr>
            <w:tcW w:type="dxa" w:w="3168"/>
            <w:vAlign w:val="top"/>
          </w:tcPr>
          <w:p>
            <w:r>
              <w:t>Ingestion -&gt; udp-materializer/intake</w:t>
            </w:r>
          </w:p>
        </w:tc>
        <w:tc>
          <w:tcPr>
            <w:tcW w:type="dxa" w:w="2160"/>
            <w:vAlign w:val="top"/>
          </w:tcPr>
          <w:p>
            <w:r>
              <w:t>Sì, tramite binding governato</w:t>
            </w:r>
          </w:p>
        </w:tc>
        <w:tc>
          <w:tcPr>
            <w:tcW w:type="dxa" w:w="6912"/>
            <w:vAlign w:val="top"/>
          </w:tcPr>
          <w:p>
            <w:r>
              <w:t>Nessun egress/ingress laterale non registrato.</w:t>
            </w:r>
          </w:p>
        </w:tc>
      </w:tr>
      <w:tr>
        <w:tc>
          <w:tcPr>
            <w:tcW w:type="dxa" w:w="3168"/>
            <w:vAlign w:val="top"/>
          </w:tcPr>
          <w:p>
            <w:r>
              <w:t>udp-* -&gt; PostgreSQL/PostGIS</w:t>
            </w:r>
          </w:p>
        </w:tc>
        <w:tc>
          <w:tcPr>
            <w:tcW w:type="dxa" w:w="2160"/>
            <w:vAlign w:val="top"/>
          </w:tcPr>
          <w:p>
            <w:r>
              <w:t>Sì</w:t>
            </w:r>
          </w:p>
        </w:tc>
        <w:tc>
          <w:tcPr>
            <w:tcW w:type="dxa" w:w="6912"/>
            <w:vAlign w:val="top"/>
          </w:tcPr>
          <w:p>
            <w:r>
              <w:t>DB role distinto per runtime/migration; TLS secondo piattaforma.</w:t>
            </w:r>
          </w:p>
        </w:tc>
      </w:tr>
      <w:tr>
        <w:tc>
          <w:tcPr>
            <w:tcW w:type="dxa" w:w="3168"/>
            <w:vAlign w:val="top"/>
          </w:tcPr>
          <w:p>
            <w:r>
              <w:t>udp-* -&gt; S3-compatible storage</w:t>
            </w:r>
          </w:p>
        </w:tc>
        <w:tc>
          <w:tcPr>
            <w:tcW w:type="dxa" w:w="2160"/>
            <w:vAlign w:val="top"/>
          </w:tcPr>
          <w:p>
            <w:r>
              <w:t>Sì</w:t>
            </w:r>
          </w:p>
        </w:tc>
        <w:tc>
          <w:tcPr>
            <w:tcW w:type="dxa" w:w="6912"/>
            <w:vAlign w:val="top"/>
          </w:tcPr>
          <w:p>
            <w:r>
              <w:t>Endpoint allowlistato; credential da secret manager/workload identity.</w:t>
            </w:r>
          </w:p>
        </w:tc>
      </w:tr>
      <w:tr>
        <w:tc>
          <w:tcPr>
            <w:tcW w:type="dxa" w:w="3168"/>
            <w:vAlign w:val="top"/>
          </w:tcPr>
          <w:p>
            <w:r>
              <w:t>udp-* -&gt; IAM/Auth/Semantic/Onboarding</w:t>
            </w:r>
          </w:p>
        </w:tc>
        <w:tc>
          <w:tcPr>
            <w:tcW w:type="dxa" w:w="2160"/>
            <w:vAlign w:val="top"/>
          </w:tcPr>
          <w:p>
            <w:r>
              <w:t>Solo tramite contratti previsti</w:t>
            </w:r>
          </w:p>
        </w:tc>
        <w:tc>
          <w:tcPr>
            <w:tcW w:type="dxa" w:w="6912"/>
            <w:vAlign w:val="top"/>
          </w:tcPr>
          <w:p>
            <w:r>
              <w:t>Timeout/bulkhead; nessuna trusted-network shortcut.</w:t>
            </w:r>
          </w:p>
        </w:tc>
      </w:tr>
      <w:tr>
        <w:tc>
          <w:tcPr>
            <w:tcW w:type="dxa" w:w="3168"/>
            <w:vAlign w:val="top"/>
          </w:tcPr>
          <w:p>
            <w:r>
              <w:t>Browser/MCP client -&gt; DB/object storage</w:t>
            </w:r>
          </w:p>
        </w:tc>
        <w:tc>
          <w:tcPr>
            <w:tcW w:type="dxa" w:w="2160"/>
            <w:vAlign w:val="top"/>
          </w:tcPr>
          <w:p>
            <w:r>
              <w:t>No</w:t>
            </w:r>
          </w:p>
        </w:tc>
        <w:tc>
          <w:tcPr>
            <w:tcW w:type="dxa" w:w="6912"/>
            <w:vAlign w:val="top"/>
          </w:tcPr>
          <w:p>
            <w:r>
              <w:t>Sempre via Gateway + capability/service layer.</w:t>
            </w:r>
          </w:p>
        </w:tc>
      </w:tr>
      <w:tr>
        <w:tc>
          <w:tcPr>
            <w:tcW w:type="dxa" w:w="3168"/>
            <w:vAlign w:val="top"/>
          </w:tcPr>
          <w:p>
            <w:r>
              <w:t>Internet generico</w:t>
            </w:r>
          </w:p>
        </w:tc>
        <w:tc>
          <w:tcPr>
            <w:tcW w:type="dxa" w:w="2160"/>
            <w:vAlign w:val="top"/>
          </w:tcPr>
          <w:p>
            <w:r>
              <w:t>No</w:t>
            </w:r>
          </w:p>
        </w:tc>
        <w:tc>
          <w:tcPr>
            <w:tcW w:type="dxa" w:w="6912"/>
            <w:vAlign w:val="top"/>
          </w:tcPr>
          <w:p>
            <w:r>
              <w:t>La UDP non effettua crawling/fetch arbitrario.</w:t>
            </w:r>
          </w:p>
        </w:tc>
      </w:tr>
    </w:tbl>
    <w:p>
      <w:pPr>
        <w:pStyle w:val="ListBullet"/>
      </w:pPr>
      <w:r>
        <w:t>DTO e filtri accettano esclusivamente operatori whitelistati dal contratto; nessun SQL, JPQL, Cypher, SPARQL, regex general-purpose o expression language proveniente dal consumer.</w:t>
      </w:r>
    </w:p>
    <w:p>
      <w:pPr>
        <w:pStyle w:val="ListBullet"/>
      </w:pPr>
      <w:r>
        <w:t>Geometry input è validato per CRS ammessi, dimensione, cardinalità dei punti, bounding box/area e validità topologica prima di operazioni costose.</w:t>
      </w:r>
    </w:p>
    <w:p>
      <w:pPr>
        <w:pStyle w:val="ListBullet"/>
      </w:pPr>
      <w:r>
        <w:t>Payload compressi/importati sono soggetti a size limit prima e dopo decompressione quando applicabile; checksum/hash mismatch produce errore non retryable salvo nuova evidenza.</w:t>
      </w:r>
    </w:p>
    <w:p>
      <w:pPr>
        <w:pStyle w:val="ListBullet"/>
      </w:pPr>
      <w:r>
        <w:t>Log e error response non includono secret, token, stringhe di connessione, query fisiche, explain plan sensibili o payload PII non autorizzati.</w:t>
      </w:r>
    </w:p>
    <w:p>
      <w:pPr>
        <w:pStyle w:val="Heading2"/>
      </w:pPr>
      <w:r>
        <w:t>109.6 Worker lifecycle, pause/resume e recovery semantics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304"/>
            <w:shd w:fill="D9EAF7"/>
            <w:vAlign w:val="center"/>
          </w:tcPr>
          <w:p>
            <w:r>
              <w:rPr>
                <w:b/>
              </w:rPr>
              <w:t>Workload</w:t>
            </w:r>
          </w:p>
        </w:tc>
        <w:tc>
          <w:tcPr>
            <w:tcW w:type="dxa" w:w="4320"/>
            <w:shd w:fill="D9EAF7"/>
            <w:vAlign w:val="center"/>
          </w:tcPr>
          <w:p>
            <w:r>
              <w:rPr>
                <w:b/>
              </w:rPr>
              <w:t>Pause/Resume</w:t>
            </w:r>
          </w:p>
        </w:tc>
        <w:tc>
          <w:tcPr>
            <w:tcW w:type="dxa" w:w="3744"/>
            <w:shd w:fill="D9EAF7"/>
            <w:vAlign w:val="center"/>
          </w:tcPr>
          <w:p>
            <w:r>
              <w:rPr>
                <w:b/>
              </w:rPr>
              <w:t>Abort</w:t>
            </w:r>
          </w:p>
        </w:tc>
        <w:tc>
          <w:tcPr>
            <w:tcW w:type="dxa" w:w="3744"/>
            <w:shd w:fill="D9EAF7"/>
            <w:vAlign w:val="center"/>
          </w:tcPr>
          <w:p>
            <w:r>
              <w:rPr>
                <w:b/>
              </w:rPr>
              <w:t>Recovery</w:t>
            </w:r>
          </w:p>
        </w:tc>
      </w:tr>
      <w:tr>
        <w:tc>
          <w:tcPr>
            <w:tcW w:type="dxa" w:w="2304"/>
            <w:vAlign w:val="top"/>
          </w:tcPr>
          <w:p>
            <w:r>
              <w:t>Materialization intake</w:t>
            </w:r>
          </w:p>
        </w:tc>
        <w:tc>
          <w:tcPr>
            <w:tcW w:type="dxa" w:w="4320"/>
            <w:vAlign w:val="top"/>
          </w:tcPr>
          <w:p>
            <w:r>
              <w:t>Non espone pause ad-hoc per singola request; backpressure/admission agiscono sul claim.</w:t>
            </w:r>
          </w:p>
        </w:tc>
        <w:tc>
          <w:tcPr>
            <w:tcW w:type="dxa" w:w="3744"/>
            <w:vAlign w:val="top"/>
          </w:tcPr>
          <w:p>
            <w:r>
              <w:t>Abort solo prima del commit logico; dopo commit si usa compensazione/rebuild governato.</w:t>
            </w:r>
          </w:p>
        </w:tc>
        <w:tc>
          <w:tcPr>
            <w:tcW w:type="dxa" w:w="3744"/>
            <w:vAlign w:val="top"/>
          </w:tcPr>
          <w:p>
            <w:r>
              <w:t>Idempotency key + durable input + ACK ripetibile.</w:t>
            </w:r>
          </w:p>
        </w:tc>
      </w:tr>
      <w:tr>
        <w:tc>
          <w:tcPr>
            <w:tcW w:type="dxa" w:w="2304"/>
            <w:vAlign w:val="top"/>
          </w:tcPr>
          <w:p>
            <w:r>
              <w:t>Object resolution worker</w:t>
            </w:r>
          </w:p>
        </w:tc>
        <w:tc>
          <w:tcPr>
            <w:tcW w:type="dxa" w:w="4320"/>
            <w:vAlign w:val="top"/>
          </w:tcPr>
          <w:p>
            <w:r>
              <w:t>Può sospendere nuovi claim per maintenance; job già claimed conclude o cede lease in modo sicuro.</w:t>
            </w:r>
          </w:p>
        </w:tc>
        <w:tc>
          <w:tcPr>
            <w:tcW w:type="dxa" w:w="3744"/>
            <w:vAlign w:val="top"/>
          </w:tcPr>
          <w:p>
            <w:r>
              <w:t>Abort amministrativo solo se nessun side effect autoritativo è stato committato.</w:t>
            </w:r>
          </w:p>
        </w:tc>
        <w:tc>
          <w:tcPr>
            <w:tcW w:type="dxa" w:w="3744"/>
            <w:vAlign w:val="top"/>
          </w:tcPr>
          <w:p>
            <w:r>
              <w:t>Lease expiry + deterministic re-evaluation.</w:t>
            </w:r>
          </w:p>
        </w:tc>
      </w:tr>
      <w:tr>
        <w:tc>
          <w:tcPr>
            <w:tcW w:type="dxa" w:w="2304"/>
            <w:vAlign w:val="top"/>
          </w:tcPr>
          <w:p>
            <w:r>
              <w:t>Rebuild / replay</w:t>
            </w:r>
          </w:p>
        </w:tc>
        <w:tc>
          <w:tcPr>
            <w:tcW w:type="dxa" w:w="4320"/>
            <w:vAlign w:val="top"/>
          </w:tcPr>
          <w:p>
            <w:r>
              <w:t>PAUSED è stato operativo supportato tra checkpoint coerenti.</w:t>
            </w:r>
          </w:p>
        </w:tc>
        <w:tc>
          <w:tcPr>
            <w:tcW w:type="dxa" w:w="3744"/>
            <w:vAlign w:val="top"/>
          </w:tcPr>
          <w:p>
            <w:r>
              <w:t>ABORTED conserva plan/evidence e non effettua cut-over.</w:t>
            </w:r>
          </w:p>
        </w:tc>
        <w:tc>
          <w:tcPr>
            <w:tcW w:type="dxa" w:w="3744"/>
            <w:vAlign w:val="top"/>
          </w:tcPr>
          <w:p>
            <w:r>
              <w:t>Resume dal checkpoint; shadow materialization prima del cut-over.</w:t>
            </w:r>
          </w:p>
        </w:tc>
      </w:tr>
      <w:tr>
        <w:tc>
          <w:tcPr>
            <w:tcW w:type="dxa" w:w="2304"/>
            <w:vAlign w:val="top"/>
          </w:tcPr>
          <w:p>
            <w:r>
              <w:t>Export async</w:t>
            </w:r>
          </w:p>
        </w:tc>
        <w:tc>
          <w:tcPr>
            <w:tcW w:type="dxa" w:w="4320"/>
            <w:vAlign w:val="top"/>
          </w:tcPr>
          <w:p>
            <w:r>
              <w:t>Può essere cancellato prima della publication del result artifact.</w:t>
            </w:r>
          </w:p>
        </w:tc>
        <w:tc>
          <w:tcPr>
            <w:tcW w:type="dxa" w:w="3744"/>
            <w:vAlign w:val="top"/>
          </w:tcPr>
          <w:p>
            <w:r>
              <w:t>Abort elimina/expira artefatti temporanei secondo retention.</w:t>
            </w:r>
          </w:p>
        </w:tc>
        <w:tc>
          <w:tcPr>
            <w:tcW w:type="dxa" w:w="3744"/>
            <w:vAlign w:val="top"/>
          </w:tcPr>
          <w:p>
            <w:r>
              <w:t>Retry bounded; resultRef idempotente per stessa richiesta quando previsto.</w:t>
            </w:r>
          </w:p>
        </w:tc>
      </w:tr>
      <w:tr>
        <w:tc>
          <w:tcPr>
            <w:tcW w:type="dxa" w:w="2304"/>
            <w:vAlign w:val="top"/>
          </w:tcPr>
          <w:p>
            <w:r>
              <w:t>Maintenance</w:t>
            </w:r>
          </w:p>
        </w:tc>
        <w:tc>
          <w:tcPr>
            <w:tcW w:type="dxa" w:w="4320"/>
            <w:vAlign w:val="top"/>
          </w:tcPr>
          <w:p>
            <w:r>
              <w:t>Scheduler può essere sospeso per change window.</w:t>
            </w:r>
          </w:p>
        </w:tc>
        <w:tc>
          <w:tcPr>
            <w:tcW w:type="dxa" w:w="3744"/>
            <w:vAlign w:val="top"/>
          </w:tcPr>
          <w:p>
            <w:r>
              <w:t>Task non idempotenti richiedono guard e state/version precondition.</w:t>
            </w:r>
          </w:p>
        </w:tc>
        <w:tc>
          <w:tcPr>
            <w:tcW w:type="dxa" w:w="3744"/>
            <w:vAlign w:val="top"/>
          </w:tcPr>
          <w:p>
            <w:r>
              <w:t>Re-run solo da evidence/lock state verificato.</w:t>
            </w:r>
          </w:p>
        </w:tc>
      </w:tr>
    </w:tbl>
    <w:p>
      <w:pPr>
        <w:pStyle w:val="Heading2"/>
      </w:pPr>
      <w:r>
        <w:t>109.7 Cross-module startup e reference-integrity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016"/>
            <w:shd w:fill="D9EAF7"/>
            <w:vAlign w:val="center"/>
          </w:tcPr>
          <w:p>
            <w:r>
              <w:rPr>
                <w:b/>
              </w:rPr>
              <w:t>Gate</w:t>
            </w:r>
          </w:p>
        </w:tc>
        <w:tc>
          <w:tcPr>
            <w:tcW w:type="dxa" w:w="2160"/>
            <w:shd w:fill="D9EAF7"/>
            <w:vAlign w:val="center"/>
          </w:tcPr>
          <w:p>
            <w:r>
              <w:rPr>
                <w:b/>
              </w:rPr>
              <w:t>Quando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Verifica</w:t>
            </w:r>
          </w:p>
        </w:tc>
        <w:tc>
          <w:tcPr>
            <w:tcW w:type="dxa" w:w="3888"/>
            <w:shd w:fill="D9EAF7"/>
            <w:vAlign w:val="center"/>
          </w:tcPr>
          <w:p>
            <w:r>
              <w:rPr>
                <w:b/>
              </w:rPr>
              <w:t>Effetto failure</w:t>
            </w:r>
          </w:p>
        </w:tc>
      </w:tr>
      <w:tr>
        <w:tc>
          <w:tcPr>
            <w:tcW w:type="dxa" w:w="2016"/>
            <w:vAlign w:val="top"/>
          </w:tcPr>
          <w:p>
            <w:r>
              <w:t>LOCAL-READY</w:t>
            </w:r>
          </w:p>
        </w:tc>
        <w:tc>
          <w:tcPr>
            <w:tcW w:type="dxa" w:w="2160"/>
            <w:vAlign w:val="top"/>
          </w:tcPr>
          <w:p>
            <w:r>
              <w:t>Kubernetes readiness</w:t>
            </w:r>
          </w:p>
        </w:tc>
        <w:tc>
          <w:tcPr>
            <w:tcW w:type="dxa" w:w="5040"/>
            <w:vAlign w:val="top"/>
          </w:tcPr>
          <w:p>
            <w:r>
              <w:t>DB raggiungibile, schema Flyway compatibile, config locale valida, object-storage adapter inizializzato.</w:t>
            </w:r>
          </w:p>
        </w:tc>
        <w:tc>
          <w:tcPr>
            <w:tcW w:type="dxa" w:w="3888"/>
            <w:vAlign w:val="top"/>
          </w:tcPr>
          <w:p>
            <w:r>
              <w:t>Pod non READY.</w:t>
            </w:r>
          </w:p>
        </w:tc>
      </w:tr>
      <w:tr>
        <w:tc>
          <w:tcPr>
            <w:tcW w:type="dxa" w:w="2016"/>
            <w:vAlign w:val="top"/>
          </w:tcPr>
          <w:p>
            <w:r>
              <w:t>CONTRACT-READY</w:t>
            </w:r>
          </w:p>
        </w:tc>
        <w:tc>
          <w:tcPr>
            <w:tcW w:type="dxa" w:w="2160"/>
            <w:vAlign w:val="top"/>
          </w:tcPr>
          <w:p>
            <w:r>
              <w:t>startup + release verification</w:t>
            </w:r>
          </w:p>
        </w:tc>
        <w:tc>
          <w:tcPr>
            <w:tcW w:type="dxa" w:w="5040"/>
            <w:vAlign w:val="top"/>
          </w:tcPr>
          <w:p>
            <w:r>
              <w:t>OpenAPI/schema/capability manifest interni coerenti; accepted Handoff contract versions note.</w:t>
            </w:r>
          </w:p>
        </w:tc>
        <w:tc>
          <w:tcPr>
            <w:tcW w:type="dxa" w:w="3888"/>
            <w:vAlign w:val="top"/>
          </w:tcPr>
          <w:p>
            <w:r>
              <w:t>Startup/release bloccata se incompatibilità locale.</w:t>
            </w:r>
          </w:p>
        </w:tc>
      </w:tr>
      <w:tr>
        <w:tc>
          <w:tcPr>
            <w:tcW w:type="dxa" w:w="2016"/>
            <w:vAlign w:val="top"/>
          </w:tcPr>
          <w:p>
            <w:r>
              <w:t>REFERENCE-INTEGRITY</w:t>
            </w:r>
          </w:p>
        </w:tc>
        <w:tc>
          <w:tcPr>
            <w:tcW w:type="dxa" w:w="2160"/>
            <w:vAlign w:val="top"/>
          </w:tcPr>
          <w:p>
            <w:r>
              <w:t>prima di materialization/replay/rebuild</w:t>
            </w:r>
          </w:p>
        </w:tc>
        <w:tc>
          <w:tcPr>
            <w:tcW w:type="dxa" w:w="5040"/>
            <w:vAlign w:val="top"/>
          </w:tcPr>
          <w:p>
            <w:r>
              <w:t>BundleVersion, schemaRef, SemanticPublicationSet e required policy/capability refs sono risolvibili e hash/version coerenti.</w:t>
            </w:r>
          </w:p>
        </w:tc>
        <w:tc>
          <w:tcPr>
            <w:tcW w:type="dxa" w:w="3888"/>
            <w:vAlign w:val="top"/>
          </w:tcPr>
          <w:p>
            <w:r>
              <w:t>Job PAUSED/QUARANTINED; nessun silent fallback.</w:t>
            </w:r>
          </w:p>
        </w:tc>
      </w:tr>
      <w:tr>
        <w:tc>
          <w:tcPr>
            <w:tcW w:type="dxa" w:w="2016"/>
            <w:vAlign w:val="top"/>
          </w:tcPr>
          <w:p>
            <w:r>
              <w:t>AUTHZ-READY</w:t>
            </w:r>
          </w:p>
        </w:tc>
        <w:tc>
          <w:tcPr>
            <w:tcW w:type="dxa" w:w="2160"/>
            <w:vAlign w:val="top"/>
          </w:tcPr>
          <w:p>
            <w:r>
              <w:t>prima di capability protetta</w:t>
            </w:r>
          </w:p>
        </w:tc>
        <w:tc>
          <w:tcPr>
            <w:tcW w:type="dxa" w:w="5040"/>
            <w:vAlign w:val="top"/>
          </w:tcPr>
          <w:p>
            <w:r>
              <w:t>Authorization bundle/version supporta capabilityId e principal context.</w:t>
            </w:r>
          </w:p>
        </w:tc>
        <w:tc>
          <w:tcPr>
            <w:tcW w:type="dxa" w:w="3888"/>
            <w:vAlign w:val="top"/>
          </w:tcPr>
          <w:p>
            <w:r>
              <w:t>Fail closed; capability deny/unavailable.</w:t>
            </w:r>
          </w:p>
        </w:tc>
      </w:tr>
      <w:tr>
        <w:tc>
          <w:tcPr>
            <w:tcW w:type="dxa" w:w="2016"/>
            <w:vAlign w:val="top"/>
          </w:tcPr>
          <w:p>
            <w:r>
              <w:t>GATEWAY-BINDING</w:t>
            </w:r>
          </w:p>
        </w:tc>
        <w:tc>
          <w:tcPr>
            <w:tcW w:type="dxa" w:w="2160"/>
            <w:vAlign w:val="top"/>
          </w:tcPr>
          <w:p>
            <w:r>
              <w:t>publication/deploy acceptance</w:t>
            </w:r>
          </w:p>
        </w:tc>
        <w:tc>
          <w:tcPr>
            <w:tcW w:type="dxa" w:w="5040"/>
            <w:vAlign w:val="top"/>
          </w:tcPr>
          <w:p>
            <w:r>
              <w:t>Ogni capability consumer-facing possiede binding logico governato e route attiva nel profilo ambiente.</w:t>
            </w:r>
          </w:p>
        </w:tc>
        <w:tc>
          <w:tcPr>
            <w:tcW w:type="dxa" w:w="3888"/>
            <w:vAlign w:val="top"/>
          </w:tcPr>
          <w:p>
            <w:r>
              <w:t>Capability non pubblicata; backend può restare healthy.</w:t>
            </w:r>
          </w:p>
        </w:tc>
      </w:tr>
      <w:tr>
        <w:tc>
          <w:tcPr>
            <w:tcW w:type="dxa" w:w="2016"/>
            <w:vAlign w:val="top"/>
          </w:tcPr>
          <w:p>
            <w:r>
              <w:t>DEPENDENCY-DIAGNOSTIC</w:t>
            </w:r>
          </w:p>
        </w:tc>
        <w:tc>
          <w:tcPr>
            <w:tcW w:type="dxa" w:w="2160"/>
            <w:vAlign w:val="top"/>
          </w:tcPr>
          <w:p>
            <w:r>
              <w:t>monitoring</w:t>
            </w:r>
          </w:p>
        </w:tc>
        <w:tc>
          <w:tcPr>
            <w:tcW w:type="dxa" w:w="5040"/>
            <w:vAlign w:val="top"/>
          </w:tcPr>
          <w:p>
            <w:r>
              <w:t>Stato IAM/Auth/Gateway/Semantic/Onboarding e storage esterni.</w:t>
            </w:r>
          </w:p>
        </w:tc>
        <w:tc>
          <w:tcPr>
            <w:tcW w:type="dxa" w:w="3888"/>
            <w:vAlign w:val="top"/>
          </w:tcPr>
          <w:p>
            <w:r>
              <w:t>Non rende il Pod globalmente non-ready se una dipendenza non necessaria al current path è temporaneamente down; degrado esplicito per capability interessate.</w:t>
            </w:r>
          </w:p>
        </w:tc>
      </w:tr>
    </w:tbl>
    <w:p>
      <w:r>
        <w:rPr>
          <w:b/>
        </w:rPr>
        <w:t xml:space="preserve">Invariante. </w:t>
      </w:r>
      <w:r>
        <w:t>La readiness Kubernetes misura la capacità locale di servire traffico in sicurezza; non viene trasformata in un ping sincrono a tutte le dipendenze. La risolvibilità dei riferimenti storici è invece verificata nel punto d’uso e blocca materialization/replay quando manca una dipendenza autoritativa.</w:t>
      </w:r>
    </w:p>
    <w:p>
      <w:pPr>
        <w:pStyle w:val="Heading2"/>
      </w:pPr>
      <w:r>
        <w:t>109.8 Observability catalog, SLO profile e capacity fixture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016"/>
            <w:shd w:fill="D9EAF7"/>
            <w:vAlign w:val="cente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6336"/>
            <w:shd w:fill="D9EAF7"/>
            <w:vAlign w:val="center"/>
          </w:tcPr>
          <w:p>
            <w:r>
              <w:rPr>
                <w:b/>
              </w:rPr>
              <w:t>Metriche/evidence minime</w:t>
            </w:r>
          </w:p>
        </w:tc>
        <w:tc>
          <w:tcPr>
            <w:tcW w:type="dxa" w:w="4608"/>
            <w:shd w:fill="D9EAF7"/>
            <w:vAlign w:val="center"/>
          </w:tcPr>
          <w:p>
            <w:r>
              <w:rPr>
                <w:b/>
              </w:rPr>
              <w:t>Acceptance</w:t>
            </w:r>
          </w:p>
        </w:tc>
      </w:tr>
      <w:tr>
        <w:tc>
          <w:tcPr>
            <w:tcW w:type="dxa" w:w="2016"/>
            <w:vAlign w:val="top"/>
          </w:tcPr>
          <w:p>
            <w:r>
              <w:t>Serving</w:t>
            </w:r>
          </w:p>
        </w:tc>
        <w:tc>
          <w:tcPr>
            <w:tcW w:type="dxa" w:w="6336"/>
            <w:vAlign w:val="top"/>
          </w:tcPr>
          <w:p>
            <w:r>
              <w:t>RPS, p50/p95/p99, 4xx/5xx, result rows/bytes, capabilityId</w:t>
            </w:r>
          </w:p>
        </w:tc>
        <w:tc>
          <w:tcPr>
            <w:tcW w:type="dxa" w:w="4608"/>
            <w:vAlign w:val="top"/>
          </w:tcPr>
          <w:p>
            <w:r>
              <w:t>Fixture current/search rappresentativa; nessun SLO basato su dataset vuoto.</w:t>
            </w:r>
          </w:p>
        </w:tc>
      </w:tr>
      <w:tr>
        <w:tc>
          <w:tcPr>
            <w:tcW w:type="dxa" w:w="2016"/>
            <w:vAlign w:val="top"/>
          </w:tcPr>
          <w:p>
            <w:r>
              <w:t>Graph</w:t>
            </w:r>
          </w:p>
        </w:tc>
        <w:tc>
          <w:tcPr>
            <w:tcW w:type="dxa" w:w="6336"/>
            <w:vAlign w:val="top"/>
          </w:tcPr>
          <w:p>
            <w:r>
              <w:t>nodesObserved, edgesObserved, depth, budget denied, planner class</w:t>
            </w:r>
          </w:p>
        </w:tc>
        <w:tc>
          <w:tcPr>
            <w:tcW w:type="dxa" w:w="4608"/>
            <w:vAlign w:val="top"/>
          </w:tcPr>
          <w:p>
            <w:r>
              <w:t>Test 1-hop, bounded traverse e cross-domain related search.</w:t>
            </w:r>
          </w:p>
        </w:tc>
      </w:tr>
      <w:tr>
        <w:tc>
          <w:tcPr>
            <w:tcW w:type="dxa" w:w="2016"/>
            <w:vAlign w:val="top"/>
          </w:tcPr>
          <w:p>
            <w:r>
              <w:t>Spatial</w:t>
            </w:r>
          </w:p>
        </w:tc>
        <w:tc>
          <w:tcPr>
            <w:tcW w:type="dxa" w:w="6336"/>
            <w:vAlign w:val="top"/>
          </w:tcPr>
          <w:p>
            <w:r>
              <w:t>geometry count/points, area/radius class, PostGIS latency, rows scanned/returned</w:t>
            </w:r>
          </w:p>
        </w:tc>
        <w:tc>
          <w:tcPr>
            <w:tcW w:type="dxa" w:w="4608"/>
            <w:vAlign w:val="top"/>
          </w:tcPr>
          <w:p>
            <w:r>
              <w:t>Fixture con geometrie realistiche e casi worst-allowed.</w:t>
            </w:r>
          </w:p>
        </w:tc>
      </w:tr>
      <w:tr>
        <w:tc>
          <w:tcPr>
            <w:tcW w:type="dxa" w:w="2016"/>
            <w:vAlign w:val="top"/>
          </w:tcPr>
          <w:p>
            <w:r>
              <w:t>Materialization</w:t>
            </w:r>
          </w:p>
        </w:tc>
        <w:tc>
          <w:tcPr>
            <w:tcW w:type="dxa" w:w="6336"/>
            <w:vAlign w:val="top"/>
          </w:tcPr>
          <w:p>
            <w:r>
              <w:t>handoff accepted/duplicate, ACK latency, object-store latency, revision writes, retry/quarantine</w:t>
            </w:r>
          </w:p>
        </w:tc>
        <w:tc>
          <w:tcPr>
            <w:tcW w:type="dxa" w:w="4608"/>
            <w:vAlign w:val="top"/>
          </w:tcPr>
          <w:p>
            <w:r>
              <w:t>Fault injection su DB/storage/ACK loss.</w:t>
            </w:r>
          </w:p>
        </w:tc>
      </w:tr>
      <w:tr>
        <w:tc>
          <w:tcPr>
            <w:tcW w:type="dxa" w:w="2016"/>
            <w:vAlign w:val="top"/>
          </w:tcPr>
          <w:p>
            <w:r>
              <w:t>Governor</w:t>
            </w:r>
          </w:p>
        </w:tc>
        <w:tc>
          <w:tcPr>
            <w:tcW w:type="dxa" w:w="6336"/>
            <w:vAlign w:val="top"/>
          </w:tcPr>
          <w:p>
            <w:r>
              <w:t>budget consume latency, contention, denied, pool utilization, expired-row cleanup</w:t>
            </w:r>
          </w:p>
        </w:tc>
        <w:tc>
          <w:tcPr>
            <w:tcW w:type="dxa" w:w="4608"/>
            <w:vAlign w:val="top"/>
          </w:tcPr>
          <w:p>
            <w:r>
              <w:t>Multi-Pod contention e restart test.</w:t>
            </w:r>
          </w:p>
        </w:tc>
      </w:tr>
      <w:tr>
        <w:tc>
          <w:tcPr>
            <w:tcW w:type="dxa" w:w="2016"/>
            <w:vAlign w:val="top"/>
          </w:tcPr>
          <w:p>
            <w:r>
              <w:t>Workers</w:t>
            </w:r>
          </w:p>
        </w:tc>
        <w:tc>
          <w:tcPr>
            <w:tcW w:type="dxa" w:w="6336"/>
            <w:vAlign w:val="top"/>
          </w:tcPr>
          <w:p>
            <w:r>
              <w:t>queue depth, claimed/running, lease expiry, attempts, age oldest job</w:t>
            </w:r>
          </w:p>
        </w:tc>
        <w:tc>
          <w:tcPr>
            <w:tcW w:type="dxa" w:w="4608"/>
            <w:vAlign w:val="top"/>
          </w:tcPr>
          <w:p>
            <w:r>
              <w:t>Backlog/recovery window e graceful shutdown test.</w:t>
            </w:r>
          </w:p>
        </w:tc>
      </w:tr>
      <w:tr>
        <w:tc>
          <w:tcPr>
            <w:tcW w:type="dxa" w:w="2016"/>
            <w:vAlign w:val="top"/>
          </w:tcPr>
          <w:p>
            <w:r>
              <w:t>Storage</w:t>
            </w:r>
          </w:p>
        </w:tc>
        <w:tc>
          <w:tcPr>
            <w:tcW w:type="dxa" w:w="6336"/>
            <w:vAlign w:val="top"/>
          </w:tcPr>
          <w:p>
            <w:r>
              <w:t>DB size, bloat, IOPS/latency, object-store bytes/object count/error rate</w:t>
            </w:r>
          </w:p>
        </w:tc>
        <w:tc>
          <w:tcPr>
            <w:tcW w:type="dxa" w:w="4608"/>
            <w:vAlign w:val="top"/>
          </w:tcPr>
          <w:p>
            <w:r>
              <w:t>Capacity report prima del go-live e ad ogni nuova source materialmente significativa.</w:t>
            </w:r>
          </w:p>
        </w:tc>
      </w:tr>
    </w:tbl>
    <w:p>
      <w:pPr>
        <w:pStyle w:val="ListBullet"/>
      </w:pPr>
      <w:r>
        <w:t>Dashboard e alert rules sono versionati nel repository; i nomi metrici definitivi fanno parte del release artifact e non restano descritti solo nel PET.</w:t>
      </w:r>
    </w:p>
    <w:p>
      <w:pPr>
        <w:pStyle w:val="ListBullet"/>
      </w:pPr>
      <w:r>
        <w:t>Il dataset di performance è versionato come fixture/profile: numero Urban Object, revisioni medie, source binding, relazioni, geometrie, storico e distribution dei DataAccessLabel.</w:t>
      </w:r>
    </w:p>
    <w:p>
      <w:pPr>
        <w:pStyle w:val="ListBullet"/>
      </w:pPr>
      <w:r>
        <w:t>Il report di performance registra hardware/limiti Pod, versione DB/PostGIS, dimensione dataset, query mix e risultati p95/p99, in modo da rendere il collaudo riproducibile.</w:t>
      </w:r>
    </w:p>
    <w:p>
      <w:pPr>
        <w:pStyle w:val="Heading2"/>
      </w:pPr>
      <w:r>
        <w:t>109.9 Runbook operativo minimo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592"/>
            <w:shd w:fill="D9EAF7"/>
            <w:vAlign w:val="center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3888"/>
            <w:shd w:fill="D9EAF7"/>
            <w:vAlign w:val="center"/>
          </w:tcPr>
          <w:p>
            <w:r>
              <w:rPr>
                <w:b/>
              </w:rPr>
              <w:t>Diagnosi minima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Azione standard</w:t>
            </w:r>
          </w:p>
        </w:tc>
        <w:tc>
          <w:tcPr>
            <w:tcW w:type="dxa" w:w="3168"/>
            <w:shd w:fill="D9EAF7"/>
            <w:vAlign w:val="center"/>
          </w:tcPr>
          <w:p>
            <w:r>
              <w:rPr>
                <w:b/>
              </w:rPr>
              <w:t>Evidence richiesta</w:t>
            </w:r>
          </w:p>
        </w:tc>
      </w:tr>
      <w:tr>
        <w:tc>
          <w:tcPr>
            <w:tcW w:type="dxa" w:w="2592"/>
            <w:vAlign w:val="top"/>
          </w:tcPr>
          <w:p>
            <w:r>
              <w:t>ACK perso / duplicate handoff</w:t>
            </w:r>
          </w:p>
        </w:tc>
        <w:tc>
          <w:tcPr>
            <w:tcW w:type="dxa" w:w="3888"/>
            <w:vAlign w:val="top"/>
          </w:tcPr>
          <w:p>
            <w:r>
              <w:t>idempotency key, handoff ref, commit state</w:t>
            </w:r>
          </w:p>
        </w:tc>
        <w:tc>
          <w:tcPr>
            <w:tcW w:type="dxa" w:w="5040"/>
            <w:vAlign w:val="top"/>
          </w:tcPr>
          <w:p>
            <w:r>
              <w:t>Restituire risultato esistente o riprocessare in modo idempotente; mai creare revisione duplicata.</w:t>
            </w:r>
          </w:p>
        </w:tc>
        <w:tc>
          <w:tcPr>
            <w:tcW w:type="dxa" w:w="3168"/>
            <w:vAlign w:val="top"/>
          </w:tcPr>
          <w:p>
            <w:r>
              <w:t>attempt/ACK evidence + lineage</w:t>
            </w:r>
          </w:p>
        </w:tc>
      </w:tr>
      <w:tr>
        <w:tc>
          <w:tcPr>
            <w:tcW w:type="dxa" w:w="2592"/>
            <w:vAlign w:val="top"/>
          </w:tcPr>
          <w:p>
            <w:r>
              <w:t>DB failover / lock contention</w:t>
            </w:r>
          </w:p>
        </w:tc>
        <w:tc>
          <w:tcPr>
            <w:tcW w:type="dxa" w:w="3888"/>
            <w:vAlign w:val="top"/>
          </w:tcPr>
          <w:p>
            <w:r>
              <w:t>pool, transaction abort, lock wait, replica state</w:t>
            </w:r>
          </w:p>
        </w:tc>
        <w:tc>
          <w:tcPr>
            <w:tcW w:type="dxa" w:w="5040"/>
            <w:vAlign w:val="top"/>
          </w:tcPr>
          <w:p>
            <w:r>
              <w:t>Retry bounded; isolare workload pesante; nessun repair manuale dello stato business.</w:t>
            </w:r>
          </w:p>
        </w:tc>
        <w:tc>
          <w:tcPr>
            <w:tcW w:type="dxa" w:w="3168"/>
            <w:vAlign w:val="top"/>
          </w:tcPr>
          <w:p>
            <w:r>
              <w:t>DB/trace + retry outcome</w:t>
            </w:r>
          </w:p>
        </w:tc>
      </w:tr>
      <w:tr>
        <w:tc>
          <w:tcPr>
            <w:tcW w:type="dxa" w:w="2592"/>
            <w:vAlign w:val="top"/>
          </w:tcPr>
          <w:p>
            <w:r>
              <w:t>Object storage timeout/hash mismatch</w:t>
            </w:r>
          </w:p>
        </w:tc>
        <w:tc>
          <w:tcPr>
            <w:tcW w:type="dxa" w:w="3888"/>
            <w:vAlign w:val="top"/>
          </w:tcPr>
          <w:p>
            <w:r>
              <w:t>objectRef, checksum, storage health</w:t>
            </w:r>
          </w:p>
        </w:tc>
        <w:tc>
          <w:tcPr>
            <w:tcW w:type="dxa" w:w="5040"/>
            <w:vAlign w:val="top"/>
          </w:tcPr>
          <w:p>
            <w:r>
              <w:t>Nessun commit logico senza durabilità; retry solo per transient, quarantine per integrity failure.</w:t>
            </w:r>
          </w:p>
        </w:tc>
        <w:tc>
          <w:tcPr>
            <w:tcW w:type="dxa" w:w="3168"/>
            <w:vAlign w:val="top"/>
          </w:tcPr>
          <w:p>
            <w:r>
              <w:t>checksum/reconciliation report</w:t>
            </w:r>
          </w:p>
        </w:tc>
      </w:tr>
      <w:tr>
        <w:tc>
          <w:tcPr>
            <w:tcW w:type="dxa" w:w="2592"/>
            <w:vAlign w:val="top"/>
          </w:tcPr>
          <w:p>
            <w:r>
              <w:t>Governor contention</w:t>
            </w:r>
          </w:p>
        </w:tc>
        <w:tc>
          <w:tcPr>
            <w:tcW w:type="dxa" w:w="3888"/>
            <w:vAlign w:val="top"/>
          </w:tcPr>
          <w:p>
            <w:r>
              <w:t>budget latency, dedicated pool, lock/contention</w:t>
            </w:r>
          </w:p>
        </w:tc>
        <w:tc>
          <w:tcPr>
            <w:tcW w:type="dxa" w:w="5040"/>
            <w:vAlign w:val="top"/>
          </w:tcPr>
          <w:p>
            <w:r>
              <w:t>Fail fast/bulkhead; proteggere current read e materialization; scale/tune solo su evidence.</w:t>
            </w:r>
          </w:p>
        </w:tc>
        <w:tc>
          <w:tcPr>
            <w:tcW w:type="dxa" w:w="3168"/>
            <w:vAlign w:val="top"/>
          </w:tcPr>
          <w:p>
            <w:r>
              <w:t>metrics snapshot + load profile</w:t>
            </w:r>
          </w:p>
        </w:tc>
      </w:tr>
      <w:tr>
        <w:tc>
          <w:tcPr>
            <w:tcW w:type="dxa" w:w="2592"/>
            <w:vAlign w:val="top"/>
          </w:tcPr>
          <w:p>
            <w:r>
              <w:t>Worker stuck / lease expired</w:t>
            </w:r>
          </w:p>
        </w:tc>
        <w:tc>
          <w:tcPr>
            <w:tcW w:type="dxa" w:w="3888"/>
            <w:vAlign w:val="top"/>
          </w:tcPr>
          <w:p>
            <w:r>
              <w:t>job state, locked_by, heartbeat, attempts</w:t>
            </w:r>
          </w:p>
        </w:tc>
        <w:tc>
          <w:tcPr>
            <w:tcW w:type="dxa" w:w="5040"/>
            <w:vAlign w:val="top"/>
          </w:tcPr>
          <w:p>
            <w:r>
              <w:t>Attendere lease expiry o recovery command governato; nessun UPDATE manuale non auditato.</w:t>
            </w:r>
          </w:p>
        </w:tc>
        <w:tc>
          <w:tcPr>
            <w:tcW w:type="dxa" w:w="3168"/>
            <w:vAlign w:val="top"/>
          </w:tcPr>
          <w:p>
            <w:r>
              <w:t>job transition audit</w:t>
            </w:r>
          </w:p>
        </w:tc>
      </w:tr>
      <w:tr>
        <w:tc>
          <w:tcPr>
            <w:tcW w:type="dxa" w:w="2592"/>
            <w:vAlign w:val="top"/>
          </w:tcPr>
          <w:p>
            <w:r>
              <w:t>Historical ref missing</w:t>
            </w:r>
          </w:p>
        </w:tc>
        <w:tc>
          <w:tcPr>
            <w:tcW w:type="dxa" w:w="3888"/>
            <w:vAlign w:val="top"/>
          </w:tcPr>
          <w:p>
            <w:r>
              <w:t>bundle/schema/semantic ref + hash</w:t>
            </w:r>
          </w:p>
        </w:tc>
        <w:tc>
          <w:tcPr>
            <w:tcW w:type="dxa" w:w="5040"/>
            <w:vAlign w:val="top"/>
          </w:tcPr>
          <w:p>
            <w:r>
              <w:t>Bloccare replay/rebuild; aprire issue verso owner; nessun fallback a versione ACTIVE corrente.</w:t>
            </w:r>
          </w:p>
        </w:tc>
        <w:tc>
          <w:tcPr>
            <w:tcW w:type="dxa" w:w="3168"/>
            <w:vAlign w:val="top"/>
          </w:tcPr>
          <w:p>
            <w:r>
              <w:t>reference integrity failure</w:t>
            </w:r>
          </w:p>
        </w:tc>
      </w:tr>
      <w:tr>
        <w:tc>
          <w:tcPr>
            <w:tcW w:type="dxa" w:w="2592"/>
            <w:vAlign w:val="top"/>
          </w:tcPr>
          <w:p>
            <w:r>
              <w:t>Bad release / migration</w:t>
            </w:r>
          </w:p>
        </w:tc>
        <w:tc>
          <w:tcPr>
            <w:tcW w:type="dxa" w:w="3888"/>
            <w:vAlign w:val="top"/>
          </w:tcPr>
          <w:p>
            <w:r>
              <w:t>Flyway history, app/schema compatibility</w:t>
            </w:r>
          </w:p>
        </w:tc>
        <w:tc>
          <w:tcPr>
            <w:tcW w:type="dxa" w:w="5040"/>
            <w:vAlign w:val="top"/>
          </w:tcPr>
          <w:p>
            <w:r>
              <w:t>Stop rollout; rollback app solo se schema backward-compatible; altrimenti forward-fix controllato.</w:t>
            </w:r>
          </w:p>
        </w:tc>
        <w:tc>
          <w:tcPr>
            <w:tcW w:type="dxa" w:w="3168"/>
            <w:vAlign w:val="top"/>
          </w:tcPr>
          <w:p>
            <w:r>
              <w:t>migration/rollback report</w:t>
            </w:r>
          </w:p>
        </w:tc>
      </w:tr>
      <w:tr>
        <w:tc>
          <w:tcPr>
            <w:tcW w:type="dxa" w:w="2592"/>
            <w:vAlign w:val="top"/>
          </w:tcPr>
          <w:p>
            <w:r>
              <w:t>Restore/PITR</w:t>
            </w:r>
          </w:p>
        </w:tc>
        <w:tc>
          <w:tcPr>
            <w:tcW w:type="dxa" w:w="3888"/>
            <w:vAlign w:val="top"/>
          </w:tcPr>
          <w:p>
            <w:r>
              <w:t>backup inventory, target timestamp, object-store version</w:t>
            </w:r>
          </w:p>
        </w:tc>
        <w:tc>
          <w:tcPr>
            <w:tcW w:type="dxa" w:w="5040"/>
            <w:vAlign w:val="top"/>
          </w:tcPr>
          <w:p>
            <w:r>
              <w:t>Restore isolato -&gt; DB/storage reconciliation -&gt; validation -&gt; controlled cut-over.</w:t>
            </w:r>
          </w:p>
        </w:tc>
        <w:tc>
          <w:tcPr>
            <w:tcW w:type="dxa" w:w="3168"/>
            <w:vAlign w:val="top"/>
          </w:tcPr>
          <w:p>
            <w:r>
              <w:t>restore + reconciliation + smoke test report</w:t>
            </w:r>
          </w:p>
        </w:tc>
      </w:tr>
    </w:tbl>
    <w:p>
      <w:pPr>
        <w:pStyle w:val="Heading2"/>
      </w:pPr>
      <w:r>
        <w:t>109.10 CI/CD, traceability ed evidence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160"/>
            <w:shd w:fill="D9EAF7"/>
            <w:vAlign w:val="center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10944"/>
            <w:shd w:fill="D9EAF7"/>
            <w:vAlign w:val="center"/>
          </w:tcPr>
          <w:p>
            <w:r>
              <w:rPr>
                <w:b/>
              </w:rPr>
              <w:t>Blocking checks aggiuntivi v1.3</w:t>
            </w:r>
          </w:p>
        </w:tc>
      </w:tr>
      <w:tr>
        <w:tc>
          <w:tcPr>
            <w:tcW w:type="dxa" w:w="2160"/>
            <w:vAlign w:val="top"/>
          </w:tcPr>
          <w:p>
            <w:r>
              <w:t>Contract</w:t>
            </w:r>
          </w:p>
        </w:tc>
        <w:tc>
          <w:tcPr>
            <w:tcW w:type="dxa" w:w="10944"/>
            <w:vAlign w:val="top"/>
          </w:tcPr>
          <w:p>
            <w:r>
              <w:t>OpenAPI/JSON Schema/examples + breaking-change diff + capability manifest/reference lint.</w:t>
            </w:r>
          </w:p>
        </w:tc>
      </w:tr>
      <w:tr>
        <w:tc>
          <w:tcPr>
            <w:tcW w:type="dxa" w:w="2160"/>
            <w:vAlign w:val="top"/>
          </w:tcPr>
          <w:p>
            <w:r>
              <w:t>Compatibility</w:t>
            </w:r>
          </w:p>
        </w:tc>
        <w:tc>
          <w:tcPr>
            <w:tcW w:type="dxa" w:w="10944"/>
            <w:vAlign w:val="top"/>
          </w:tcPr>
          <w:p>
            <w:r>
              <w:t>N/N+1 API fixture, accepted Handoff contract versions, old DB schema upgrade, historical ref resolver fixtures.</w:t>
            </w:r>
          </w:p>
        </w:tc>
      </w:tr>
      <w:tr>
        <w:tc>
          <w:tcPr>
            <w:tcW w:type="dxa" w:w="2160"/>
            <w:vAlign w:val="top"/>
          </w:tcPr>
          <w:p>
            <w:r>
              <w:t>Security</w:t>
            </w:r>
          </w:p>
        </w:tc>
        <w:tc>
          <w:tcPr>
            <w:tcW w:type="dxa" w:w="10944"/>
            <w:vAlign w:val="top"/>
          </w:tcPr>
          <w:p>
            <w:r>
              <w:t>Authorization default-deny, input bounds, geometry abuse, no arbitrary query, secret/PII leakage tests, NetworkPolicy policy-as-code validation.</w:t>
            </w:r>
          </w:p>
        </w:tc>
      </w:tr>
      <w:tr>
        <w:tc>
          <w:tcPr>
            <w:tcW w:type="dxa" w:w="2160"/>
            <w:vAlign w:val="top"/>
          </w:tcPr>
          <w:p>
            <w:r>
              <w:t>Concurrency</w:t>
            </w:r>
          </w:p>
        </w:tc>
        <w:tc>
          <w:tcPr>
            <w:tcW w:type="dxa" w:w="10944"/>
            <w:vAlign w:val="top"/>
          </w:tcPr>
          <w:p>
            <w:r>
              <w:t>Multi-Pod governor, duplicate handoff, concurrent resolution/update, worker lease race, rolling rollout against expand schema.</w:t>
            </w:r>
          </w:p>
        </w:tc>
      </w:tr>
      <w:tr>
        <w:tc>
          <w:tcPr>
            <w:tcW w:type="dxa" w:w="2160"/>
            <w:vAlign w:val="top"/>
          </w:tcPr>
          <w:p>
            <w:r>
              <w:t>Recovery</w:t>
            </w:r>
          </w:p>
        </w:tc>
        <w:tc>
          <w:tcPr>
            <w:tcW w:type="dxa" w:w="10944"/>
            <w:vAlign w:val="top"/>
          </w:tcPr>
          <w:p>
            <w:r>
              <w:t>DB failure, object-store failure, ACK loss, orphan lease, restore/reconciliation, rebuild shadow/cut-over.</w:t>
            </w:r>
          </w:p>
        </w:tc>
      </w:tr>
      <w:tr>
        <w:tc>
          <w:tcPr>
            <w:tcW w:type="dxa" w:w="2160"/>
            <w:vAlign w:val="top"/>
          </w:tcPr>
          <w:p>
            <w:r>
              <w:t>Performance</w:t>
            </w:r>
          </w:p>
        </w:tc>
        <w:tc>
          <w:tcPr>
            <w:tcW w:type="dxa" w:w="10944"/>
            <w:vAlign w:val="top"/>
          </w:tcPr>
          <w:p>
            <w:r>
              <w:t>Versioned capacity fixture + p95/p99 report + pool/backpressure/governor evidence.</w:t>
            </w:r>
          </w:p>
        </w:tc>
      </w:tr>
      <w:tr>
        <w:tc>
          <w:tcPr>
            <w:tcW w:type="dxa" w:w="2160"/>
            <w:vAlign w:val="top"/>
          </w:tcPr>
          <w:p>
            <w:r>
              <w:t>Supply chain</w:t>
            </w:r>
          </w:p>
        </w:tc>
        <w:tc>
          <w:tcPr>
            <w:tcW w:type="dxa" w:w="10944"/>
            <w:vAlign w:val="top"/>
          </w:tcPr>
          <w:p>
            <w:r>
              <w:t>SAST/SCA, container scan, secret scan, SBOM, image digest/signature/provenance secondo pipeline OUF.</w:t>
            </w:r>
          </w:p>
        </w:tc>
      </w:tr>
      <w:tr>
        <w:tc>
          <w:tcPr>
            <w:tcW w:type="dxa" w:w="2160"/>
            <w:vAlign w:val="top"/>
          </w:tcPr>
          <w:p>
            <w:r>
              <w:t>Package</w:t>
            </w:r>
          </w:p>
        </w:tc>
        <w:tc>
          <w:tcPr>
            <w:tcW w:type="dxa" w:w="10944"/>
            <w:vAlign w:val="top"/>
          </w:tcPr>
          <w:p>
            <w:r>
              <w:t>OCI image, Helm/GitOps, OpenAPI/schemas/examples, migration scripts, dashboards/alerts, runbook, compatibility manifest.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Requirement source</w:t>
            </w:r>
          </w:p>
        </w:tc>
        <w:tc>
          <w:tcPr>
            <w:tcW w:type="dxa" w:w="9648"/>
            <w:shd w:fill="D9EAF7"/>
            <w:vAlign w:val="center"/>
          </w:tcPr>
          <w:p>
            <w:r>
              <w:rPr>
                <w:b/>
              </w:rPr>
              <w:t>Executable evidence</w:t>
            </w:r>
          </w:p>
        </w:tc>
      </w:tr>
      <w:tr>
        <w:tc>
          <w:tcPr>
            <w:tcW w:type="dxa" w:w="3456"/>
            <w:vAlign w:val="top"/>
          </w:tcPr>
          <w:p>
            <w:r>
              <w:t>UDP-Axx / UDP-E2E-xx</w:t>
            </w:r>
          </w:p>
        </w:tc>
        <w:tc>
          <w:tcPr>
            <w:tcW w:type="dxa" w:w="9648"/>
            <w:vAlign w:val="top"/>
          </w:tcPr>
          <w:p>
            <w:r>
              <w:t>tests/e2e o tests/acceptance con ID identico o mapping machine-readable.</w:t>
            </w:r>
          </w:p>
        </w:tc>
      </w:tr>
      <w:tr>
        <w:tc>
          <w:tcPr>
            <w:tcW w:type="dxa" w:w="3456"/>
            <w:vAlign w:val="top"/>
          </w:tcPr>
          <w:p>
            <w:r>
              <w:t>Capability contract</w:t>
            </w:r>
          </w:p>
        </w:tc>
        <w:tc>
          <w:tcPr>
            <w:tcW w:type="dxa" w:w="9648"/>
            <w:vAlign w:val="top"/>
          </w:tcPr>
          <w:p>
            <w:r>
              <w:t>tests/contract + OpenAPI/schema fixture validation.</w:t>
            </w:r>
          </w:p>
        </w:tc>
      </w:tr>
      <w:tr>
        <w:tc>
          <w:tcPr>
            <w:tcW w:type="dxa" w:w="3456"/>
            <w:vAlign w:val="top"/>
          </w:tcPr>
          <w:p>
            <w:r>
              <w:t>Security invariant</w:t>
            </w:r>
          </w:p>
        </w:tc>
        <w:tc>
          <w:tcPr>
            <w:tcW w:type="dxa" w:w="9648"/>
            <w:vAlign w:val="top"/>
          </w:tcPr>
          <w:p>
            <w:r>
              <w:t>tests/security + scan report + deny-path evidence.</w:t>
            </w:r>
          </w:p>
        </w:tc>
      </w:tr>
      <w:tr>
        <w:tc>
          <w:tcPr>
            <w:tcW w:type="dxa" w:w="3456"/>
            <w:vAlign w:val="top"/>
          </w:tcPr>
          <w:p>
            <w:r>
              <w:t>SLO/capacity</w:t>
            </w:r>
          </w:p>
        </w:tc>
        <w:tc>
          <w:tcPr>
            <w:tcW w:type="dxa" w:w="9648"/>
            <w:vAlign w:val="top"/>
          </w:tcPr>
          <w:p>
            <w:r>
              <w:t>performance report + fixture manifest + metrics snapshot.</w:t>
            </w:r>
          </w:p>
        </w:tc>
      </w:tr>
      <w:tr>
        <w:tc>
          <w:tcPr>
            <w:tcW w:type="dxa" w:w="3456"/>
            <w:vAlign w:val="top"/>
          </w:tcPr>
          <w:p>
            <w:r>
              <w:t>DR/recovery</w:t>
            </w:r>
          </w:p>
        </w:tc>
        <w:tc>
          <w:tcPr>
            <w:tcW w:type="dxa" w:w="9648"/>
            <w:vAlign w:val="top"/>
          </w:tcPr>
          <w:p>
            <w:r>
              <w:t>restore/reconciliation report + runbook execution evidence.</w:t>
            </w:r>
          </w:p>
        </w:tc>
      </w:tr>
      <w:tr>
        <w:tc>
          <w:tcPr>
            <w:tcW w:type="dxa" w:w="3456"/>
            <w:vAlign w:val="top"/>
          </w:tcPr>
          <w:p>
            <w:r>
              <w:t>Cross-module</w:t>
            </w:r>
          </w:p>
        </w:tc>
        <w:tc>
          <w:tcPr>
            <w:tcW w:type="dxa" w:w="9648"/>
            <w:vAlign w:val="top"/>
          </w:tcPr>
          <w:p>
            <w:r>
              <w:t>integration test report con versioni esatte di Ingestion, Gateway, Authorization e Semantic Registry.</w:t>
            </w:r>
          </w:p>
        </w:tc>
      </w:tr>
    </w:tbl>
    <w:p>
      <w:pPr>
        <w:pStyle w:val="Heading2"/>
      </w:pPr>
      <w:r>
        <w:t>109.11 Gap closure register rispetto al gold standard Ingestion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296"/>
            <w:shd w:fill="D9EAF7"/>
            <w:vAlign w:val="center"/>
          </w:tcPr>
          <w:p>
            <w:r>
              <w:rPr>
                <w:b/>
              </w:rPr>
              <w:t>GS ID</w:t>
            </w:r>
          </w:p>
        </w:tc>
        <w:tc>
          <w:tcPr>
            <w:tcW w:type="dxa" w:w="6624"/>
            <w:shd w:fill="D9EAF7"/>
            <w:vAlign w:val="center"/>
          </w:tcPr>
          <w:p>
            <w:r>
              <w:rPr>
                <w:b/>
              </w:rPr>
              <w:t>Gap UDP precedente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Esito v1.3</w:t>
            </w:r>
          </w:p>
        </w:tc>
      </w:tr>
      <w:tr>
        <w:tc>
          <w:tcPr>
            <w:tcW w:type="dxa" w:w="1296"/>
            <w:vAlign w:val="top"/>
          </w:tcPr>
          <w:p>
            <w:r>
              <w:t>GS-06</w:t>
            </w:r>
          </w:p>
        </w:tc>
        <w:tc>
          <w:tcPr>
            <w:tcW w:type="dxa" w:w="6624"/>
            <w:vAlign w:val="top"/>
          </w:tcPr>
          <w:p>
            <w:r>
              <w:t>Inventario DTO/JSON Schema non sufficientemente enumerato</w:t>
            </w:r>
          </w:p>
        </w:tc>
        <w:tc>
          <w:tcPr>
            <w:tcW w:type="dxa" w:w="5040"/>
            <w:vAlign w:val="top"/>
          </w:tcPr>
          <w:p>
            <w:r>
              <w:t>CHIUSO — §109.1</w:t>
            </w:r>
          </w:p>
        </w:tc>
      </w:tr>
      <w:tr>
        <w:tc>
          <w:tcPr>
            <w:tcW w:type="dxa" w:w="1296"/>
            <w:vAlign w:val="top"/>
          </w:tcPr>
          <w:p>
            <w:r>
              <w:t>GS-13</w:t>
            </w:r>
          </w:p>
        </w:tc>
        <w:tc>
          <w:tcPr>
            <w:tcW w:type="dxa" w:w="6624"/>
            <w:vAlign w:val="top"/>
          </w:tcPr>
          <w:p>
            <w:r>
              <w:t>Pause/resume/abort non sistematici</w:t>
            </w:r>
          </w:p>
        </w:tc>
        <w:tc>
          <w:tcPr>
            <w:tcW w:type="dxa" w:w="5040"/>
            <w:vAlign w:val="top"/>
          </w:tcPr>
          <w:p>
            <w:r>
              <w:t>CHIUSO / N.A. dove non applicabile — §109.6</w:t>
            </w:r>
          </w:p>
        </w:tc>
      </w:tr>
      <w:tr>
        <w:tc>
          <w:tcPr>
            <w:tcW w:type="dxa" w:w="1296"/>
            <w:vAlign w:val="top"/>
          </w:tcPr>
          <w:p>
            <w:r>
              <w:t>GS-16</w:t>
            </w:r>
          </w:p>
        </w:tc>
        <w:tc>
          <w:tcPr>
            <w:tcW w:type="dxa" w:w="6624"/>
            <w:vAlign w:val="top"/>
          </w:tcPr>
          <w:p>
            <w:r>
              <w:t>Support window N/N+1 e deprecation policy</w:t>
            </w:r>
          </w:p>
        </w:tc>
        <w:tc>
          <w:tcPr>
            <w:tcW w:type="dxa" w:w="5040"/>
            <w:vAlign w:val="top"/>
          </w:tcPr>
          <w:p>
            <w:r>
              <w:t>CHIUSO — §109.2</w:t>
            </w:r>
          </w:p>
        </w:tc>
      </w:tr>
      <w:tr>
        <w:tc>
          <w:tcPr>
            <w:tcW w:type="dxa" w:w="1296"/>
            <w:vAlign w:val="top"/>
          </w:tcPr>
          <w:p>
            <w:r>
              <w:t>GS-19</w:t>
            </w:r>
          </w:p>
        </w:tc>
        <w:tc>
          <w:tcPr>
            <w:tcW w:type="dxa" w:w="6624"/>
            <w:vAlign w:val="top"/>
          </w:tcPr>
          <w:p>
            <w:r>
              <w:t>NetworkPolicy/egress non consolidati</w:t>
            </w:r>
          </w:p>
        </w:tc>
        <w:tc>
          <w:tcPr>
            <w:tcW w:type="dxa" w:w="5040"/>
            <w:vAlign w:val="top"/>
          </w:tcPr>
          <w:p>
            <w:r>
              <w:t>CHIUSO — §109.5</w:t>
            </w:r>
          </w:p>
        </w:tc>
      </w:tr>
      <w:tr>
        <w:tc>
          <w:tcPr>
            <w:tcW w:type="dxa" w:w="1296"/>
            <w:vAlign w:val="top"/>
          </w:tcPr>
          <w:p>
            <w:r>
              <w:t>GS-20</w:t>
            </w:r>
          </w:p>
        </w:tc>
        <w:tc>
          <w:tcPr>
            <w:tcW w:type="dxa" w:w="6624"/>
            <w:vAlign w:val="top"/>
          </w:tcPr>
          <w:p>
            <w:r>
              <w:t>Input/geometry/decompression hardening disperso</w:t>
            </w:r>
          </w:p>
        </w:tc>
        <w:tc>
          <w:tcPr>
            <w:tcW w:type="dxa" w:w="5040"/>
            <w:vAlign w:val="top"/>
          </w:tcPr>
          <w:p>
            <w:r>
              <w:t>CHIUSO — §109.5 + §109.3</w:t>
            </w:r>
          </w:p>
        </w:tc>
      </w:tr>
      <w:tr>
        <w:tc>
          <w:tcPr>
            <w:tcW w:type="dxa" w:w="1296"/>
            <w:vAlign w:val="top"/>
          </w:tcPr>
          <w:p>
            <w:r>
              <w:t>GS-23</w:t>
            </w:r>
          </w:p>
        </w:tc>
        <w:tc>
          <w:tcPr>
            <w:tcW w:type="dxa" w:w="6624"/>
            <w:vAlign w:val="top"/>
          </w:tcPr>
          <w:p>
            <w:r>
              <w:t>SLO non legati a fixture riproducibile</w:t>
            </w:r>
          </w:p>
        </w:tc>
        <w:tc>
          <w:tcPr>
            <w:tcW w:type="dxa" w:w="5040"/>
            <w:vAlign w:val="top"/>
          </w:tcPr>
          <w:p>
            <w:r>
              <w:t>CHIUSO — §109.8</w:t>
            </w:r>
          </w:p>
        </w:tc>
      </w:tr>
      <w:tr>
        <w:tc>
          <w:tcPr>
            <w:tcW w:type="dxa" w:w="1296"/>
            <w:vAlign w:val="top"/>
          </w:tcPr>
          <w:p>
            <w:r>
              <w:t>GS-25</w:t>
            </w:r>
          </w:p>
        </w:tc>
        <w:tc>
          <w:tcPr>
            <w:tcW w:type="dxa" w:w="6624"/>
            <w:vAlign w:val="top"/>
          </w:tcPr>
          <w:p>
            <w:r>
              <w:t>Capacity fixture non canonica</w:t>
            </w:r>
          </w:p>
        </w:tc>
        <w:tc>
          <w:tcPr>
            <w:tcW w:type="dxa" w:w="5040"/>
            <w:vAlign w:val="top"/>
          </w:tcPr>
          <w:p>
            <w:r>
              <w:t>CHIUSO — §109.8</w:t>
            </w:r>
          </w:p>
        </w:tc>
      </w:tr>
      <w:tr>
        <w:tc>
          <w:tcPr>
            <w:tcW w:type="dxa" w:w="1296"/>
            <w:vAlign w:val="top"/>
          </w:tcPr>
          <w:p>
            <w:r>
              <w:t>GS-26</w:t>
            </w:r>
          </w:p>
        </w:tc>
        <w:tc>
          <w:tcPr>
            <w:tcW w:type="dxa" w:w="6624"/>
            <w:vAlign w:val="top"/>
          </w:tcPr>
          <w:p>
            <w:r>
              <w:t>Graceful shutdown worker non esplicito</w:t>
            </w:r>
          </w:p>
        </w:tc>
        <w:tc>
          <w:tcPr>
            <w:tcW w:type="dxa" w:w="5040"/>
            <w:vAlign w:val="top"/>
          </w:tcPr>
          <w:p>
            <w:r>
              <w:t>CHIUSO — §109.3 + §109.6</w:t>
            </w:r>
          </w:p>
        </w:tc>
      </w:tr>
      <w:tr>
        <w:tc>
          <w:tcPr>
            <w:tcW w:type="dxa" w:w="1296"/>
            <w:vAlign w:val="top"/>
          </w:tcPr>
          <w:p>
            <w:r>
              <w:t>GS-27</w:t>
            </w:r>
          </w:p>
        </w:tc>
        <w:tc>
          <w:tcPr>
            <w:tcW w:type="dxa" w:w="6624"/>
            <w:vAlign w:val="top"/>
          </w:tcPr>
          <w:p>
            <w:r>
              <w:t>BOM/version policy non consolidata</w:t>
            </w:r>
          </w:p>
        </w:tc>
        <w:tc>
          <w:tcPr>
            <w:tcW w:type="dxa" w:w="5040"/>
            <w:vAlign w:val="top"/>
          </w:tcPr>
          <w:p>
            <w:r>
              <w:t>CHIUSO — §109.4</w:t>
            </w:r>
          </w:p>
        </w:tc>
      </w:tr>
      <w:tr>
        <w:tc>
          <w:tcPr>
            <w:tcW w:type="dxa" w:w="1296"/>
            <w:vAlign w:val="top"/>
          </w:tcPr>
          <w:p>
            <w:r>
              <w:t>GS-28</w:t>
            </w:r>
          </w:p>
        </w:tc>
        <w:tc>
          <w:tcPr>
            <w:tcW w:type="dxa" w:w="6624"/>
            <w:vAlign w:val="top"/>
          </w:tcPr>
          <w:p>
            <w:r>
              <w:t>Runtime property catalog assente</w:t>
            </w:r>
          </w:p>
        </w:tc>
        <w:tc>
          <w:tcPr>
            <w:tcW w:type="dxa" w:w="5040"/>
            <w:vAlign w:val="top"/>
          </w:tcPr>
          <w:p>
            <w:r>
              <w:t>CHIUSO — §109.3</w:t>
            </w:r>
          </w:p>
        </w:tc>
      </w:tr>
      <w:tr>
        <w:tc>
          <w:tcPr>
            <w:tcW w:type="dxa" w:w="1296"/>
            <w:vAlign w:val="top"/>
          </w:tcPr>
          <w:p>
            <w:r>
              <w:t>GS-30</w:t>
            </w:r>
          </w:p>
        </w:tc>
        <w:tc>
          <w:tcPr>
            <w:tcW w:type="dxa" w:w="6624"/>
            <w:vAlign w:val="top"/>
          </w:tcPr>
          <w:p>
            <w:r>
              <w:t>SPI formalizzate solo parzialmente</w:t>
            </w:r>
          </w:p>
        </w:tc>
        <w:tc>
          <w:tcPr>
            <w:tcW w:type="dxa" w:w="5040"/>
            <w:vAlign w:val="top"/>
          </w:tcPr>
          <w:p>
            <w:r>
              <w:t>CHIUSO COME POLICY — extension point solo dove sostituibilità è intenzionale; nessuna SPI artificiale</w:t>
            </w:r>
          </w:p>
        </w:tc>
      </w:tr>
      <w:tr>
        <w:tc>
          <w:tcPr>
            <w:tcW w:type="dxa" w:w="1296"/>
            <w:vAlign w:val="top"/>
          </w:tcPr>
          <w:p>
            <w:r>
              <w:t>GS-33</w:t>
            </w:r>
          </w:p>
        </w:tc>
        <w:tc>
          <w:tcPr>
            <w:tcW w:type="dxa" w:w="6624"/>
            <w:vAlign w:val="top"/>
          </w:tcPr>
          <w:p>
            <w:r>
              <w:t>Runbook distribuito</w:t>
            </w:r>
          </w:p>
        </w:tc>
        <w:tc>
          <w:tcPr>
            <w:tcW w:type="dxa" w:w="5040"/>
            <w:vAlign w:val="top"/>
          </w:tcPr>
          <w:p>
            <w:r>
              <w:t>CHIUSO — §109.9</w:t>
            </w:r>
          </w:p>
        </w:tc>
      </w:tr>
      <w:tr>
        <w:tc>
          <w:tcPr>
            <w:tcW w:type="dxa" w:w="1296"/>
            <w:vAlign w:val="top"/>
          </w:tcPr>
          <w:p>
            <w:r>
              <w:t>GS-36</w:t>
            </w:r>
          </w:p>
        </w:tc>
        <w:tc>
          <w:tcPr>
            <w:tcW w:type="dxa" w:w="6624"/>
            <w:vAlign w:val="top"/>
          </w:tcPr>
          <w:p>
            <w:r>
              <w:t>Cross-module startup/reference gate non eseguibile</w:t>
            </w:r>
          </w:p>
        </w:tc>
        <w:tc>
          <w:tcPr>
            <w:tcW w:type="dxa" w:w="5040"/>
            <w:vAlign w:val="top"/>
          </w:tcPr>
          <w:p>
            <w:r>
              <w:t>CHIUSO — §109.7</w:t>
            </w:r>
          </w:p>
        </w:tc>
      </w:tr>
    </w:tbl>
    <w:p>
      <w:pPr>
        <w:pStyle w:val="Heading2"/>
      </w:pPr>
      <w:r>
        <w:t>109.12 Definition of Done v1.3 — handoff allo sviluppo</w:t>
      </w:r>
    </w:p>
    <w:p>
      <w:pPr>
        <w:pStyle w:val="ListBullet"/>
      </w:pPr>
      <w:r>
        <w:t>Il repository contiene tutti gli artefatti elencati in §109.1, esempi validi, compatibility manifest, configuration reference, dashboard/alerts e runbook.</w:t>
      </w:r>
    </w:p>
    <w:p>
      <w:pPr>
        <w:pStyle w:val="ListBullet"/>
      </w:pPr>
      <w:r>
        <w:t>La build è riproducibile con dipendenze pin-nate; SBOM e digest immagine corrispondono alla release consegnata.</w:t>
      </w:r>
    </w:p>
    <w:p>
      <w:pPr>
        <w:pStyle w:val="ListBullet"/>
      </w:pPr>
      <w:r>
        <w:t>Installazione clean, upgrade N→N+1 e rolling rollout su schema expand-compatible sono dimostrati automaticamente.</w:t>
      </w:r>
    </w:p>
    <w:p>
      <w:pPr>
        <w:pStyle w:val="ListBullet"/>
      </w:pPr>
      <w:r>
        <w:t>Materialization, durable ACK, idempotenza, worker recovery, Query Complexity Governor multi-replica e rebuild/replay passano fault/concurrency tests.</w:t>
      </w:r>
    </w:p>
    <w:p>
      <w:pPr>
        <w:pStyle w:val="ListBullet"/>
      </w:pPr>
      <w:r>
        <w:t>Nessuna capability consumer-facing è pubblicata senza schema, authorization requirement, hard maxima, Gateway binding e test contract.</w:t>
      </w:r>
    </w:p>
    <w:p>
      <w:pPr>
        <w:pStyle w:val="ListBullet"/>
      </w:pPr>
      <w:r>
        <w:t>Il reference-integrity gate impedisce materialization/replay con bundle/schema/semantic/policy incompatibili senza fallback impliciti.</w:t>
      </w:r>
    </w:p>
    <w:p>
      <w:pPr>
        <w:pStyle w:val="ListBullet"/>
      </w:pPr>
      <w:r>
        <w:t>Restore DB + object storage reconciliation è provato su dataset rappresentativo e produce evidence package verificabile.</w:t>
      </w:r>
    </w:p>
    <w:p>
      <w:pPr>
        <w:pStyle w:val="ListBullet"/>
      </w:pPr>
      <w:r>
        <w:t>Il supplier handoff non contiene TBD implementativi interni alla UDP. Gli unici binding ammessi a deployment time sono parametri di ambiente esterni già modellati dal contratto (IAM issuer/audience, Gateway route refs, DB/S3 endpoints, secretRef).</w:t>
      </w:r>
    </w:p>
    <w:p/>
    <w:p>
      <w:r>
        <w:rPr>
          <w:b/>
        </w:rPr>
        <w:t xml:space="preserve">Stato reale della specifica v1.3: </w:t>
      </w:r>
      <w:r>
        <w:t>development-ready sul perimetro UDP. Le scelte di ambiente esterne sono esplicitamente parametrizzate e verificabili; non restano decisioni architetturali o implementative del modulo da demandare al fornitore.</w:t>
      </w:r>
    </w:p>
    <w:sectPr w:rsidR="00FC693F" w:rsidRPr="0006063C" w:rsidSect="00034616">
      <w:headerReference w:type="default" r:id="rId9"/>
      <w:footerReference w:type="default" r:id="rId10"/>
      <w:headerReference w:type="first" r:id="rId12"/>
      <w:footerReference w:type="first" r:id="rId13"/>
      <w:pgSz w:w="12240" w:h="15840"/>
      <w:pgMar w:top="1020" w:right="1191" w:bottom="90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bottom w:val="single" w:sz="6" w:space="2" w:color="0B4F6C"/>
      </w:pBdr>
    </w:pPr>
    <w:r>
      <w:t>© Comune di Trieste — Open Urban Framework (OUF) | Progetto Esecutivo Tecnologico | v1.3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3286"/>
      <w:gridCol w:w="3286"/>
      <w:gridCol w:w="3286"/>
    </w:tblGrid>
    <w:tr>
      <w:tc>
        <w:tcPr>
          <w:tcW w:type="dxa" w:w="3286"/>
        </w:tcPr>
        <w:p>
          <w:r>
            <w:rPr>
              <w:rFonts w:ascii="Noto Sans" w:hAnsi="Noto Sans" w:eastAsia="Noto Sans"/>
              <w:sz w:val="16"/>
            </w:rPr>
          </w:r>
        </w:p>
      </w:tc>
      <w:tc>
        <w:tcPr>
          <w:tcW w:type="dxa" w:w="3286"/>
        </w:tcPr>
        <w:p>
          <w:pPr>
            <w:jc w:val="center"/>
          </w:pPr>
          <w:r>
            <w:rPr>
              <w:rFonts w:ascii="Noto Sans" w:hAnsi="Noto Sans" w:eastAsia="Noto Sans"/>
              <w:b/>
              <w:color w:val="0B4F6C"/>
              <w:sz w:val="16"/>
            </w:rPr>
            <w:t>OPEN URBAN FRAMEWORK (OUF)</w:t>
            <w:br/>
            <w:t>BLUE PAPER</w:t>
          </w:r>
        </w:p>
      </w:tc>
      <w:tc>
        <w:tcPr>
          <w:tcW w:type="dxa" w:w="3286"/>
        </w:tcPr>
        <w:p>
          <w:r>
            <w:t>Data Lake / UDP / Urban Object Registry</w:t>
            <w:br/>
            <w:t>v1.3 — Settembre 2026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Noto Sans" w:hAnsi="Noto Sans" w:eastAsia="Noto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" w:hAnsi="Noto Sans" w:eastAsia="Noto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" w:hAnsi="Noto Sans" w:eastAsia="Noto San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" w:hAnsi="Noto Sans" w:eastAsia="Noto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" w:hAnsi="Noto Sans" w:eastAsia="Noto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oto Sans" w:hAnsi="Noto Sans" w:eastAsia="Noto Sans"/>
      <w:b/>
      <w:bCs/>
      <w:color w:val="12356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" w:hAnsi="Noto Sans" w:eastAsia="Noto Sans"/>
      <w:b/>
      <w:bCs/>
      <w:color w:val="0B4F6C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" w:hAnsi="Noto Sans" w:eastAsia="Noto Sans"/>
      <w:b/>
      <w:bCs/>
      <w:color w:val="0B4F6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" w:hAnsi="Noto Sans" w:eastAsia="Noto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" w:hAnsi="Noto Sans" w:eastAsia="Noto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" w:hAnsi="Noto Sans" w:eastAsia="Noto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" w:hAnsi="Noto Sans" w:eastAsia="Noto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" w:hAnsi="Noto Sans" w:eastAsia="Noto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" w:hAnsi="Noto Sans" w:eastAsia="Noto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" w:hAnsi="Noto Sans" w:eastAsia="Noto San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" w:hAnsi="Noto Sans" w:eastAsia="Noto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Noto Sans" w:hAnsi="Noto Sans" w:eastAsia="Noto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Noto Sans" w:hAnsi="Noto Sans" w:eastAsia="Noto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Noto Sans" w:hAnsi="Noto Sans" w:eastAsia="Noto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" w:hAnsi="Noto Sans" w:eastAsia="Noto Sans"/>
      <w:b/>
      <w:color w:val="12356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Noto Sans" w:hAnsi="Noto Sans" w:eastAsia="Noto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" w:hAnsi="Noto Sans" w:eastAsia="Noto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Noto Sans" w:hAnsi="Noto Sans" w:eastAsia="Noto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" w:hAnsi="Noto Sans" w:eastAsia="Noto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" w:hAnsi="Noto Sans" w:eastAsia="Noto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" w:hAnsi="Noto Sans" w:eastAsia="Noto San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" w:hAnsi="Noto Sans" w:eastAsia="Noto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" w:hAnsi="Noto Sans" w:eastAsia="Noto San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" w:hAnsi="Noto Sans" w:eastAsia="Noto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" w:hAnsi="Noto Sans" w:eastAsia="Noto San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" w:hAnsi="Noto Sans" w:eastAsia="Noto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" w:hAnsi="Noto Sans" w:eastAsia="Noto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" w:hAnsi="Noto Sans" w:eastAsia="Noto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" w:hAnsi="Noto Sans" w:eastAsia="Noto San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" w:hAnsi="Noto Sans" w:eastAsia="Noto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" w:hAnsi="Noto Sans" w:eastAsia="Noto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" w:hAnsi="Noto Sans" w:eastAsia="Noto San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" w:hAnsi="Noto Sans" w:eastAsia="Noto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" w:hAnsi="Noto Sans" w:eastAsia="Noto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" w:hAnsi="Noto Sans" w:eastAsia="Noto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" w:hAnsi="Noto Sans" w:eastAsia="Noto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" w:hAnsi="Noto Sans" w:eastAsia="Noto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" w:hAnsi="Noto Sans" w:eastAsia="Noto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" w:hAnsi="Noto Sans" w:eastAsia="Noto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" w:hAnsi="Noto Sans" w:eastAsia="Noto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" w:hAnsi="Noto Sans" w:eastAsia="Noto San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Noto Sans" w:hAnsi="Noto Sans" w:eastAsia="Noto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Noto Sans" w:hAnsi="Noto Sans" w:eastAsia="Noto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Noto Sans" w:hAnsi="Noto Sans" w:eastAsia="Noto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Noto Sans" w:hAnsi="Noto Sans" w:eastAsia="Noto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Noto Sans" w:hAnsi="Noto Sans" w:eastAsia="Noto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Noto Sans" w:hAnsi="Noto Sans" w:eastAsia="Noto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" w:hAnsi="Noto Sans" w:eastAsia="Noto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" w:hAnsi="Noto Sans" w:eastAsia="Noto San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" w:hAnsi="Noto Sans" w:eastAsia="Noto San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" w:hAnsi="Noto Sans" w:eastAsia="Noto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" w:hAnsi="Noto Sans" w:eastAsia="Noto San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" w:hAnsi="Noto Sans" w:eastAsia="Noto San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" w:hAnsi="Noto Sans" w:eastAsia="Noto San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" w:hAnsi="Noto Sans" w:eastAsia="Noto San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" w:hAnsi="Noto Sans" w:eastAsia="Noto San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" w:hAnsi="Noto Sans" w:eastAsia="Noto San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" w:hAnsi="Noto Sans" w:eastAsia="Noto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UFCode">
    <w:name w:val="OUF Code"/>
    <w:pPr>
      <w:spacing w:after="0" w:before="0"/>
      <w:ind w:left="198" w:right="113"/>
    </w:pPr>
    <w:rPr>
      <w:rFonts w:ascii="DejaVu Sans Mono" w:hAnsi="DejaVu Sans Mono" w:eastAsia="DejaVu Sans Mono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OUF - Data Lake, Urban Data Platform &amp; Urban Object Registry v1.0</dc:title>
  <dc:subject>Implementation readiness alignment using OUF Ingestion Runtime as gold standard</dc:subject>
  <dc:creator>Comune di Trieste — Open Urban Framework</dc:creator>
  <cp:keywords>OUF, UDP, Data Lake, Urban Object Registry, PostgreSQL, PostGIS, lineage, provenance, object resolution</cp:keywords>
  <dc:description>Baseline v1.0 consolidata per implementazione e collaudo.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