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keepNext/>
        <w:spacing w:before="160"/>
        <w:jc w:val="center"/>
      </w:pPr>
      <w:r>
        <w:rPr>
          <w:rFonts w:ascii="Noto Sans" w:hAnsi="Noto Sans" w:eastAsia="Noto Sans"/>
        </w:rPr>
        <w:t>OPEN URBAN FRAMEWORK (OUF) — BLUE PAPER</w:t>
      </w:r>
    </w:p>
    <w:p>
      <w:pPr>
        <w:pStyle w:val="Title"/>
        <w:jc w:val="center"/>
      </w:pPr>
      <w:r>
        <w:rPr>
          <w:rFonts w:ascii="Noto Sans" w:hAnsi="Noto Sans" w:eastAsia="Noto Sans"/>
        </w:rPr>
        <w:t>Progetto esecutivo tecnologico - Urban API Gateway</w:t>
      </w:r>
    </w:p>
    <w:p>
      <w:pPr>
        <w:pStyle w:val="Subtitle"/>
        <w:jc w:val="center"/>
      </w:pPr>
      <w:r>
        <w:rPr>
          <w:rFonts w:ascii="Noto Sans" w:hAnsi="Noto Sans" w:eastAsia="Noto Sans"/>
        </w:rPr>
        <w:t>Implementazione di riferimento per il core OUF: SUAP, SUO, SUE, WebGIS e capability governate</w:t>
      </w:r>
    </w:p>
    <w:p>
      <w:pPr>
        <w:jc w:val="center"/>
      </w:pPr>
      <w:r>
        <w:t>Versione 1.5 - Settembre 2026</w:t>
      </w:r>
    </w:p>
    <w:p>
      <w:pPr>
        <w:jc w:val="center"/>
      </w:pPr>
      <w:r>
        <w:t>Progetto esecutivo tecnologico del modulo Urban API Gateway. La versione 1.4 mantiene la baseline architetturale e tecnologica v1.2, ma consolida il documento in forma development-ready secondo il gold standard Ingestion Runtime: configuration contract, publication atomicity, compatibility, identity binding, readiness/reference gates, DR, Secure SDLC, runbook ed evidence package.</w:t>
      </w:r>
    </w:p>
    <w:tbl>
      <w:tblPr>
        <w:tblStyle w:val="TableGrid"/>
        <w:tblW w:type="auto" w:w="0"/>
        <w:jc w:val="center"/>
        <w:tblLook w:firstColumn="1" w:firstRow="1" w:lastColumn="0" w:lastRow="0" w:noHBand="0" w:noVBand="1" w:val="04A0"/>
      </w:tblPr>
      <w:tblGrid>
        <w:gridCol w:w="9072"/>
      </w:tblGrid>
      <w:tr>
        <w:trPr>
          <w:tblHeader w:val="true"/>
          <w:cantSplit/>
        </w:trPr>
        <w:tc>
          <w:tcPr>
            <w:tcW w:type="dxa" w:w="9072"/>
            <w:shd w:fill="EEF6FA"/>
            <w:tcMar>
              <w:top w:w="70" w:type="dxa"/>
              <w:start w:w="90" w:type="dxa"/>
              <w:bottom w:w="70" w:type="dxa"/>
              <w:end w:w="90" w:type="dxa"/>
            </w:tcMar>
          </w:tcPr>
          <w:p>
            <w:r>
              <w:t>Stato del documento</w:t>
              <w:br/>
              <w:t>DEVELOPMENT READY v1.3 - baseline architetturale/tecnologica consolidata; contratti, deployment, operations, compatibility, IAM/M2M integration gate e acceptance allineati al gold standard Ingestion.</w:t>
            </w:r>
          </w:p>
        </w:tc>
      </w:tr>
    </w:tbl>
    <w:p>
      <w:pPr>
        <w:spacing w:after="40"/>
      </w:pPr>
    </w:p>
    <w:p>
      <w:r>
        <w:rPr>
          <w:rFonts w:ascii="Noto Sans" w:hAnsi="Noto Sans" w:eastAsia="Noto Sans"/>
        </w:rPr>
      </w:r>
    </w:p>
    <w:p/>
    <w:p>
      <w:pPr>
        <w:pStyle w:val="Heading2"/>
      </w:pPr>
      <w:r>
        <w:t>Executive delta v1.3 — Implementation Readiness Consolidation</w:t>
      </w:r>
    </w:p>
    <w:p/>
    <w:p>
      <w:r>
        <w:t>La v1.3 assume l’Ingestion Runtime v1.2 come gold standard di completezza esecutiva. Non modifica la scelta APISIX/etcd/Kubernetes, il modello northbound/southbound, la separazione tra Gateway e trasformazione dati, né l’ownership di Source Onboarding, Authorization, Ingestion, Semantic Registry e UDP. La revisione consolida la baseline normativa corrente, chiude la stratificazione storica, formalizza il percorso Git/GitOps -&gt; config compilation -&gt; APISIX/etcd activation, introduce compatibility manifest e support window, runtime configuration catalog, identity/M2M binding, readiness/reference integrity gate, DR/evidence package, graceful drain e Secure SDLC per eventuali custom image/plugin.</w:t>
      </w:r>
    </w:p>
    <w:p>
      <w:pPr>
        <w:pStyle w:val="Heading2"/>
      </w:pPr>
      <w:r>
        <w:t>Executive delta v1.2 — Cross-Module Alignment</w:t>
      </w:r>
    </w:p>
    <w:p>
      <w:pPr/>
      <w:r>
        <w:rPr>
          <w:rFonts w:ascii="Noto Sans" w:hAnsi="Noto Sans"/>
        </w:rPr>
        <w:t>La v1.2 allinea l'Urban API Gateway alla Cross-Module Alignment Matrix v1.1 e alle Executive Freeze di UDP v1.2, Ingestion Runtime v1.2, Source Onboarding &amp; Configuration v1.3 e Authorization &amp; Access Control v1.3. Il perimetro non viene ampliato: il Gateway resta boundary enforcement point per traffico esterno, autenticazione, autorizzazione coarse-grained, route binding, rate limiting, payload controls, streaming, correlation e protocol governance. Non acquisisce responsabilità di fine-grained data authorization, Query Complexity Governor, Durable ACK, schema drift classification, ETL, Object Resolution, semantic mapping o materializzazione UDP.</w:t>
      </w:r>
    </w:p>
    <w:p>
      <w:pPr>
        <w:pStyle w:val="Heading2"/>
      </w:pPr>
      <w:r>
        <w:t>Executive delta v1.5 — Operational Event Boundary</w:t>
      </w:r>
    </w:p>
    <w:p>
      <w:pPr/>
      <w:r>
        <w:t>La v1.5 rende il Gateway producer e transport boundary della Operational Awareness. Il Gateway emette eventi persistibili per degradazioni di propria ownership (publication blocked, etcd degradation, upstream unreachability, trust/JWKS/credential failures) e media le query MCP verso i producer. Non espone raw APISIX/etcd telemetry al chatbot e non diventa il repository centrale degli incidenti.</w:t>
      </w:r>
    </w:p>
    <w:p>
      <w:pPr>
        <w:pStyle w:val="Heading1"/>
        <w:keepNext/>
        <w:spacing w:before="160"/>
      </w:pPr>
      <w:r>
        <w:rPr>
          <w:rFonts w:ascii="Noto Sans" w:hAnsi="Noto Sans" w:eastAsia="Noto Sans"/>
        </w:rPr>
        <w:t>1. Scopo e contesto</w:t>
      </w:r>
    </w:p>
    <w:p>
      <w:pPr>
        <w:pStyle w:val="BodyText"/>
        <w:widowControl/>
        <w:spacing w:after="80"/>
      </w:pPr>
      <w:r>
        <w:rPr>
          <w:rFonts w:ascii="Noto Sans" w:hAnsi="Noto Sans" w:eastAsia="Noto Sans"/>
        </w:rPr>
        <w:t>L’Urban API Gateway costituisce il punto obbligatorio di attraversamento del confine OUF per tutte le comunicazioni tra sistemi esterni e servizi interni. Nel core iniziale devono transitare dal Gateway i dati provenienti da SUAP, SUO e SUE, i servizi geospaziali provenienti dai WebGIS (inizialmente WFS e WMS) e le future richieste dei consumer verso le capability pubblicate dall’OUF.</w:t>
      </w:r>
    </w:p>
    <w:p>
      <w:pPr>
        <w:pStyle w:val="BodyText"/>
        <w:widowControl/>
        <w:spacing w:after="80"/>
      </w:pPr>
      <w:r>
        <w:rPr>
          <w:rFonts w:ascii="Noto Sans" w:hAnsi="Noto Sans" w:eastAsia="Noto Sans"/>
        </w:rPr>
        <w:t>Il Blue Paper attribuisce al Governed Service Exposure / Urban API Gateway routing, versioning, TLS, autenticazione, rate limiting, logging, correlation ID, gestione standard degli errori ed esposizione controllata di API, OGC, bulk ed eventi. Il Gateway non implementa ETL o logica di business e non espone accesso diretto allo storage.</w:t>
      </w:r>
    </w:p>
    <w:tbl>
      <w:tblPr>
        <w:tblStyle w:val="TableGrid"/>
        <w:tblW w:type="auto" w:w="0"/>
        <w:jc w:val="center"/>
        <w:tblLook w:firstColumn="1" w:firstRow="1" w:lastColumn="0" w:lastRow="0" w:noHBand="0" w:noVBand="1" w:val="04A0"/>
      </w:tblPr>
      <w:tblGrid>
        <w:gridCol w:w="9072"/>
      </w:tblGrid>
      <w:tr>
        <w:trPr>
          <w:tblHeader w:val="true"/>
          <w:cantSplit/>
        </w:trPr>
        <w:tc>
          <w:tcPr>
            <w:tcW w:type="dxa" w:w="9072"/>
            <w:shd w:fill="D6EAF8"/>
            <w:tcMar>
              <w:top w:w="70" w:type="dxa"/>
              <w:start w:w="90" w:type="dxa"/>
              <w:bottom w:w="70" w:type="dxa"/>
              <w:end w:w="90" w:type="dxa"/>
            </w:tcMar>
          </w:tcPr>
          <w:p>
            <w:r>
              <w:rPr>
                <w:rFonts w:ascii="Noto Sans" w:hAnsi="Noto Sans" w:eastAsia="Noto Sans"/>
                <w:sz w:val="17"/>
              </w:rPr>
              <w:t>Vincolo architetturale</w:t>
              <w:br/>
              <w:t>Nessun sistema esterno comunica direttamente con Adapter, ETL, Semantic Model, UDP o Data Lake. Ogni attraversamento del confine OUF passa dal Gateway o da un binding equivalente governato previsto dal medesimo perimetro.</w:t>
            </w:r>
          </w:p>
        </w:tc>
      </w:tr>
    </w:tbl>
    <w:p>
      <w:pPr>
        <w:spacing w:after="40"/>
      </w:pPr>
    </w:p>
    <w:p>
      <w:pPr>
        <w:pStyle w:val="Heading1"/>
        <w:keepNext/>
        <w:spacing w:before="160"/>
      </w:pPr>
      <w:r>
        <w:rPr>
          <w:rFonts w:ascii="Noto Sans" w:hAnsi="Noto Sans" w:eastAsia="Noto Sans"/>
        </w:rPr>
        <w:t>2. Perimetro del modulo</w:t>
      </w:r>
    </w:p>
    <w:tbl>
      <w:tblPr>
        <w:tblStyle w:val="TableGrid"/>
        <w:tblW w:type="auto" w:w="0"/>
        <w:jc w:val="center"/>
        <w:tblLook w:firstColumn="1" w:firstRow="1" w:lastColumn="0" w:lastRow="0" w:noHBand="0" w:noVBand="1" w:val="04A0"/>
      </w:tblPr>
      <w:tblGrid>
        <w:gridCol w:w="4536"/>
        <w:gridCol w:w="4536"/>
      </w:tblGrid>
      <w:tr>
        <w:trPr>
          <w:tblHeader w:val="true"/>
          <w:cantSplit/>
        </w:trPr>
        <w:tc>
          <w:tcPr>
            <w:tcW w:type="dxa" w:w="5216"/>
            <w:vAlign w:val="top"/>
            <w:shd w:fill="0B4F6C"/>
            <w:tcMar>
              <w:top w:w="70" w:type="dxa"/>
              <w:start w:w="90" w:type="dxa"/>
              <w:bottom w:w="70" w:type="dxa"/>
              <w:end w:w="90" w:type="dxa"/>
            </w:tcMar>
          </w:tcPr>
          <w:p>
            <w:r>
              <w:rPr>
                <w:rFonts w:ascii="Noto Sans" w:hAnsi="Noto Sans" w:eastAsia="Noto Sans"/>
                <w:sz w:val="17"/>
              </w:rPr>
              <w:t>Include</w:t>
            </w:r>
          </w:p>
        </w:tc>
        <w:tc>
          <w:tcPr>
            <w:tcW w:type="dxa" w:w="5216"/>
            <w:vAlign w:val="top"/>
            <w:shd w:fill="0B4F6C"/>
            <w:tcMar>
              <w:top w:w="70" w:type="dxa"/>
              <w:start w:w="90" w:type="dxa"/>
              <w:bottom w:w="70" w:type="dxa"/>
              <w:end w:w="90" w:type="dxa"/>
            </w:tcMar>
          </w:tcPr>
          <w:p>
            <w:r>
              <w:rPr>
                <w:rFonts w:ascii="Noto Sans" w:hAnsi="Noto Sans" w:eastAsia="Noto Sans"/>
                <w:sz w:val="17"/>
              </w:rPr>
              <w:t>Esclude / non implica</w:t>
            </w:r>
          </w:p>
        </w:tc>
      </w:tr>
      <w:tr>
        <w:trPr>
          <w:cantSplit/>
        </w:trPr>
        <w:tc>
          <w:tcPr>
            <w:tcW w:type="dxa" w:w="5216"/>
            <w:vAlign w:val="top"/>
            <w:tcMar>
              <w:top w:w="70" w:type="dxa"/>
              <w:start w:w="90" w:type="dxa"/>
              <w:bottom w:w="70" w:type="dxa"/>
              <w:end w:w="90" w:type="dxa"/>
            </w:tcMar>
          </w:tcPr>
          <w:p>
            <w:r>
              <w:rPr>
                <w:rFonts w:ascii="Noto Sans" w:hAnsi="Noto Sans" w:eastAsia="Noto Sans"/>
                <w:sz w:val="17"/>
              </w:rPr>
              <w:t>Routing e reverse proxy; TLS; autenticazione tecnica; autorizzazione per scope; rate limiting; logging e correlation ID; versioning; gestione errori; esposizione API/OGC/bulk; proxy southbound verso sorgenti esterne.</w:t>
            </w:r>
          </w:p>
        </w:tc>
        <w:tc>
          <w:tcPr>
            <w:tcW w:type="dxa" w:w="5216"/>
            <w:vAlign w:val="top"/>
            <w:tcMar>
              <w:top w:w="70" w:type="dxa"/>
              <w:start w:w="90" w:type="dxa"/>
              <w:bottom w:w="70" w:type="dxa"/>
              <w:end w:w="90" w:type="dxa"/>
            </w:tcMar>
          </w:tcPr>
          <w:p>
            <w:r>
              <w:rPr>
                <w:rFonts w:ascii="Noto Sans" w:hAnsi="Noto Sans" w:eastAsia="Noto Sans"/>
                <w:sz w:val="17"/>
              </w:rPr>
              <w:t>Trasformazione dei dati; mapping semantico; riconciliazione di entità; data quality di dominio; logica applicativa; persistenza nel Data Lake; accesso diretto ai database; orchestrazione ETL.</w:t>
            </w:r>
          </w:p>
        </w:tc>
      </w:tr>
    </w:tbl>
    <w:p>
      <w:pPr>
        <w:spacing w:after="40"/>
      </w:pPr>
    </w:p>
    <w:p>
      <w:pPr>
        <w:pStyle w:val="Heading1"/>
        <w:keepNext/>
        <w:spacing w:before="160"/>
      </w:pPr>
      <w:r>
        <w:rPr>
          <w:rFonts w:ascii="Noto Sans" w:hAnsi="Noto Sans" w:eastAsia="Noto Sans"/>
        </w:rPr>
        <w:t>3. Principi architetturali</w:t>
      </w:r>
    </w:p>
    <w:p>
      <w:pPr>
        <w:pStyle w:val="ListBullet"/>
        <w:spacing w:after="40"/>
      </w:pPr>
      <w:r>
        <w:rPr>
          <w:rFonts w:ascii="Noto Sans" w:hAnsi="Noto Sans" w:eastAsia="Noto Sans"/>
        </w:rPr>
        <w:t>Gateway come boundary enforcement point: controlla ogni attraversamento del confine OUF.</w:t>
      </w:r>
    </w:p>
    <w:p>
      <w:pPr>
        <w:pStyle w:val="ListBullet"/>
        <w:spacing w:after="40"/>
      </w:pPr>
      <w:r>
        <w:rPr>
          <w:rFonts w:ascii="Noto Sans" w:hAnsi="Noto Sans" w:eastAsia="Noto Sans"/>
        </w:rPr>
        <w:t>Separazione tra contratto/esposizione e logica di trasformazione: il Gateway valida e instrada, gli Adapter e l’ETL trasformano.</w:t>
      </w:r>
    </w:p>
    <w:p>
      <w:pPr>
        <w:pStyle w:val="ListBullet"/>
        <w:spacing w:after="40"/>
      </w:pPr>
      <w:r>
        <w:rPr>
          <w:rFonts w:ascii="Noto Sans" w:hAnsi="Noto Sans" w:eastAsia="Noto Sans"/>
        </w:rPr>
        <w:t>Northbound e southbound sono due profili logici dello stesso confine governato. Il modello operativo è ibrido: l’acquisizione dalle sorgenti autorevoli è prevalentemente PULL, mentre la fruizione verso consumer può essere sincrona, streaming o PUSH/event-driven quando richiesto.</w:t>
      </w:r>
    </w:p>
    <w:p>
      <w:pPr>
        <w:pStyle w:val="ListBullet"/>
        <w:spacing w:after="40"/>
      </w:pPr>
      <w:r>
        <w:rPr>
          <w:rFonts w:ascii="Noto Sans" w:hAnsi="Noto Sans" w:eastAsia="Noto Sans"/>
        </w:rPr>
        <w:t>Configurazione e policy sono versionate e gestite come codice.</w:t>
      </w:r>
    </w:p>
    <w:p>
      <w:pPr>
        <w:pStyle w:val="ListBullet"/>
        <w:spacing w:after="40"/>
      </w:pPr>
      <w:r>
        <w:rPr>
          <w:rFonts w:ascii="Noto Sans" w:hAnsi="Noto Sans" w:eastAsia="Noto Sans"/>
        </w:rPr>
        <w:t>Nel profilo iniziale il patrimonio ammesso è OPEN o ANONYMOUS; l’architettura resta estendibile a classificazioni più restrittive.</w:t>
      </w:r>
    </w:p>
    <w:p>
      <w:pPr>
        <w:pStyle w:val="ListBullet"/>
        <w:spacing w:after="40"/>
      </w:pPr>
      <w:r>
        <w:rPr>
          <w:rFonts w:ascii="Noto Sans" w:hAnsi="Noto Sans" w:eastAsia="Noto Sans"/>
        </w:rPr>
        <w:t>I protocolli legacy sono ammessi ai bordi; il modello canonico interno privilegia JSON.</w:t>
      </w:r>
    </w:p>
    <w:p>
      <w:pPr>
        <w:pStyle w:val="Heading1"/>
        <w:keepNext/>
        <w:spacing w:before="160"/>
      </w:pPr>
      <w:r>
        <w:rPr>
          <w:rFonts w:ascii="Noto Sans" w:hAnsi="Noto Sans" w:eastAsia="Noto Sans"/>
        </w:rPr>
        <w:t>4. Standard dati canonico</w:t>
      </w:r>
    </w:p>
    <w:p>
      <w:pPr>
        <w:pStyle w:val="Heading2"/>
        <w:keepNext/>
        <w:spacing w:before="160"/>
      </w:pPr>
      <w:r>
        <w:rPr>
          <w:rFonts w:ascii="Noto Sans" w:hAnsi="Noto Sans" w:eastAsia="Noto Sans"/>
        </w:rPr>
        <w:t>4.1 Decisione: JSON come formato canonico OUF</w:t>
      </w:r>
    </w:p>
    <w:p>
      <w:pPr>
        <w:pStyle w:val="BodyText"/>
        <w:widowControl/>
        <w:spacing w:after="80"/>
      </w:pPr>
      <w:r>
        <w:rPr>
          <w:rFonts w:ascii="Noto Sans" w:hAnsi="Noto Sans" w:eastAsia="Noto Sans"/>
        </w:rPr>
        <w:t>Per le nuove interfacce OUF viene adottato JSON come formato canonico di scambio. XML resta ammesso come formato legacy di ingresso quando imposto dai verticali esistenti, ma viene convertito dall’Adapter prima dell’elaborazione interna.</w:t>
      </w:r>
    </w:p>
    <w:tbl>
      <w:tblPr>
        <w:tblStyle w:val="TableGrid"/>
        <w:tblW w:type="auto" w:w="0"/>
        <w:jc w:val="center"/>
        <w:tblLook w:firstColumn="1" w:firstRow="1" w:lastColumn="0" w:lastRow="0" w:noHBand="0" w:noVBand="1" w:val="04A0"/>
      </w:tblPr>
      <w:tblGrid>
        <w:gridCol w:w="3024"/>
        <w:gridCol w:w="3024"/>
        <w:gridCol w:w="3024"/>
      </w:tblGrid>
      <w:tr>
        <w:trPr>
          <w:tblHeader w:val="true"/>
          <w:cantSplit/>
        </w:trPr>
        <w:tc>
          <w:tcPr>
            <w:tcW w:type="dxa" w:w="1701"/>
            <w:vAlign w:val="top"/>
            <w:shd w:fill="0B4F6C"/>
            <w:tcMar>
              <w:top w:w="70" w:type="dxa"/>
              <w:start w:w="90" w:type="dxa"/>
              <w:bottom w:w="70" w:type="dxa"/>
              <w:end w:w="90" w:type="dxa"/>
            </w:tcMar>
          </w:tcPr>
          <w:p>
            <w:r>
              <w:rPr>
                <w:rFonts w:ascii="Noto Sans" w:hAnsi="Noto Sans" w:eastAsia="Noto Sans"/>
                <w:sz w:val="17"/>
              </w:rPr>
              <w:t>Formato</w:t>
            </w:r>
          </w:p>
        </w:tc>
        <w:tc>
          <w:tcPr>
            <w:tcW w:type="dxa" w:w="5216"/>
            <w:vAlign w:val="top"/>
            <w:shd w:fill="0B4F6C"/>
            <w:tcMar>
              <w:top w:w="70" w:type="dxa"/>
              <w:start w:w="90" w:type="dxa"/>
              <w:bottom w:w="70" w:type="dxa"/>
              <w:end w:w="90" w:type="dxa"/>
            </w:tcMar>
          </w:tcPr>
          <w:p>
            <w:r>
              <w:rPr>
                <w:rFonts w:ascii="Noto Sans" w:hAnsi="Noto Sans" w:eastAsia="Noto Sans"/>
                <w:sz w:val="17"/>
              </w:rPr>
              <w:t>Ruolo</w:t>
            </w:r>
          </w:p>
        </w:tc>
        <w:tc>
          <w:tcPr>
            <w:tcW w:type="dxa" w:w="3402"/>
            <w:vAlign w:val="top"/>
            <w:shd w:fill="0B4F6C"/>
            <w:tcMar>
              <w:top w:w="70" w:type="dxa"/>
              <w:start w:w="90" w:type="dxa"/>
              <w:bottom w:w="70" w:type="dxa"/>
              <w:end w:w="90" w:type="dxa"/>
            </w:tcMar>
          </w:tcPr>
          <w:p>
            <w:r>
              <w:rPr>
                <w:rFonts w:ascii="Noto Sans" w:hAnsi="Noto Sans" w:eastAsia="Noto Sans"/>
                <w:sz w:val="17"/>
              </w:rPr>
              <w:t>Decisione</w:t>
            </w:r>
          </w:p>
        </w:tc>
      </w:tr>
      <w:tr>
        <w:trPr>
          <w:cantSplit/>
        </w:trPr>
        <w:tc>
          <w:tcPr>
            <w:tcW w:type="dxa" w:w="1701"/>
            <w:vAlign w:val="top"/>
            <w:tcMar>
              <w:top w:w="70" w:type="dxa"/>
              <w:start w:w="90" w:type="dxa"/>
              <w:bottom w:w="70" w:type="dxa"/>
              <w:end w:w="90" w:type="dxa"/>
            </w:tcMar>
          </w:tcPr>
          <w:p>
            <w:r>
              <w:rPr>
                <w:rFonts w:ascii="Noto Sans" w:hAnsi="Noto Sans" w:eastAsia="Noto Sans"/>
                <w:sz w:val="17"/>
              </w:rPr>
              <w:t>JSON</w:t>
            </w:r>
          </w:p>
        </w:tc>
        <w:tc>
          <w:tcPr>
            <w:tcW w:type="dxa" w:w="5216"/>
            <w:vAlign w:val="top"/>
            <w:tcMar>
              <w:top w:w="70" w:type="dxa"/>
              <w:start w:w="90" w:type="dxa"/>
              <w:bottom w:w="70" w:type="dxa"/>
              <w:end w:w="90" w:type="dxa"/>
            </w:tcMar>
          </w:tcPr>
          <w:p>
            <w:r>
              <w:rPr>
                <w:rFonts w:ascii="Noto Sans" w:hAnsi="Noto Sans" w:eastAsia="Noto Sans"/>
                <w:sz w:val="17"/>
              </w:rPr>
              <w:t>Formato canonico per API e payload amministrativi</w:t>
            </w:r>
          </w:p>
        </w:tc>
        <w:tc>
          <w:tcPr>
            <w:tcW w:type="dxa" w:w="3402"/>
            <w:vAlign w:val="top"/>
            <w:tcMar>
              <w:top w:w="70" w:type="dxa"/>
              <w:start w:w="90" w:type="dxa"/>
              <w:bottom w:w="70" w:type="dxa"/>
              <w:end w:w="90" w:type="dxa"/>
            </w:tcMar>
          </w:tcPr>
          <w:p>
            <w:r>
              <w:rPr>
                <w:rFonts w:ascii="Noto Sans" w:hAnsi="Noto Sans" w:eastAsia="Noto Sans"/>
                <w:sz w:val="17"/>
              </w:rPr>
              <w:t>STANDARD OUF</w:t>
            </w:r>
          </w:p>
        </w:tc>
      </w:tr>
      <w:tr>
        <w:trPr>
          <w:cantSplit/>
        </w:trPr>
        <w:tc>
          <w:tcPr>
            <w:tcW w:type="dxa" w:w="1701"/>
            <w:vAlign w:val="top"/>
            <w:shd w:fill="F3F4F6"/>
            <w:tcMar>
              <w:top w:w="70" w:type="dxa"/>
              <w:start w:w="90" w:type="dxa"/>
              <w:bottom w:w="70" w:type="dxa"/>
              <w:end w:w="90" w:type="dxa"/>
            </w:tcMar>
          </w:tcPr>
          <w:p>
            <w:r>
              <w:rPr>
                <w:rFonts w:ascii="Noto Sans" w:hAnsi="Noto Sans" w:eastAsia="Noto Sans"/>
                <w:sz w:val="17"/>
              </w:rPr>
              <w:t>XML</w:t>
            </w:r>
          </w:p>
        </w:tc>
        <w:tc>
          <w:tcPr>
            <w:tcW w:type="dxa" w:w="5216"/>
            <w:vAlign w:val="top"/>
            <w:shd w:fill="F3F4F6"/>
            <w:tcMar>
              <w:top w:w="70" w:type="dxa"/>
              <w:start w:w="90" w:type="dxa"/>
              <w:bottom w:w="70" w:type="dxa"/>
              <w:end w:w="90" w:type="dxa"/>
            </w:tcMar>
          </w:tcPr>
          <w:p>
            <w:r>
              <w:rPr>
                <w:rFonts w:ascii="Noto Sans" w:hAnsi="Noto Sans" w:eastAsia="Noto Sans"/>
                <w:sz w:val="17"/>
              </w:rPr>
              <w:t>Compatibilità con verticali legacy</w:t>
            </w:r>
          </w:p>
        </w:tc>
        <w:tc>
          <w:tcPr>
            <w:tcW w:type="dxa" w:w="3402"/>
            <w:vAlign w:val="top"/>
            <w:shd w:fill="F3F4F6"/>
            <w:tcMar>
              <w:top w:w="70" w:type="dxa"/>
              <w:start w:w="90" w:type="dxa"/>
              <w:bottom w:w="70" w:type="dxa"/>
              <w:end w:w="90" w:type="dxa"/>
            </w:tcMar>
          </w:tcPr>
          <w:p>
            <w:r>
              <w:rPr>
                <w:rFonts w:ascii="Noto Sans" w:hAnsi="Noto Sans" w:eastAsia="Noto Sans"/>
                <w:sz w:val="17"/>
              </w:rPr>
              <w:t>AMMESSO AL BORDO</w:t>
            </w:r>
          </w:p>
        </w:tc>
      </w:tr>
      <w:tr>
        <w:trPr>
          <w:cantSplit/>
        </w:trPr>
        <w:tc>
          <w:tcPr>
            <w:tcW w:type="dxa" w:w="1701"/>
            <w:vAlign w:val="top"/>
            <w:tcMar>
              <w:top w:w="70" w:type="dxa"/>
              <w:start w:w="90" w:type="dxa"/>
              <w:bottom w:w="70" w:type="dxa"/>
              <w:end w:w="90" w:type="dxa"/>
            </w:tcMar>
          </w:tcPr>
          <w:p>
            <w:r>
              <w:rPr>
                <w:rFonts w:ascii="Noto Sans" w:hAnsi="Noto Sans" w:eastAsia="Noto Sans"/>
                <w:sz w:val="17"/>
              </w:rPr>
              <w:t>GeoJSON</w:t>
            </w:r>
          </w:p>
        </w:tc>
        <w:tc>
          <w:tcPr>
            <w:tcW w:type="dxa" w:w="5216"/>
            <w:vAlign w:val="top"/>
            <w:tcMar>
              <w:top w:w="70" w:type="dxa"/>
              <w:start w:w="90" w:type="dxa"/>
              <w:bottom w:w="70" w:type="dxa"/>
              <w:end w:w="90" w:type="dxa"/>
            </w:tcMar>
          </w:tcPr>
          <w:p>
            <w:r>
              <w:rPr>
                <w:rFonts w:ascii="Noto Sans" w:hAnsi="Noto Sans" w:eastAsia="Noto Sans"/>
                <w:sz w:val="17"/>
              </w:rPr>
              <w:t>Formato minimo per feature geografiche normalizzate</w:t>
            </w:r>
          </w:p>
        </w:tc>
        <w:tc>
          <w:tcPr>
            <w:tcW w:type="dxa" w:w="3402"/>
            <w:vAlign w:val="top"/>
            <w:tcMar>
              <w:top w:w="70" w:type="dxa"/>
              <w:start w:w="90" w:type="dxa"/>
              <w:bottom w:w="70" w:type="dxa"/>
              <w:end w:w="90" w:type="dxa"/>
            </w:tcMar>
          </w:tcPr>
          <w:p>
            <w:r>
              <w:rPr>
                <w:rFonts w:ascii="Noto Sans" w:hAnsi="Noto Sans" w:eastAsia="Noto Sans"/>
                <w:sz w:val="17"/>
              </w:rPr>
              <w:t>AMMESSO</w:t>
            </w:r>
          </w:p>
        </w:tc>
      </w:tr>
      <w:tr>
        <w:trPr>
          <w:cantSplit/>
        </w:trPr>
        <w:tc>
          <w:tcPr>
            <w:tcW w:type="dxa" w:w="1701"/>
            <w:vAlign w:val="top"/>
            <w:shd w:fill="F3F4F6"/>
            <w:tcMar>
              <w:top w:w="70" w:type="dxa"/>
              <w:start w:w="90" w:type="dxa"/>
              <w:bottom w:w="70" w:type="dxa"/>
              <w:end w:w="90" w:type="dxa"/>
            </w:tcMar>
          </w:tcPr>
          <w:p>
            <w:r>
              <w:rPr>
                <w:rFonts w:ascii="Noto Sans" w:hAnsi="Noto Sans" w:eastAsia="Noto Sans"/>
                <w:sz w:val="17"/>
              </w:rPr>
              <w:t>JSON-FG</w:t>
            </w:r>
          </w:p>
        </w:tc>
        <w:tc>
          <w:tcPr>
            <w:tcW w:type="dxa" w:w="5216"/>
            <w:vAlign w:val="top"/>
            <w:shd w:fill="F3F4F6"/>
            <w:tcMar>
              <w:top w:w="70" w:type="dxa"/>
              <w:start w:w="90" w:type="dxa"/>
              <w:bottom w:w="70" w:type="dxa"/>
              <w:end w:w="90" w:type="dxa"/>
            </w:tcMar>
          </w:tcPr>
          <w:p>
            <w:r>
              <w:rPr>
                <w:rFonts w:ascii="Noto Sans" w:hAnsi="Noto Sans" w:eastAsia="Noto Sans"/>
                <w:sz w:val="17"/>
              </w:rPr>
              <w:t>Formato target per feature geografiche con semantica/CRS più ricchi</w:t>
            </w:r>
          </w:p>
        </w:tc>
        <w:tc>
          <w:tcPr>
            <w:tcW w:type="dxa" w:w="3402"/>
            <w:vAlign w:val="top"/>
            <w:shd w:fill="F3F4F6"/>
            <w:tcMar>
              <w:top w:w="70" w:type="dxa"/>
              <w:start w:w="90" w:type="dxa"/>
              <w:bottom w:w="70" w:type="dxa"/>
              <w:end w:w="90" w:type="dxa"/>
            </w:tcMar>
          </w:tcPr>
          <w:p>
            <w:r>
              <w:rPr>
                <w:rFonts w:ascii="Noto Sans" w:hAnsi="Noto Sans" w:eastAsia="Noto Sans"/>
                <w:sz w:val="17"/>
              </w:rPr>
              <w:t>PREFERITO PER EVOLUZIONE</w:t>
            </w:r>
          </w:p>
        </w:tc>
      </w:tr>
      <w:tr>
        <w:trPr>
          <w:cantSplit/>
        </w:trPr>
        <w:tc>
          <w:tcPr>
            <w:tcW w:type="dxa" w:w="1701"/>
            <w:vAlign w:val="top"/>
            <w:tcMar>
              <w:top w:w="70" w:type="dxa"/>
              <w:start w:w="90" w:type="dxa"/>
              <w:bottom w:w="70" w:type="dxa"/>
              <w:end w:w="90" w:type="dxa"/>
            </w:tcMar>
          </w:tcPr>
          <w:p>
            <w:r>
              <w:rPr>
                <w:rFonts w:ascii="Noto Sans" w:hAnsi="Noto Sans" w:eastAsia="Noto Sans"/>
                <w:sz w:val="17"/>
              </w:rPr>
              <w:t>GML</w:t>
            </w:r>
          </w:p>
        </w:tc>
        <w:tc>
          <w:tcPr>
            <w:tcW w:type="dxa" w:w="5216"/>
            <w:vAlign w:val="top"/>
            <w:tcMar>
              <w:top w:w="70" w:type="dxa"/>
              <w:start w:w="90" w:type="dxa"/>
              <w:bottom w:w="70" w:type="dxa"/>
              <w:end w:w="90" w:type="dxa"/>
            </w:tcMar>
          </w:tcPr>
          <w:p>
            <w:r>
              <w:rPr>
                <w:rFonts w:ascii="Noto Sans" w:hAnsi="Noto Sans" w:eastAsia="Noto Sans"/>
                <w:sz w:val="17"/>
              </w:rPr>
              <w:t>Formato legacy tipico WFS</w:t>
            </w:r>
          </w:p>
        </w:tc>
        <w:tc>
          <w:tcPr>
            <w:tcW w:type="dxa" w:w="3402"/>
            <w:vAlign w:val="top"/>
            <w:tcMar>
              <w:top w:w="70" w:type="dxa"/>
              <w:start w:w="90" w:type="dxa"/>
              <w:bottom w:w="70" w:type="dxa"/>
              <w:end w:w="90" w:type="dxa"/>
            </w:tcMar>
          </w:tcPr>
          <w:p>
            <w:r>
              <w:rPr>
                <w:rFonts w:ascii="Noto Sans" w:hAnsi="Noto Sans" w:eastAsia="Noto Sans"/>
                <w:sz w:val="17"/>
              </w:rPr>
              <w:t>CONVERTITO DALL’ADAPTER</w:t>
            </w:r>
          </w:p>
        </w:tc>
      </w:tr>
    </w:tbl>
    <w:p>
      <w:pPr>
        <w:spacing w:after="40"/>
      </w:pPr>
    </w:p>
    <w:p>
      <w:pPr>
        <w:pStyle w:val="Heading2"/>
        <w:keepNext/>
        <w:spacing w:before="160"/>
      </w:pPr>
      <w:r>
        <w:rPr>
          <w:rFonts w:ascii="Noto Sans" w:hAnsi="Noto Sans" w:eastAsia="Noto Sans"/>
        </w:rPr>
        <w:t>4.2 OUF Canonical Data Envelope</w:t>
      </w:r>
    </w:p>
    <w:p>
      <w:pPr>
        <w:pStyle w:val="BodyText"/>
      </w:pPr>
      <w:r>
        <w:rPr>
          <w:rFonts w:ascii="Noto Sans" w:hAnsi="Noto Sans" w:eastAsia="Noto Sans"/>
          <w:b/>
        </w:rPr>
        <w:t>Regola di confine: il formato OUF Canonical Data Envelope è un contratto interno Adapter → ETL / Ingestion. Non è un requisito imposto ai sistemi verticali e non è il contratto northbound del Gateway.</w:t>
      </w:r>
    </w:p>
    <w:p>
      <w:pPr>
        <w:pStyle w:val="BodyText"/>
        <w:widowControl/>
        <w:spacing w:after="80"/>
      </w:pPr>
      <w:r>
        <w:rPr>
          <w:rFonts w:ascii="Noto Sans" w:hAnsi="Noto Sans" w:eastAsia="Noto Sans"/>
        </w:rPr>
        <w:t>Ogni record o batch acquisito da SUAP, SUO o SUE viene trasformato, all’interno della piattaforma OUF e dopo il superamento dei controlli di bordo del Gateway, in un OUF Canonical Data Envelope standard. I sistemi sorgente non sono tenuti a produrre direttamente tale envelope: continuano a esporre o inviare il dato nel formato nativo concordato (JSON, XML, API proprietaria, file o altro binding ammesso). La responsabilità di costruire l’envelope, separando metadati tecnici e di governance dal payload sorgente, appartiene all’Adapter / Connector Framework.</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w:t>
              <w:br/>
              <w:t xml:space="preserve">  "oufVersion": "1.0",</w:t>
              <w:br/>
              <w:t xml:space="preserve">  "messageId": "01JXYZ...",</w:t>
              <w:br/>
              <w:t xml:space="preserve">  "source": {</w:t>
              <w:br/>
              <w:t xml:space="preserve">    "system": "SUAP",</w:t>
              <w:br/>
              <w:t xml:space="preserve">    "sourceId": "suap-prod",</w:t>
              <w:br/>
              <w:t xml:space="preserve">    "dataset": "procedimenti",</w:t>
              <w:br/>
              <w:t xml:space="preserve">    "environment": "production"</w:t>
              <w:br/>
              <w:t xml:space="preserve">  },</w:t>
              <w:br/>
              <w:t xml:space="preserve">  "sourceObject": {</w:t>
              <w:br/>
              <w:t xml:space="preserve">    "type": "SUAP_PROC_047",</w:t>
              <w:br/>
              <w:t xml:space="preserve">    "instanceId": "SUAP-2026-00018453",</w:t>
              <w:br/>
              <w:t xml:space="preserve">    "procedureCode": "047"</w:t>
              <w:br/>
              <w:t xml:space="preserve">  },</w:t>
              <w:br/>
              <w:t xml:space="preserve">  "operation": "UPSERT",</w:t>
              <w:br/>
              <w:t xml:space="preserve">  "extractedAt": "2026-08-24T12:30:00Z",</w:t>
              <w:br/>
              <w:t xml:space="preserve">  "classification": "ANONYMOUS",</w:t>
              <w:br/>
              <w:t xml:space="preserve">  "sourceSchema": {</w:t>
              <w:br/>
              <w:t xml:space="preserve">    "name": "suap.proc047",</w:t>
              <w:br/>
              <w:t xml:space="preserve">    "version": "3.2"</w:t>
              <w:br/>
              <w:t xml:space="preserve">  },</w:t>
              <w:br/>
              <w:t xml:space="preserve">  "payload": {}</w:t>
              <w:br/>
              <w:t>}</w:t>
            </w:r>
          </w:p>
        </w:tc>
      </w:tr>
    </w:tbl>
    <w:p>
      <w:pPr>
        <w:spacing w:after="40"/>
      </w:pPr>
    </w:p>
    <w:tbl>
      <w:tblPr>
        <w:tblStyle w:val="TableGrid"/>
        <w:tblW w:type="auto" w:w="0"/>
        <w:jc w:val="center"/>
        <w:tblLook w:firstColumn="1" w:firstRow="1" w:lastColumn="0" w:lastRow="0" w:noHBand="0" w:noVBand="1" w:val="04A0"/>
      </w:tblPr>
      <w:tblGrid>
        <w:gridCol w:w="3024"/>
        <w:gridCol w:w="3024"/>
        <w:gridCol w:w="3024"/>
      </w:tblGrid>
      <w:tr>
        <w:trPr>
          <w:tblHeader w:val="true"/>
          <w:cantSplit/>
        </w:trPr>
        <w:tc>
          <w:tcPr>
            <w:tcW w:type="dxa" w:w="2268"/>
            <w:vAlign w:val="top"/>
            <w:shd w:fill="0B4F6C"/>
            <w:tcMar>
              <w:top w:w="70" w:type="dxa"/>
              <w:start w:w="90" w:type="dxa"/>
              <w:bottom w:w="70" w:type="dxa"/>
              <w:end w:w="90" w:type="dxa"/>
            </w:tcMar>
          </w:tcPr>
          <w:p>
            <w:r>
              <w:rPr>
                <w:rFonts w:ascii="Noto Sans" w:hAnsi="Noto Sans" w:eastAsia="Noto Sans"/>
                <w:sz w:val="17"/>
              </w:rPr>
              <w:t>Campo</w:t>
            </w:r>
          </w:p>
        </w:tc>
        <w:tc>
          <w:tcPr>
            <w:tcW w:type="dxa" w:w="1304"/>
            <w:vAlign w:val="top"/>
            <w:shd w:fill="0B4F6C"/>
            <w:tcMar>
              <w:top w:w="70" w:type="dxa"/>
              <w:start w:w="90" w:type="dxa"/>
              <w:bottom w:w="70" w:type="dxa"/>
              <w:end w:w="90" w:type="dxa"/>
            </w:tcMar>
          </w:tcPr>
          <w:p>
            <w:r>
              <w:rPr>
                <w:rFonts w:ascii="Noto Sans" w:hAnsi="Noto Sans" w:eastAsia="Noto Sans"/>
                <w:sz w:val="17"/>
              </w:rPr>
              <w:t>Obbligatorio</w:t>
            </w:r>
          </w:p>
        </w:tc>
        <w:tc>
          <w:tcPr>
            <w:tcW w:type="dxa" w:w="6746"/>
            <w:vAlign w:val="top"/>
            <w:shd w:fill="0B4F6C"/>
            <w:tcMar>
              <w:top w:w="70" w:type="dxa"/>
              <w:start w:w="90" w:type="dxa"/>
              <w:bottom w:w="70" w:type="dxa"/>
              <w:end w:w="90" w:type="dxa"/>
            </w:tcMar>
          </w:tcPr>
          <w:p>
            <w:r>
              <w:rPr>
                <w:rFonts w:ascii="Noto Sans" w:hAnsi="Noto Sans" w:eastAsia="Noto Sans"/>
                <w:sz w:val="17"/>
              </w:rPr>
              <w:t>Significato</w:t>
            </w:r>
          </w:p>
        </w:tc>
      </w:tr>
      <w:tr>
        <w:trPr>
          <w:cantSplit/>
        </w:trPr>
        <w:tc>
          <w:tcPr>
            <w:tcW w:type="dxa" w:w="2268"/>
            <w:vAlign w:val="top"/>
            <w:tcMar>
              <w:top w:w="70" w:type="dxa"/>
              <w:start w:w="90" w:type="dxa"/>
              <w:bottom w:w="70" w:type="dxa"/>
              <w:end w:w="90" w:type="dxa"/>
            </w:tcMar>
          </w:tcPr>
          <w:p>
            <w:r>
              <w:rPr>
                <w:rFonts w:ascii="Noto Sans" w:hAnsi="Noto Sans" w:eastAsia="Noto Sans"/>
                <w:sz w:val="17"/>
              </w:rPr>
              <w:t>oufVersion</w:t>
            </w:r>
          </w:p>
        </w:tc>
        <w:tc>
          <w:tcPr>
            <w:tcW w:type="dxa" w:w="1304"/>
            <w:vAlign w:val="top"/>
            <w:tcMar>
              <w:top w:w="70" w:type="dxa"/>
              <w:start w:w="90" w:type="dxa"/>
              <w:bottom w:w="70" w:type="dxa"/>
              <w:end w:w="90" w:type="dxa"/>
            </w:tcMar>
          </w:tcPr>
          <w:p>
            <w:r>
              <w:rPr>
                <w:rFonts w:ascii="Noto Sans" w:hAnsi="Noto Sans" w:eastAsia="Noto Sans"/>
                <w:sz w:val="17"/>
              </w:rPr>
              <w:t>Sì</w:t>
            </w:r>
          </w:p>
        </w:tc>
        <w:tc>
          <w:tcPr>
            <w:tcW w:type="dxa" w:w="6746"/>
            <w:vAlign w:val="top"/>
            <w:tcMar>
              <w:top w:w="70" w:type="dxa"/>
              <w:start w:w="90" w:type="dxa"/>
              <w:bottom w:w="70" w:type="dxa"/>
              <w:end w:w="90" w:type="dxa"/>
            </w:tcMar>
          </w:tcPr>
          <w:p>
            <w:r>
              <w:rPr>
                <w:rFonts w:ascii="Noto Sans" w:hAnsi="Noto Sans" w:eastAsia="Noto Sans"/>
                <w:sz w:val="17"/>
              </w:rPr>
              <w:t>Versione del protocollo OUF</w:t>
            </w:r>
          </w:p>
        </w:tc>
      </w:tr>
      <w:tr>
        <w:trPr>
          <w:cantSplit/>
        </w:trPr>
        <w:tc>
          <w:tcPr>
            <w:tcW w:type="dxa" w:w="2268"/>
            <w:vAlign w:val="top"/>
            <w:shd w:fill="F3F4F6"/>
            <w:tcMar>
              <w:top w:w="70" w:type="dxa"/>
              <w:start w:w="90" w:type="dxa"/>
              <w:bottom w:w="70" w:type="dxa"/>
              <w:end w:w="90" w:type="dxa"/>
            </w:tcMar>
          </w:tcPr>
          <w:p>
            <w:r>
              <w:rPr>
                <w:rFonts w:ascii="Noto Sans" w:hAnsi="Noto Sans" w:eastAsia="Noto Sans"/>
                <w:sz w:val="17"/>
              </w:rPr>
              <w:t>messageId</w:t>
            </w:r>
          </w:p>
        </w:tc>
        <w:tc>
          <w:tcPr>
            <w:tcW w:type="dxa" w:w="1304"/>
            <w:vAlign w:val="top"/>
            <w:shd w:fill="F3F4F6"/>
            <w:tcMar>
              <w:top w:w="70" w:type="dxa"/>
              <w:start w:w="90" w:type="dxa"/>
              <w:bottom w:w="70" w:type="dxa"/>
              <w:end w:w="90" w:type="dxa"/>
            </w:tcMar>
          </w:tcPr>
          <w:p>
            <w:r>
              <w:rPr>
                <w:rFonts w:ascii="Noto Sans" w:hAnsi="Noto Sans" w:eastAsia="Noto Sans"/>
                <w:sz w:val="17"/>
              </w:rPr>
              <w:t>Sì</w:t>
            </w:r>
          </w:p>
        </w:tc>
        <w:tc>
          <w:tcPr>
            <w:tcW w:type="dxa" w:w="6746"/>
            <w:vAlign w:val="top"/>
            <w:shd w:fill="F3F4F6"/>
            <w:tcMar>
              <w:top w:w="70" w:type="dxa"/>
              <w:start w:w="90" w:type="dxa"/>
              <w:bottom w:w="70" w:type="dxa"/>
              <w:end w:w="90" w:type="dxa"/>
            </w:tcMar>
          </w:tcPr>
          <w:p>
            <w:r>
              <w:rPr>
                <w:rFonts w:ascii="Noto Sans" w:hAnsi="Noto Sans" w:eastAsia="Noto Sans"/>
                <w:sz w:val="17"/>
              </w:rPr>
              <w:t>Identificativo univoco assegnato dall’Adapter/Connector</w:t>
            </w:r>
          </w:p>
        </w:tc>
      </w:tr>
      <w:tr>
        <w:trPr>
          <w:cantSplit/>
        </w:trPr>
        <w:tc>
          <w:tcPr>
            <w:tcW w:type="dxa" w:w="2268"/>
            <w:vAlign w:val="top"/>
            <w:tcMar>
              <w:top w:w="70" w:type="dxa"/>
              <w:start w:w="90" w:type="dxa"/>
              <w:bottom w:w="70" w:type="dxa"/>
              <w:end w:w="90" w:type="dxa"/>
            </w:tcMar>
          </w:tcPr>
          <w:p>
            <w:r>
              <w:rPr>
                <w:rFonts w:ascii="Noto Sans" w:hAnsi="Noto Sans" w:eastAsia="Noto Sans"/>
                <w:sz w:val="17"/>
              </w:rPr>
              <w:t>source.system</w:t>
            </w:r>
          </w:p>
        </w:tc>
        <w:tc>
          <w:tcPr>
            <w:tcW w:type="dxa" w:w="1304"/>
            <w:vAlign w:val="top"/>
            <w:tcMar>
              <w:top w:w="70" w:type="dxa"/>
              <w:start w:w="90" w:type="dxa"/>
              <w:bottom w:w="70" w:type="dxa"/>
              <w:end w:w="90" w:type="dxa"/>
            </w:tcMar>
          </w:tcPr>
          <w:p>
            <w:r>
              <w:rPr>
                <w:rFonts w:ascii="Noto Sans" w:hAnsi="Noto Sans" w:eastAsia="Noto Sans"/>
                <w:sz w:val="17"/>
              </w:rPr>
              <w:t>Sì</w:t>
            </w:r>
          </w:p>
        </w:tc>
        <w:tc>
          <w:tcPr>
            <w:tcW w:type="dxa" w:w="6746"/>
            <w:vAlign w:val="top"/>
            <w:tcMar>
              <w:top w:w="70" w:type="dxa"/>
              <w:start w:w="90" w:type="dxa"/>
              <w:bottom w:w="70" w:type="dxa"/>
              <w:end w:w="90" w:type="dxa"/>
            </w:tcMar>
          </w:tcPr>
          <w:p>
            <w:r>
              <w:rPr>
                <w:rFonts w:ascii="Noto Sans" w:hAnsi="Noto Sans" w:eastAsia="Noto Sans"/>
                <w:sz w:val="17"/>
              </w:rPr>
              <w:t>SUAP, SUO, SUE o altra sorgente</w:t>
            </w:r>
          </w:p>
        </w:tc>
      </w:tr>
      <w:tr>
        <w:trPr>
          <w:cantSplit/>
        </w:trPr>
        <w:tc>
          <w:tcPr>
            <w:tcW w:type="dxa" w:w="2268"/>
            <w:vAlign w:val="top"/>
            <w:shd w:fill="F3F4F6"/>
            <w:tcMar>
              <w:top w:w="70" w:type="dxa"/>
              <w:start w:w="90" w:type="dxa"/>
              <w:bottom w:w="70" w:type="dxa"/>
              <w:end w:w="90" w:type="dxa"/>
            </w:tcMar>
          </w:tcPr>
          <w:p>
            <w:r>
              <w:rPr>
                <w:rFonts w:ascii="Noto Sans" w:hAnsi="Noto Sans" w:eastAsia="Noto Sans"/>
                <w:sz w:val="17"/>
              </w:rPr>
              <w:t>source.dataset</w:t>
            </w:r>
          </w:p>
        </w:tc>
        <w:tc>
          <w:tcPr>
            <w:tcW w:type="dxa" w:w="1304"/>
            <w:vAlign w:val="top"/>
            <w:shd w:fill="F3F4F6"/>
            <w:tcMar>
              <w:top w:w="70" w:type="dxa"/>
              <w:start w:w="90" w:type="dxa"/>
              <w:bottom w:w="70" w:type="dxa"/>
              <w:end w:w="90" w:type="dxa"/>
            </w:tcMar>
          </w:tcPr>
          <w:p>
            <w:r>
              <w:rPr>
                <w:rFonts w:ascii="Noto Sans" w:hAnsi="Noto Sans" w:eastAsia="Noto Sans"/>
                <w:sz w:val="17"/>
              </w:rPr>
              <w:t>Sì</w:t>
            </w:r>
          </w:p>
        </w:tc>
        <w:tc>
          <w:tcPr>
            <w:tcW w:type="dxa" w:w="6746"/>
            <w:vAlign w:val="top"/>
            <w:shd w:fill="F3F4F6"/>
            <w:tcMar>
              <w:top w:w="70" w:type="dxa"/>
              <w:start w:w="90" w:type="dxa"/>
              <w:bottom w:w="70" w:type="dxa"/>
              <w:end w:w="90" w:type="dxa"/>
            </w:tcMar>
          </w:tcPr>
          <w:p>
            <w:r>
              <w:rPr>
                <w:rFonts w:ascii="Noto Sans" w:hAnsi="Noto Sans" w:eastAsia="Noto Sans"/>
                <w:sz w:val="17"/>
              </w:rPr>
              <w:t>Dataset logico</w:t>
            </w:r>
          </w:p>
        </w:tc>
      </w:tr>
      <w:tr>
        <w:trPr>
          <w:cantSplit/>
        </w:trPr>
        <w:tc>
          <w:tcPr>
            <w:tcW w:type="dxa" w:w="2268"/>
            <w:vAlign w:val="top"/>
            <w:tcMar>
              <w:top w:w="70" w:type="dxa"/>
              <w:start w:w="90" w:type="dxa"/>
              <w:bottom w:w="70" w:type="dxa"/>
              <w:end w:w="90" w:type="dxa"/>
            </w:tcMar>
          </w:tcPr>
          <w:p>
            <w:r>
              <w:rPr>
                <w:rFonts w:ascii="Noto Sans" w:hAnsi="Noto Sans" w:eastAsia="Noto Sans"/>
                <w:sz w:val="17"/>
              </w:rPr>
              <w:t>operation</w:t>
            </w:r>
          </w:p>
        </w:tc>
        <w:tc>
          <w:tcPr>
            <w:tcW w:type="dxa" w:w="1304"/>
            <w:vAlign w:val="top"/>
            <w:tcMar>
              <w:top w:w="70" w:type="dxa"/>
              <w:start w:w="90" w:type="dxa"/>
              <w:bottom w:w="70" w:type="dxa"/>
              <w:end w:w="90" w:type="dxa"/>
            </w:tcMar>
          </w:tcPr>
          <w:p>
            <w:r>
              <w:rPr>
                <w:rFonts w:ascii="Noto Sans" w:hAnsi="Noto Sans" w:eastAsia="Noto Sans"/>
                <w:sz w:val="17"/>
              </w:rPr>
              <w:t>Sì</w:t>
            </w:r>
          </w:p>
        </w:tc>
        <w:tc>
          <w:tcPr>
            <w:tcW w:type="dxa" w:w="6746"/>
            <w:vAlign w:val="top"/>
            <w:tcMar>
              <w:top w:w="70" w:type="dxa"/>
              <w:start w:w="90" w:type="dxa"/>
              <w:bottom w:w="70" w:type="dxa"/>
              <w:end w:w="90" w:type="dxa"/>
            </w:tcMar>
          </w:tcPr>
          <w:p>
            <w:r>
              <w:rPr>
                <w:rFonts w:ascii="Noto Sans" w:hAnsi="Noto Sans" w:eastAsia="Noto Sans"/>
                <w:sz w:val="17"/>
              </w:rPr>
              <w:t>SNAPSHOT, UPSERT, DELETE/TOMBSTONE</w:t>
            </w:r>
          </w:p>
        </w:tc>
      </w:tr>
      <w:tr>
        <w:trPr>
          <w:cantSplit/>
        </w:trPr>
        <w:tc>
          <w:tcPr>
            <w:tcW w:type="dxa" w:w="2268"/>
            <w:vAlign w:val="top"/>
            <w:shd w:fill="F3F4F6"/>
            <w:tcMar>
              <w:top w:w="70" w:type="dxa"/>
              <w:start w:w="90" w:type="dxa"/>
              <w:bottom w:w="70" w:type="dxa"/>
              <w:end w:w="90" w:type="dxa"/>
            </w:tcMar>
          </w:tcPr>
          <w:p>
            <w:r>
              <w:rPr>
                <w:rFonts w:ascii="Noto Sans" w:hAnsi="Noto Sans" w:eastAsia="Noto Sans"/>
                <w:sz w:val="17"/>
              </w:rPr>
              <w:t>extractedAt</w:t>
            </w:r>
          </w:p>
        </w:tc>
        <w:tc>
          <w:tcPr>
            <w:tcW w:type="dxa" w:w="1304"/>
            <w:vAlign w:val="top"/>
            <w:shd w:fill="F3F4F6"/>
            <w:tcMar>
              <w:top w:w="70" w:type="dxa"/>
              <w:start w:w="90" w:type="dxa"/>
              <w:bottom w:w="70" w:type="dxa"/>
              <w:end w:w="90" w:type="dxa"/>
            </w:tcMar>
          </w:tcPr>
          <w:p>
            <w:r>
              <w:rPr>
                <w:rFonts w:ascii="Noto Sans" w:hAnsi="Noto Sans" w:eastAsia="Noto Sans"/>
                <w:sz w:val="17"/>
              </w:rPr>
              <w:t>Sì</w:t>
            </w:r>
          </w:p>
        </w:tc>
        <w:tc>
          <w:tcPr>
            <w:tcW w:type="dxa" w:w="6746"/>
            <w:vAlign w:val="top"/>
            <w:shd w:fill="F3F4F6"/>
            <w:tcMar>
              <w:top w:w="70" w:type="dxa"/>
              <w:start w:w="90" w:type="dxa"/>
              <w:bottom w:w="70" w:type="dxa"/>
              <w:end w:w="90" w:type="dxa"/>
            </w:tcMar>
          </w:tcPr>
          <w:p>
            <w:r>
              <w:rPr>
                <w:rFonts w:ascii="Noto Sans" w:hAnsi="Noto Sans" w:eastAsia="Noto Sans"/>
                <w:sz w:val="17"/>
              </w:rPr>
              <w:t>Data/ora di estrazione</w:t>
            </w:r>
          </w:p>
        </w:tc>
      </w:tr>
      <w:tr>
        <w:trPr>
          <w:cantSplit/>
        </w:trPr>
        <w:tc>
          <w:tcPr>
            <w:tcW w:type="dxa" w:w="2268"/>
            <w:vAlign w:val="top"/>
            <w:tcMar>
              <w:top w:w="70" w:type="dxa"/>
              <w:start w:w="90" w:type="dxa"/>
              <w:bottom w:w="70" w:type="dxa"/>
              <w:end w:w="90" w:type="dxa"/>
            </w:tcMar>
          </w:tcPr>
          <w:p>
            <w:r>
              <w:rPr>
                <w:rFonts w:ascii="Noto Sans" w:hAnsi="Noto Sans" w:eastAsia="Noto Sans"/>
                <w:sz w:val="17"/>
              </w:rPr>
              <w:t>classification</w:t>
            </w:r>
          </w:p>
        </w:tc>
        <w:tc>
          <w:tcPr>
            <w:tcW w:type="dxa" w:w="1304"/>
            <w:vAlign w:val="top"/>
            <w:tcMar>
              <w:top w:w="70" w:type="dxa"/>
              <w:start w:w="90" w:type="dxa"/>
              <w:bottom w:w="70" w:type="dxa"/>
              <w:end w:w="90" w:type="dxa"/>
            </w:tcMar>
          </w:tcPr>
          <w:p>
            <w:r>
              <w:rPr>
                <w:rFonts w:ascii="Noto Sans" w:hAnsi="Noto Sans" w:eastAsia="Noto Sans"/>
                <w:sz w:val="17"/>
              </w:rPr>
              <w:t>Sì</w:t>
            </w:r>
          </w:p>
        </w:tc>
        <w:tc>
          <w:tcPr>
            <w:tcW w:type="dxa" w:w="6746"/>
            <w:vAlign w:val="top"/>
            <w:tcMar>
              <w:top w:w="70" w:type="dxa"/>
              <w:start w:w="90" w:type="dxa"/>
              <w:bottom w:w="70" w:type="dxa"/>
              <w:end w:w="90" w:type="dxa"/>
            </w:tcMar>
          </w:tcPr>
          <w:p>
            <w:r>
              <w:rPr>
                <w:rFonts w:ascii="Noto Sans" w:hAnsi="Noto Sans" w:eastAsia="Noto Sans"/>
                <w:sz w:val="17"/>
              </w:rPr>
              <w:t>Classificazione di ammissione OPEN o ANONYMOUS assegnata/confermata dalla pipeline di ingresso</w:t>
            </w:r>
          </w:p>
        </w:tc>
      </w:tr>
      <w:tr>
        <w:trPr>
          <w:cantSplit/>
        </w:trPr>
        <w:tc>
          <w:tcPr>
            <w:tcW w:type="dxa" w:w="2268"/>
            <w:vAlign w:val="top"/>
            <w:shd w:fill="F3F4F6"/>
            <w:tcMar>
              <w:top w:w="70" w:type="dxa"/>
              <w:start w:w="90" w:type="dxa"/>
              <w:bottom w:w="70" w:type="dxa"/>
              <w:end w:w="90" w:type="dxa"/>
            </w:tcMar>
          </w:tcPr>
          <w:p>
            <w:r>
              <w:rPr>
                <w:rFonts w:ascii="Noto Sans" w:hAnsi="Noto Sans" w:eastAsia="Noto Sans"/>
                <w:sz w:val="17"/>
              </w:rPr>
              <w:t>sourceSchema.name</w:t>
            </w:r>
          </w:p>
        </w:tc>
        <w:tc>
          <w:tcPr>
            <w:tcW w:type="dxa" w:w="1304"/>
            <w:vAlign w:val="top"/>
            <w:shd w:fill="F3F4F6"/>
            <w:tcMar>
              <w:top w:w="70" w:type="dxa"/>
              <w:start w:w="90" w:type="dxa"/>
              <w:bottom w:w="70" w:type="dxa"/>
              <w:end w:w="90" w:type="dxa"/>
            </w:tcMar>
          </w:tcPr>
          <w:p>
            <w:r>
              <w:rPr>
                <w:rFonts w:ascii="Noto Sans" w:hAnsi="Noto Sans" w:eastAsia="Noto Sans"/>
                <w:sz w:val="17"/>
              </w:rPr>
              <w:t>Sì</w:t>
            </w:r>
          </w:p>
        </w:tc>
        <w:tc>
          <w:tcPr>
            <w:tcW w:type="dxa" w:w="6746"/>
            <w:vAlign w:val="top"/>
            <w:shd w:fill="F3F4F6"/>
            <w:tcMar>
              <w:top w:w="70" w:type="dxa"/>
              <w:start w:w="90" w:type="dxa"/>
              <w:bottom w:w="70" w:type="dxa"/>
              <w:end w:w="90" w:type="dxa"/>
            </w:tcMar>
          </w:tcPr>
          <w:p>
            <w:r>
              <w:rPr>
                <w:rFonts w:ascii="Noto Sans" w:hAnsi="Noto Sans" w:eastAsia="Noto Sans"/>
                <w:sz w:val="17"/>
              </w:rPr>
              <w:t>Nome del contratto/schema sorgente riconosciuto dall’Adapter</w:t>
            </w:r>
          </w:p>
        </w:tc>
      </w:tr>
      <w:tr>
        <w:trPr>
          <w:cantSplit/>
        </w:trPr>
        <w:tc>
          <w:tcPr>
            <w:tcW w:type="dxa" w:w="2268"/>
            <w:vAlign w:val="top"/>
            <w:tcMar>
              <w:top w:w="70" w:type="dxa"/>
              <w:start w:w="90" w:type="dxa"/>
              <w:bottom w:w="70" w:type="dxa"/>
              <w:end w:w="90" w:type="dxa"/>
            </w:tcMar>
          </w:tcPr>
          <w:p>
            <w:r>
              <w:rPr>
                <w:rFonts w:ascii="Noto Sans" w:hAnsi="Noto Sans" w:eastAsia="Noto Sans"/>
                <w:sz w:val="17"/>
              </w:rPr>
              <w:t>sourceSchema.version</w:t>
            </w:r>
          </w:p>
        </w:tc>
        <w:tc>
          <w:tcPr>
            <w:tcW w:type="dxa" w:w="1304"/>
            <w:vAlign w:val="top"/>
            <w:tcMar>
              <w:top w:w="70" w:type="dxa"/>
              <w:start w:w="90" w:type="dxa"/>
              <w:bottom w:w="70" w:type="dxa"/>
              <w:end w:w="90" w:type="dxa"/>
            </w:tcMar>
          </w:tcPr>
          <w:p>
            <w:r>
              <w:rPr>
                <w:rFonts w:ascii="Noto Sans" w:hAnsi="Noto Sans" w:eastAsia="Noto Sans"/>
                <w:sz w:val="17"/>
              </w:rPr>
              <w:t>Sì</w:t>
            </w:r>
          </w:p>
        </w:tc>
        <w:tc>
          <w:tcPr>
            <w:tcW w:type="dxa" w:w="6746"/>
            <w:vAlign w:val="top"/>
            <w:tcMar>
              <w:top w:w="70" w:type="dxa"/>
              <w:start w:w="90" w:type="dxa"/>
              <w:bottom w:w="70" w:type="dxa"/>
              <w:end w:w="90" w:type="dxa"/>
            </w:tcMar>
          </w:tcPr>
          <w:p>
            <w:r>
              <w:rPr>
                <w:rFonts w:ascii="Noto Sans" w:hAnsi="Noto Sans" w:eastAsia="Noto Sans"/>
                <w:sz w:val="17"/>
              </w:rPr>
              <w:t>Versione del contratto/schema sorgente</w:t>
            </w:r>
          </w:p>
        </w:tc>
      </w:tr>
      <w:tr>
        <w:trPr>
          <w:cantSplit/>
        </w:trPr>
        <w:tc>
          <w:tcPr>
            <w:tcW w:type="dxa" w:w="2268"/>
            <w:vAlign w:val="top"/>
            <w:shd w:fill="F3F4F6"/>
            <w:tcMar>
              <w:top w:w="70" w:type="dxa"/>
              <w:start w:w="90" w:type="dxa"/>
              <w:bottom w:w="70" w:type="dxa"/>
              <w:end w:w="90" w:type="dxa"/>
            </w:tcMar>
          </w:tcPr>
          <w:p>
            <w:r>
              <w:rPr>
                <w:rFonts w:ascii="Noto Sans" w:hAnsi="Noto Sans" w:eastAsia="Noto Sans"/>
                <w:sz w:val="17"/>
              </w:rPr>
              <w:t>payload</w:t>
            </w:r>
          </w:p>
        </w:tc>
        <w:tc>
          <w:tcPr>
            <w:tcW w:type="dxa" w:w="1304"/>
            <w:vAlign w:val="top"/>
            <w:shd w:fill="F3F4F6"/>
            <w:tcMar>
              <w:top w:w="70" w:type="dxa"/>
              <w:start w:w="90" w:type="dxa"/>
              <w:bottom w:w="70" w:type="dxa"/>
              <w:end w:w="90" w:type="dxa"/>
            </w:tcMar>
          </w:tcPr>
          <w:p>
            <w:r>
              <w:rPr>
                <w:rFonts w:ascii="Noto Sans" w:hAnsi="Noto Sans" w:eastAsia="Noto Sans"/>
                <w:sz w:val="17"/>
              </w:rPr>
              <w:t>Sì</w:t>
            </w:r>
          </w:p>
        </w:tc>
        <w:tc>
          <w:tcPr>
            <w:tcW w:type="dxa" w:w="6746"/>
            <w:vAlign w:val="top"/>
            <w:shd w:fill="F3F4F6"/>
            <w:tcMar>
              <w:top w:w="70" w:type="dxa"/>
              <w:start w:w="90" w:type="dxa"/>
              <w:bottom w:w="70" w:type="dxa"/>
              <w:end w:w="90" w:type="dxa"/>
            </w:tcMar>
          </w:tcPr>
          <w:p>
            <w:r>
              <w:rPr>
                <w:rFonts w:ascii="Noto Sans" w:hAnsi="Noto Sans" w:eastAsia="Noto Sans"/>
                <w:sz w:val="17"/>
              </w:rPr>
              <w:t>Contenuto sorgente decodificato; non implica ancora classificazione semantica canonica</w:t>
            </w:r>
          </w:p>
        </w:tc>
      </w:tr>
      <w:tr>
        <w:tc>
          <w:tcPr>
            <w:tcW w:type="dxa" w:w="3024"/>
          </w:tcPr>
          <w:p>
            <w:r>
              <w:rPr>
                <w:rFonts w:ascii="Noto Sans" w:hAnsi="Noto Sans" w:eastAsia="Noto Sans"/>
                <w:sz w:val="17"/>
              </w:rPr>
              <w:t>sourceObject.type</w:t>
            </w:r>
          </w:p>
        </w:tc>
        <w:tc>
          <w:tcPr>
            <w:tcW w:type="dxa" w:w="3024"/>
          </w:tcPr>
          <w:p>
            <w:r>
              <w:rPr>
                <w:rFonts w:ascii="Noto Sans" w:hAnsi="Noto Sans" w:eastAsia="Noto Sans"/>
                <w:sz w:val="17"/>
              </w:rPr>
              <w:t>Sì*</w:t>
            </w:r>
          </w:p>
        </w:tc>
        <w:tc>
          <w:tcPr>
            <w:tcW w:type="dxa" w:w="3024"/>
          </w:tcPr>
          <w:p>
            <w:r>
              <w:rPr>
                <w:rFonts w:ascii="Noto Sans" w:hAnsi="Noto Sans" w:eastAsia="Noto Sans"/>
                <w:sz w:val="17"/>
              </w:rPr>
              <w:t>Tipo/procedimento nel dominio sorgente, derivato dall’Adapter</w:t>
            </w:r>
          </w:p>
        </w:tc>
      </w:tr>
      <w:tr>
        <w:tc>
          <w:tcPr>
            <w:tcW w:type="dxa" w:w="3024"/>
          </w:tcPr>
          <w:p>
            <w:r>
              <w:rPr>
                <w:rFonts w:ascii="Noto Sans" w:hAnsi="Noto Sans" w:eastAsia="Noto Sans"/>
                <w:sz w:val="17"/>
              </w:rPr>
              <w:t>sourceObject.instanceId</w:t>
            </w:r>
          </w:p>
        </w:tc>
        <w:tc>
          <w:tcPr>
            <w:tcW w:type="dxa" w:w="3024"/>
          </w:tcPr>
          <w:p>
            <w:r>
              <w:rPr>
                <w:rFonts w:ascii="Noto Sans" w:hAnsi="Noto Sans" w:eastAsia="Noto Sans"/>
                <w:sz w:val="17"/>
              </w:rPr>
              <w:t>Sì*</w:t>
            </w:r>
          </w:p>
        </w:tc>
        <w:tc>
          <w:tcPr>
            <w:tcW w:type="dxa" w:w="3024"/>
          </w:tcPr>
          <w:p>
            <w:r>
              <w:rPr>
                <w:rFonts w:ascii="Noto Sans" w:hAnsi="Noto Sans" w:eastAsia="Noto Sans"/>
                <w:sz w:val="17"/>
              </w:rPr>
              <w:t>Identificativo dell’istanza sorgente per provenance e idempotenza</w:t>
            </w:r>
          </w:p>
        </w:tc>
      </w:tr>
    </w:tbl>
    <w:p>
      <w:pPr>
        <w:spacing w:after="40"/>
      </w:pPr>
    </w:p>
    <w:tbl>
      <w:tblPr>
        <w:tblStyle w:val="TableGrid"/>
        <w:tblW w:type="auto" w:w="0"/>
        <w:jc w:val="center"/>
        <w:tblLook w:firstColumn="1" w:firstRow="1" w:lastColumn="0" w:lastRow="0" w:noHBand="0" w:noVBand="1" w:val="04A0"/>
      </w:tblPr>
      <w:tblGrid>
        <w:gridCol w:w="9072"/>
      </w:tblGrid>
      <w:tr>
        <w:trPr>
          <w:tblHeader w:val="true"/>
          <w:cantSplit/>
        </w:trPr>
        <w:tc>
          <w:tcPr>
            <w:tcW w:type="dxa" w:w="9072"/>
            <w:shd w:fill="FFF4DF"/>
            <w:tcMar>
              <w:top w:w="70" w:type="dxa"/>
              <w:start w:w="90" w:type="dxa"/>
              <w:bottom w:w="70" w:type="dxa"/>
              <w:end w:w="90" w:type="dxa"/>
            </w:tcMar>
          </w:tcPr>
          <w:p>
            <w:r>
              <w:rPr>
                <w:rFonts w:ascii="Noto Sans" w:hAnsi="Noto Sans" w:eastAsia="Noto Sans"/>
                <w:sz w:val="17"/>
              </w:rPr>
              <w:t>Estendibilità privacy</w:t>
              <w:br/>
              <w:t>Lo schema deve poter introdurre in futuro classificazioni RESTRICTED, PERSONAL e ulteriori categorie governate senza cambiare il protocollo base. Nel core iniziale tali valori non sono ammessi.</w:t>
            </w:r>
          </w:p>
        </w:tc>
      </w:tr>
    </w:tbl>
    <w:p>
      <w:pPr>
        <w:spacing w:after="40"/>
      </w:pPr>
    </w:p>
    <w:p>
      <w:pPr>
        <w:pStyle w:val="Heading2"/>
      </w:pPr>
      <w:r>
        <w:rPr>
          <w:rFonts w:ascii="Noto Sans" w:hAnsi="Noto Sans" w:eastAsia="Noto Sans"/>
        </w:rPr>
        <w:t>4.3 Identità dell’oggetto sorgente</w:t>
      </w:r>
    </w:p>
    <w:p>
      <w:pPr>
        <w:pStyle w:val="BodyText"/>
      </w:pPr>
      <w:r>
        <w:rPr>
          <w:rFonts w:ascii="Noto Sans" w:hAnsi="Noto Sans" w:eastAsia="Noto Sans"/>
        </w:rPr>
        <w:t>Per sorgenti multi-procedimento l’Adapter costruisce nell’envelope l’identità tecnica dell’oggetto o procedimento sorgente, senza confonderla con la classificazione canonica OUF. I campi sourceObject sono derivati dal payload nativo e/o dal Source Manifest, appartengono al dominio sorgente e costituiscono input per il successivo mapping semantico.</w:t>
      </w:r>
    </w:p>
    <w:p>
      <w:pPr>
        <w:shd w:fill="F3F5F7"/>
      </w:pPr>
      <w:r>
        <w:rPr>
          <w:rFonts w:ascii="Noto Sans" w:hAnsi="Noto Sans" w:eastAsia="DejaVu Sans Mono"/>
          <w:sz w:val="17"/>
        </w:rPr>
        <w:t>"sourceObject": {</w:t>
        <w:br/>
        <w:t xml:space="preserve">  "type": "SUAP_PROC_047",</w:t>
        <w:br/>
        <w:t xml:space="preserve">  "instanceId": "SUAP-2026-00018453",</w:t>
        <w:br/>
        <w:t xml:space="preserve">  "procedureCode": "047"</w:t>
        <w:br/>
        <w:t>}</w:t>
      </w:r>
    </w:p>
    <w:p>
      <w:pPr>
        <w:pStyle w:val="BodyText"/>
      </w:pPr>
      <w:r>
        <w:rPr>
          <w:rFonts w:ascii="Noto Sans" w:hAnsi="Noto Sans" w:eastAsia="Noto Sans"/>
        </w:rPr>
        <w:t>Il Gateway valida soltanto gli elementi disponibili al confine e dichiarati nel contratto di bordo (identità tecnica del chiamante, route, media type, dimensione, header e parametri ammessi). La valorizzazione e la validazione di sourceObject avvengono nell’Adapter dopo il parsing del formato sorgente. Né il Gateway né l’Adapter traducono autonomamente sourceObject.type in una classe canonica: la classificazione OUF viene risolta dal processing semantico tramite mapping approvati, ontologie e vocabolari controllati.</w:t>
      </w:r>
    </w:p>
    <w:p>
      <w:pPr>
        <w:pStyle w:val="Heading1"/>
        <w:keepNext/>
        <w:spacing w:before="160"/>
      </w:pPr>
      <w:r>
        <w:rPr>
          <w:rFonts w:ascii="Noto Sans" w:hAnsi="Noto Sans" w:eastAsia="Noto Sans"/>
        </w:rPr>
        <w:t>5. Identificatori, idempotenza e correlazione</w:t>
      </w:r>
    </w:p>
    <w:p>
      <w:pPr>
        <w:pStyle w:val="BodyText"/>
        <w:widowControl/>
        <w:spacing w:after="80"/>
      </w:pPr>
      <w:r>
        <w:rPr>
          <w:rFonts w:ascii="Noto Sans" w:hAnsi="Noto Sans" w:eastAsia="Noto Sans"/>
        </w:rPr>
        <w:t>Ogni chiamata di ingestion deve essere associata a un correlation ID, generato o propagato dal Gateway. La chiave di idempotenza può essere fornita dalla sorgente quando disponibile oppure derivata dal Connector secondo il Source Manifest. Il messageId dell’OUF Canonical Data Envelope viene assegnato dall’Adapter / Connector Framework. MessageId e Idempotency-Key concorrono a impedire l’elaborazione duplicata dello stesso messaggio; la deduplicazione tecnica resta distinta dalla object resolution, che valuta se record differenti descrivono lo stesso oggetto urbano.</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X-Correlation-ID: &lt;uuid/ulid&gt;</w:t>
              <w:br/>
              <w:t>Idempotency-Key: &lt;unique-key&gt;</w:t>
            </w:r>
          </w:p>
        </w:tc>
      </w:tr>
    </w:tbl>
    <w:p>
      <w:pPr>
        <w:spacing w:after="40"/>
      </w:pPr>
    </w:p>
    <w:p>
      <w:pPr>
        <w:pStyle w:val="Heading1"/>
        <w:keepNext/>
        <w:spacing w:before="160"/>
      </w:pPr>
      <w:r>
        <w:rPr>
          <w:rFonts w:ascii="Noto Sans" w:hAnsi="Noto Sans" w:eastAsia="Noto Sans"/>
        </w:rPr>
        <w:t>6. Endpoint di ingestion amministrativa</w:t>
      </w:r>
    </w:p>
    <w:p>
      <w:pPr>
        <w:pStyle w:val="Heading2"/>
        <w:keepNext/>
        <w:spacing w:before="160"/>
      </w:pPr>
      <w:r>
        <w:rPr>
          <w:rFonts w:ascii="Noto Sans" w:hAnsi="Noto Sans" w:eastAsia="Noto Sans"/>
        </w:rPr>
        <w:t>6.1 Endpoint generico</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POST /api/v1/ingestion/{source}/{dataset}</w:t>
              <w:br/>
              <w:t>Content-Type: &lt;media type sorgente configurato&gt;</w:t>
            </w:r>
          </w:p>
        </w:tc>
      </w:tr>
    </w:tbl>
    <w:p>
      <w:pPr>
        <w:spacing w:after="40"/>
      </w:pPr>
    </w:p>
    <w:p>
      <w:pPr>
        <w:pStyle w:val="BodyText"/>
        <w:widowControl/>
        <w:spacing w:after="80"/>
      </w:pPr>
      <w:r>
        <w:rPr>
          <w:rFonts w:ascii="Noto Sans" w:hAnsi="Noto Sans" w:eastAsia="Noto Sans"/>
        </w:rPr>
        <w:t>Esempi iniziali:</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POST /api/v1/ingestion/suap/economic-activities</w:t>
              <w:br/>
              <w:t>POST /api/v1/ingestion/suo/occupations</w:t>
              <w:br/>
              <w:t>POST /api/v1/ingestion/sue/building-interventions</w:t>
            </w:r>
          </w:p>
        </w:tc>
      </w:tr>
    </w:tbl>
    <w:p>
      <w:pPr>
        <w:spacing w:after="40"/>
      </w:pPr>
    </w:p>
    <w:p>
      <w:pPr>
        <w:pStyle w:val="BodyText"/>
        <w:widowControl/>
        <w:spacing w:after="80"/>
      </w:pPr>
      <w:r>
        <w:rPr>
          <w:rFonts w:ascii="Noto Sans" w:hAnsi="Noto Sans" w:eastAsia="Noto Sans"/>
        </w:rPr>
        <w:t>Il Gateway verifica sorgente autorizzata, dataset/route autorizzati, versione API o protocollo di bordo, content type, dimensione massima, header obbligatori, rate limit e policy di ammissione associate al Source Manifest. Non richiede né valida l’OUF Canonical Data Envelope, che a questo punto non esiste ancora. Superati i controlli, inoltra all’Adapter / Connector Framework il payload nativo insieme ai metadati tecnici del contesto di richiesta.</w:t>
      </w:r>
    </w:p>
    <w:p>
      <w:pPr>
        <w:pStyle w:val="Heading1"/>
        <w:keepNext/>
        <w:spacing w:before="160"/>
      </w:pPr>
      <w:r>
        <w:rPr>
          <w:rFonts w:ascii="Noto Sans" w:hAnsi="Noto Sans" w:eastAsia="Noto Sans"/>
        </w:rPr>
        <w:t>7. Modello operativo ibrido: PULL per acquisizione, PUSH per fruizione</w:t>
      </w:r>
    </w:p>
    <w:p>
      <w:pPr>
        <w:pStyle w:val="Heading2"/>
        <w:keepNext/>
        <w:spacing w:before="160"/>
      </w:pPr>
      <w:r>
        <w:rPr>
          <w:rFonts w:ascii="Noto Sans" w:hAnsi="Noto Sans" w:eastAsia="Noto Sans"/>
        </w:rPr>
        <w:t>7.1 Acquisizione prevalente PULL dalle sorgenti</w:t>
      </w:r>
    </w:p>
    <w:p/>
    <w:p>
      <w:pPr>
        <w:pStyle w:val="BodyText"/>
      </w:pPr>
      <w:r>
        <w:rPr>
          <w:rFonts w:ascii="Noto Sans" w:hAnsi="Noto Sans" w:eastAsia="Noto Sans"/>
        </w:rPr>
        <w:t>Nel core iniziale SUAP, SUO, SUE e le sorgenti WebGIS sono considerate sorgenti autorevoli passive: non devono conoscere l’esistenza dell’OUF e non devono implementare callback o webhook dedicati. Un servizio interno di Source Synchronization / Scheduler, governato dalla Source Configuration, avvia periodicamente le richieste di acquisizione. Il Connector invoca il profilo southbound del Gateway, che applica egress allowlist, autenticazione tecnica, TLS, timeout, retry e audit prima di raggiungere il verticale.</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SUAP / SUO / SUE</w:t>
              <w:br/>
              <w:t xml:space="preserve">        ↓</w:t>
              <w:br/>
              <w:t xml:space="preserve"> Urban API Gateway</w:t>
              <w:br/>
              <w:t xml:space="preserve">        ↓</w:t>
              <w:br/>
              <w:t xml:space="preserve">    Ingestion API</w:t>
              <w:br/>
              <w:t xml:space="preserve">        ↓</w:t>
              <w:br/>
              <w:t xml:space="preserve"> Adapter / Connector</w:t>
            </w:r>
          </w:p>
        </w:tc>
      </w:tr>
    </w:tbl>
    <w:p>
      <w:pPr>
        <w:spacing w:after="40"/>
      </w:pPr>
    </w:p>
    <w:p>
      <w:pPr>
        <w:pStyle w:val="Heading2"/>
        <w:keepNext/>
        <w:spacing w:before="160"/>
      </w:pPr>
      <w:r>
        <w:rPr>
          <w:rFonts w:ascii="Noto Sans" w:hAnsi="Noto Sans" w:eastAsia="Noto Sans"/>
        </w:rPr>
        <w:t>7.2 Ingress PUSH: supportato ma non prevalente</w:t>
      </w:r>
    </w:p>
    <w:p>
      <w:pPr>
        <w:pStyle w:val="BodyText"/>
        <w:widowControl/>
        <w:spacing w:after="80"/>
      </w:pPr>
      <w:r>
        <w:rPr>
          <w:rFonts w:ascii="Noto Sans" w:hAnsi="Noto Sans" w:eastAsia="Noto Sans"/>
        </w:rPr>
        <w:t>Gli endpoint northbound di ingestion restano disponibili per integrazioni future o sorgenti che richiedano PUSH, ma non costituiscono il meccanismo ordinario per SUAP, SUO e SUE. In tale caso il sistema esterno invia il payload nativo al Gateway, che applica i controlli di bordo e lo inoltra all’Adapter/Connector Framework; l’OUF Canonical Data Envelope viene creato dall’Adapter, non dalla sorgente.</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Connector OUF</w:t>
              <w:br/>
              <w:t xml:space="preserve">     ↓</w:t>
              <w:br/>
              <w:t>Gateway southbound / External Service Proxy</w:t>
              <w:br/>
              <w:t xml:space="preserve">     ↓</w:t>
              <w:br/>
              <w:t>Sistema esterno / WebGIS</w:t>
            </w:r>
          </w:p>
        </w:tc>
      </w:tr>
    </w:tbl>
    <w:p>
      <w:pPr>
        <w:spacing w:after="40"/>
      </w:pPr>
    </w:p>
    <w:p>
      <w:pPr>
        <w:pStyle w:val="Heading1"/>
        <w:keepNext/>
        <w:spacing w:before="160"/>
      </w:pPr>
      <w:r>
        <w:rPr>
          <w:rFonts w:ascii="Noto Sans" w:hAnsi="Noto Sans" w:eastAsia="Noto Sans"/>
        </w:rPr>
        <w:t>8. Profili logici del Gateway</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cantSplit/>
        </w:trPr>
        <w:tc>
          <w:tcPr>
            <w:tcW w:type="dxa" w:w="2268"/>
            <w:vAlign w:val="top"/>
            <w:shd w:fill="0B4F6C"/>
            <w:tcMar>
              <w:top w:w="70" w:type="dxa"/>
              <w:start w:w="90" w:type="dxa"/>
              <w:bottom w:w="70" w:type="dxa"/>
              <w:end w:w="90" w:type="dxa"/>
            </w:tcMar>
          </w:tcPr>
          <w:p>
            <w:r>
              <w:rPr>
                <w:rFonts w:ascii="Noto Sans" w:hAnsi="Noto Sans" w:eastAsia="Noto Sans"/>
                <w:sz w:val="17"/>
              </w:rPr>
              <w:t>Profilo</w:t>
            </w:r>
          </w:p>
        </w:tc>
        <w:tc>
          <w:tcPr>
            <w:tcW w:type="dxa" w:w="1701"/>
            <w:vAlign w:val="top"/>
            <w:shd w:fill="0B4F6C"/>
            <w:tcMar>
              <w:top w:w="70" w:type="dxa"/>
              <w:start w:w="90" w:type="dxa"/>
              <w:bottom w:w="70" w:type="dxa"/>
              <w:end w:w="90" w:type="dxa"/>
            </w:tcMar>
          </w:tcPr>
          <w:p>
            <w:r>
              <w:rPr>
                <w:rFonts w:ascii="Noto Sans" w:hAnsi="Noto Sans" w:eastAsia="Noto Sans"/>
                <w:sz w:val="17"/>
              </w:rPr>
              <w:t>Direzione</w:t>
            </w:r>
          </w:p>
        </w:tc>
        <w:tc>
          <w:tcPr>
            <w:tcW w:type="dxa" w:w="3061"/>
            <w:vAlign w:val="top"/>
            <w:shd w:fill="0B4F6C"/>
            <w:tcMar>
              <w:top w:w="70" w:type="dxa"/>
              <w:start w:w="90" w:type="dxa"/>
              <w:bottom w:w="70" w:type="dxa"/>
              <w:end w:w="90" w:type="dxa"/>
            </w:tcMar>
          </w:tcPr>
          <w:p>
            <w:r>
              <w:rPr>
                <w:rFonts w:ascii="Noto Sans" w:hAnsi="Noto Sans" w:eastAsia="Noto Sans"/>
                <w:sz w:val="17"/>
              </w:rPr>
              <w:t>Casi d’uso</w:t>
            </w:r>
          </w:p>
        </w:tc>
        <w:tc>
          <w:tcPr>
            <w:tcW w:type="dxa" w:w="3402"/>
            <w:vAlign w:val="top"/>
            <w:shd w:fill="0B4F6C"/>
            <w:tcMar>
              <w:top w:w="70" w:type="dxa"/>
              <w:start w:w="90" w:type="dxa"/>
              <w:bottom w:w="70" w:type="dxa"/>
              <w:end w:w="90" w:type="dxa"/>
            </w:tcMar>
          </w:tcPr>
          <w:p>
            <w:r>
              <w:rPr>
                <w:rFonts w:ascii="Noto Sans" w:hAnsi="Noto Sans" w:eastAsia="Noto Sans"/>
                <w:sz w:val="17"/>
              </w:rPr>
              <w:t>Policy caratteristiche</w:t>
            </w:r>
          </w:p>
        </w:tc>
      </w:tr>
      <w:tr>
        <w:trPr>
          <w:cantSplit/>
        </w:trPr>
        <w:tc>
          <w:tcPr>
            <w:tcW w:type="dxa" w:w="2268"/>
            <w:vAlign w:val="top"/>
            <w:tcMar>
              <w:top w:w="70" w:type="dxa"/>
              <w:start w:w="90" w:type="dxa"/>
              <w:bottom w:w="70" w:type="dxa"/>
              <w:end w:w="90" w:type="dxa"/>
            </w:tcMar>
          </w:tcPr>
          <w:p>
            <w:r>
              <w:rPr>
                <w:rFonts w:ascii="Noto Sans" w:hAnsi="Noto Sans" w:eastAsia="Noto Sans"/>
                <w:sz w:val="17"/>
              </w:rPr>
              <w:t>Northbound</w:t>
            </w:r>
          </w:p>
        </w:tc>
        <w:tc>
          <w:tcPr>
            <w:tcW w:type="dxa" w:w="1701"/>
            <w:vAlign w:val="top"/>
            <w:tcMar>
              <w:top w:w="70" w:type="dxa"/>
              <w:start w:w="90" w:type="dxa"/>
              <w:bottom w:w="70" w:type="dxa"/>
              <w:end w:w="90" w:type="dxa"/>
            </w:tcMar>
          </w:tcPr>
          <w:p>
            <w:r>
              <w:rPr>
                <w:rFonts w:ascii="Noto Sans" w:hAnsi="Noto Sans" w:eastAsia="Noto Sans"/>
                <w:sz w:val="17"/>
              </w:rPr>
              <w:t>Esterno → OUF</w:t>
            </w:r>
          </w:p>
        </w:tc>
        <w:tc>
          <w:tcPr>
            <w:tcW w:type="dxa" w:w="3061"/>
            <w:vAlign w:val="top"/>
            <w:tcMar>
              <w:top w:w="70" w:type="dxa"/>
              <w:start w:w="90" w:type="dxa"/>
              <w:bottom w:w="70" w:type="dxa"/>
              <w:end w:w="90" w:type="dxa"/>
            </w:tcMar>
          </w:tcPr>
          <w:p>
            <w:r>
              <w:rPr>
                <w:rFonts w:ascii="Noto Sans" w:hAnsi="Noto Sans" w:eastAsia="Noto Sans"/>
                <w:sz w:val="17"/>
              </w:rPr>
              <w:t>Push SUAP/SUO/SUE; consumer esterni; callback</w:t>
            </w:r>
          </w:p>
        </w:tc>
        <w:tc>
          <w:tcPr>
            <w:tcW w:type="dxa" w:w="3402"/>
            <w:vAlign w:val="top"/>
            <w:tcMar>
              <w:top w:w="70" w:type="dxa"/>
              <w:start w:w="90" w:type="dxa"/>
              <w:bottom w:w="70" w:type="dxa"/>
              <w:end w:w="90" w:type="dxa"/>
            </w:tcMar>
          </w:tcPr>
          <w:p>
            <w:r>
              <w:rPr>
                <w:rFonts w:ascii="Noto Sans" w:hAnsi="Noto Sans" w:eastAsia="Noto Sans"/>
                <w:sz w:val="17"/>
              </w:rPr>
              <w:t>Autenticazione client; route allowlist; contratto nativo di bordo; rate limit; payload limit</w:t>
            </w:r>
          </w:p>
        </w:tc>
      </w:tr>
      <w:tr>
        <w:trPr>
          <w:cantSplit/>
        </w:trPr>
        <w:tc>
          <w:tcPr>
            <w:tcW w:type="dxa" w:w="2268"/>
            <w:vAlign w:val="top"/>
            <w:shd w:fill="F3F4F6"/>
            <w:tcMar>
              <w:top w:w="70" w:type="dxa"/>
              <w:start w:w="90" w:type="dxa"/>
              <w:bottom w:w="70" w:type="dxa"/>
              <w:end w:w="90" w:type="dxa"/>
            </w:tcMar>
          </w:tcPr>
          <w:p>
            <w:r>
              <w:rPr>
                <w:rFonts w:ascii="Noto Sans" w:hAnsi="Noto Sans" w:eastAsia="Noto Sans"/>
                <w:sz w:val="17"/>
              </w:rPr>
              <w:t>Southbound / External Service Proxy</w:t>
            </w:r>
          </w:p>
        </w:tc>
        <w:tc>
          <w:tcPr>
            <w:tcW w:type="dxa" w:w="1701"/>
            <w:vAlign w:val="top"/>
            <w:shd w:fill="F3F4F6"/>
            <w:tcMar>
              <w:top w:w="70" w:type="dxa"/>
              <w:start w:w="90" w:type="dxa"/>
              <w:bottom w:w="70" w:type="dxa"/>
              <w:end w:w="90" w:type="dxa"/>
            </w:tcMar>
          </w:tcPr>
          <w:p>
            <w:r>
              <w:rPr>
                <w:rFonts w:ascii="Noto Sans" w:hAnsi="Noto Sans" w:eastAsia="Noto Sans"/>
                <w:sz w:val="17"/>
              </w:rPr>
              <w:t>OUF → Esterno</w:t>
            </w:r>
          </w:p>
        </w:tc>
        <w:tc>
          <w:tcPr>
            <w:tcW w:type="dxa" w:w="3061"/>
            <w:vAlign w:val="top"/>
            <w:shd w:fill="F3F4F6"/>
            <w:tcMar>
              <w:top w:w="70" w:type="dxa"/>
              <w:start w:w="90" w:type="dxa"/>
              <w:bottom w:w="70" w:type="dxa"/>
              <w:end w:w="90" w:type="dxa"/>
            </w:tcMar>
          </w:tcPr>
          <w:p>
            <w:r>
              <w:rPr>
                <w:rFonts w:ascii="Noto Sans" w:hAnsi="Noto Sans" w:eastAsia="Noto Sans"/>
                <w:sz w:val="17"/>
              </w:rPr>
              <w:t>Polling verticali; WFS; WMS; future sorgenti</w:t>
            </w:r>
          </w:p>
        </w:tc>
        <w:tc>
          <w:tcPr>
            <w:tcW w:type="dxa" w:w="3402"/>
            <w:vAlign w:val="top"/>
            <w:shd w:fill="F3F4F6"/>
            <w:tcMar>
              <w:top w:w="70" w:type="dxa"/>
              <w:start w:w="90" w:type="dxa"/>
              <w:bottom w:w="70" w:type="dxa"/>
              <w:end w:w="90" w:type="dxa"/>
            </w:tcMar>
          </w:tcPr>
          <w:p>
            <w:r>
              <w:rPr>
                <w:rFonts w:ascii="Noto Sans" w:hAnsi="Noto Sans" w:eastAsia="Noto Sans"/>
                <w:sz w:val="17"/>
              </w:rPr>
              <w:t>Egress allowlist; credenziali per sorgente; timeout; retry controllato; TLS validation; logging</w:t>
            </w:r>
          </w:p>
        </w:tc>
      </w:tr>
    </w:tbl>
    <w:p>
      <w:pPr>
        <w:spacing w:after="40"/>
      </w:pPr>
    </w:p>
    <w:p>
      <w:pPr>
        <w:pStyle w:val="BodyText"/>
        <w:widowControl/>
        <w:spacing w:after="80"/>
      </w:pPr>
      <w:r>
        <w:rPr>
          <w:rFonts w:ascii="Noto Sans" w:hAnsi="Noto Sans" w:eastAsia="Noto Sans"/>
        </w:rPr>
        <w:t>Northbound e southbound possono essere implementati dallo stesso prodotto, ma devono avere route, policy, credenziali, logging e zone di rete distinguibili.</w:t>
      </w:r>
    </w:p>
    <w:p>
      <w:pPr>
        <w:pStyle w:val="Heading1"/>
        <w:keepNext/>
        <w:spacing w:before="160"/>
      </w:pPr>
      <w:r>
        <w:rPr>
          <w:rFonts w:ascii="Noto Sans" w:hAnsi="Noto Sans" w:eastAsia="Noto Sans"/>
        </w:rPr>
        <w:t>9. Integrazione WebGIS</w:t>
      </w:r>
    </w:p>
    <w:p>
      <w:pPr>
        <w:pStyle w:val="BodyText"/>
        <w:widowControl/>
        <w:spacing w:after="80"/>
      </w:pPr>
      <w:r>
        <w:rPr>
          <w:rFonts w:ascii="Noto Sans" w:hAnsi="Noto Sans" w:eastAsia="Noto Sans"/>
        </w:rPr>
        <w:t>I servizi WebGIS entrano nel core iniziale con due semantiche distinte: WFS come sorgente di feature e attributi strutturati da integrare; WMS come servizio cartografico da mediare/proxy e da catalogare. Non devono essere trattati come equivalenti.</w:t>
      </w:r>
    </w:p>
    <w:p>
      <w:pPr>
        <w:pStyle w:val="Heading2"/>
        <w:keepNext/>
        <w:spacing w:before="160"/>
      </w:pPr>
      <w:r>
        <w:rPr>
          <w:rFonts w:ascii="Noto Sans" w:hAnsi="Noto Sans" w:eastAsia="Noto Sans"/>
        </w:rPr>
        <w:t>9.1 WFS — acquisizione di feature</w:t>
      </w:r>
    </w:p>
    <w:p>
      <w:pPr>
        <w:pStyle w:val="BodyText"/>
        <w:widowControl/>
        <w:spacing w:after="80"/>
      </w:pPr>
      <w:r>
        <w:rPr>
          <w:rFonts w:ascii="Noto Sans" w:hAnsi="Noto Sans" w:eastAsia="Noto Sans"/>
        </w:rPr>
        <w:t>Il Connector interroga WFS esclusivamente attraverso il Gateway southbound. Le operazioni iniziali previste sono GetCapabilities, DescribeFeatureType e GetFeature.</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ETL / OGC Connector</w:t>
              <w:br/>
              <w:t xml:space="preserve">      ↓</w:t>
              <w:br/>
              <w:t>Gateway southbound</w:t>
              <w:br/>
              <w:t xml:space="preserve">      ↓</w:t>
              <w:br/>
              <w:t xml:space="preserve">    WebGIS WFS</w:t>
              <w:br/>
              <w:t xml:space="preserve">      ↓</w:t>
              <w:br/>
              <w:t>GML / GeoJSON</w:t>
              <w:br/>
              <w:t xml:space="preserve">      ↓</w:t>
              <w:br/>
              <w:t xml:space="preserve">   OGC Adapter</w:t>
              <w:br/>
              <w:t xml:space="preserve">      ↓</w:t>
              <w:br/>
              <w:t>GeoJSON / JSON-FG</w:t>
              <w:br/>
              <w:t xml:space="preserve">      ↓</w:t>
              <w:br/>
              <w:t>ETL → Semantic Enrichment → UDP</w:t>
            </w:r>
          </w:p>
        </w:tc>
      </w:tr>
    </w:tbl>
    <w:p>
      <w:pPr>
        <w:spacing w:after="40"/>
      </w:pPr>
    </w:p>
    <w:tbl>
      <w:tblPr>
        <w:tblStyle w:val="TableGrid"/>
        <w:tblW w:type="auto" w:w="0"/>
        <w:jc w:val="center"/>
        <w:tblLook w:firstColumn="1" w:firstRow="1" w:lastColumn="0" w:lastRow="0" w:noHBand="0" w:noVBand="1" w:val="04A0"/>
      </w:tblPr>
      <w:tblGrid>
        <w:gridCol w:w="4536"/>
        <w:gridCol w:w="4536"/>
      </w:tblGrid>
      <w:tr>
        <w:trPr>
          <w:tblHeader w:val="true"/>
          <w:cantSplit/>
        </w:trPr>
        <w:tc>
          <w:tcPr>
            <w:tcW w:type="dxa" w:w="3685"/>
            <w:vAlign w:val="top"/>
            <w:shd w:fill="0B4F6C"/>
            <w:tcMar>
              <w:top w:w="70" w:type="dxa"/>
              <w:start w:w="90" w:type="dxa"/>
              <w:bottom w:w="70" w:type="dxa"/>
              <w:end w:w="90" w:type="dxa"/>
            </w:tcMar>
          </w:tcPr>
          <w:p>
            <w:r>
              <w:rPr>
                <w:rFonts w:ascii="Noto Sans" w:hAnsi="Noto Sans" w:eastAsia="Noto Sans"/>
                <w:sz w:val="17"/>
              </w:rPr>
              <w:t>Parametro sorgente WFS</w:t>
            </w:r>
          </w:p>
        </w:tc>
        <w:tc>
          <w:tcPr>
            <w:tcW w:type="dxa" w:w="6633"/>
            <w:vAlign w:val="top"/>
            <w:shd w:fill="0B4F6C"/>
            <w:tcMar>
              <w:top w:w="70" w:type="dxa"/>
              <w:start w:w="90" w:type="dxa"/>
              <w:bottom w:w="70" w:type="dxa"/>
              <w:end w:w="90" w:type="dxa"/>
            </w:tcMar>
          </w:tcPr>
          <w:p>
            <w:r>
              <w:rPr>
                <w:rFonts w:ascii="Noto Sans" w:hAnsi="Noto Sans" w:eastAsia="Noto Sans"/>
                <w:sz w:val="17"/>
              </w:rPr>
              <w:t>Descrizione</w:t>
            </w:r>
          </w:p>
        </w:tc>
      </w:tr>
      <w:tr>
        <w:trPr>
          <w:cantSplit/>
        </w:trPr>
        <w:tc>
          <w:tcPr>
            <w:tcW w:type="dxa" w:w="3685"/>
            <w:vAlign w:val="top"/>
            <w:tcMar>
              <w:top w:w="70" w:type="dxa"/>
              <w:start w:w="90" w:type="dxa"/>
              <w:bottom w:w="70" w:type="dxa"/>
              <w:end w:w="90" w:type="dxa"/>
            </w:tcMar>
          </w:tcPr>
          <w:p>
            <w:r>
              <w:rPr>
                <w:rFonts w:ascii="Noto Sans" w:hAnsi="Noto Sans" w:eastAsia="Noto Sans"/>
                <w:sz w:val="17"/>
              </w:rPr>
              <w:t>URL / route</w:t>
            </w:r>
          </w:p>
        </w:tc>
        <w:tc>
          <w:tcPr>
            <w:tcW w:type="dxa" w:w="6633"/>
            <w:vAlign w:val="top"/>
            <w:tcMar>
              <w:top w:w="70" w:type="dxa"/>
              <w:start w:w="90" w:type="dxa"/>
              <w:bottom w:w="70" w:type="dxa"/>
              <w:end w:w="90" w:type="dxa"/>
            </w:tcMar>
          </w:tcPr>
          <w:p>
            <w:r>
              <w:rPr>
                <w:rFonts w:ascii="Noto Sans" w:hAnsi="Noto Sans" w:eastAsia="Noto Sans"/>
                <w:sz w:val="17"/>
              </w:rPr>
              <w:t>Endpoint registrato e consentito</w:t>
            </w:r>
          </w:p>
        </w:tc>
      </w:tr>
      <w:tr>
        <w:trPr>
          <w:cantSplit/>
        </w:trPr>
        <w:tc>
          <w:tcPr>
            <w:tcW w:type="dxa" w:w="3685"/>
            <w:vAlign w:val="top"/>
            <w:shd w:fill="F3F4F6"/>
            <w:tcMar>
              <w:top w:w="70" w:type="dxa"/>
              <w:start w:w="90" w:type="dxa"/>
              <w:bottom w:w="70" w:type="dxa"/>
              <w:end w:w="90" w:type="dxa"/>
            </w:tcMar>
          </w:tcPr>
          <w:p>
            <w:r>
              <w:rPr>
                <w:rFonts w:ascii="Noto Sans" w:hAnsi="Noto Sans" w:eastAsia="Noto Sans"/>
                <w:sz w:val="17"/>
              </w:rPr>
              <w:t>Versione</w:t>
            </w:r>
          </w:p>
        </w:tc>
        <w:tc>
          <w:tcPr>
            <w:tcW w:type="dxa" w:w="6633"/>
            <w:vAlign w:val="top"/>
            <w:shd w:fill="F3F4F6"/>
            <w:tcMar>
              <w:top w:w="70" w:type="dxa"/>
              <w:start w:w="90" w:type="dxa"/>
              <w:bottom w:w="70" w:type="dxa"/>
              <w:end w:w="90" w:type="dxa"/>
            </w:tcMar>
          </w:tcPr>
          <w:p>
            <w:r>
              <w:rPr>
                <w:rFonts w:ascii="Noto Sans" w:hAnsi="Noto Sans" w:eastAsia="Noto Sans"/>
                <w:sz w:val="17"/>
              </w:rPr>
              <w:t>Es. WFS 2.0.0</w:t>
            </w:r>
          </w:p>
        </w:tc>
      </w:tr>
      <w:tr>
        <w:trPr>
          <w:cantSplit/>
        </w:trPr>
        <w:tc>
          <w:tcPr>
            <w:tcW w:type="dxa" w:w="3685"/>
            <w:vAlign w:val="top"/>
            <w:tcMar>
              <w:top w:w="70" w:type="dxa"/>
              <w:start w:w="90" w:type="dxa"/>
              <w:bottom w:w="70" w:type="dxa"/>
              <w:end w:w="90" w:type="dxa"/>
            </w:tcMar>
          </w:tcPr>
          <w:p>
            <w:r>
              <w:rPr>
                <w:rFonts w:ascii="Noto Sans" w:hAnsi="Noto Sans" w:eastAsia="Noto Sans"/>
                <w:sz w:val="17"/>
              </w:rPr>
              <w:t>Feature type</w:t>
            </w:r>
          </w:p>
        </w:tc>
        <w:tc>
          <w:tcPr>
            <w:tcW w:type="dxa" w:w="6633"/>
            <w:vAlign w:val="top"/>
            <w:tcMar>
              <w:top w:w="70" w:type="dxa"/>
              <w:start w:w="90" w:type="dxa"/>
              <w:bottom w:w="70" w:type="dxa"/>
              <w:end w:w="90" w:type="dxa"/>
            </w:tcMar>
          </w:tcPr>
          <w:p>
            <w:r>
              <w:rPr>
                <w:rFonts w:ascii="Noto Sans" w:hAnsi="Noto Sans" w:eastAsia="Noto Sans"/>
                <w:sz w:val="17"/>
              </w:rPr>
              <w:t>Layer/feature da acquisire</w:t>
            </w:r>
          </w:p>
        </w:tc>
      </w:tr>
      <w:tr>
        <w:trPr>
          <w:cantSplit/>
        </w:trPr>
        <w:tc>
          <w:tcPr>
            <w:tcW w:type="dxa" w:w="3685"/>
            <w:vAlign w:val="top"/>
            <w:shd w:fill="F3F4F6"/>
            <w:tcMar>
              <w:top w:w="70" w:type="dxa"/>
              <w:start w:w="90" w:type="dxa"/>
              <w:bottom w:w="70" w:type="dxa"/>
              <w:end w:w="90" w:type="dxa"/>
            </w:tcMar>
          </w:tcPr>
          <w:p>
            <w:r>
              <w:rPr>
                <w:rFonts w:ascii="Noto Sans" w:hAnsi="Noto Sans" w:eastAsia="Noto Sans"/>
                <w:sz w:val="17"/>
              </w:rPr>
              <w:t>CRS</w:t>
            </w:r>
          </w:p>
        </w:tc>
        <w:tc>
          <w:tcPr>
            <w:tcW w:type="dxa" w:w="6633"/>
            <w:vAlign w:val="top"/>
            <w:shd w:fill="F3F4F6"/>
            <w:tcMar>
              <w:top w:w="70" w:type="dxa"/>
              <w:start w:w="90" w:type="dxa"/>
              <w:bottom w:w="70" w:type="dxa"/>
              <w:end w:w="90" w:type="dxa"/>
            </w:tcMar>
          </w:tcPr>
          <w:p>
            <w:r>
              <w:rPr>
                <w:rFonts w:ascii="Noto Sans" w:hAnsi="Noto Sans" w:eastAsia="Noto Sans"/>
                <w:sz w:val="17"/>
              </w:rPr>
              <w:t>CRS sorgente atteso</w:t>
            </w:r>
          </w:p>
        </w:tc>
      </w:tr>
      <w:tr>
        <w:trPr>
          <w:cantSplit/>
        </w:trPr>
        <w:tc>
          <w:tcPr>
            <w:tcW w:type="dxa" w:w="3685"/>
            <w:vAlign w:val="top"/>
            <w:tcMar>
              <w:top w:w="70" w:type="dxa"/>
              <w:start w:w="90" w:type="dxa"/>
              <w:bottom w:w="70" w:type="dxa"/>
              <w:end w:w="90" w:type="dxa"/>
            </w:tcMar>
          </w:tcPr>
          <w:p>
            <w:r>
              <w:rPr>
                <w:rFonts w:ascii="Noto Sans" w:hAnsi="Noto Sans" w:eastAsia="Noto Sans"/>
                <w:sz w:val="17"/>
              </w:rPr>
              <w:t>BBOX / filtro</w:t>
            </w:r>
          </w:p>
        </w:tc>
        <w:tc>
          <w:tcPr>
            <w:tcW w:type="dxa" w:w="6633"/>
            <w:vAlign w:val="top"/>
            <w:tcMar>
              <w:top w:w="70" w:type="dxa"/>
              <w:start w:w="90" w:type="dxa"/>
              <w:bottom w:w="70" w:type="dxa"/>
              <w:end w:w="90" w:type="dxa"/>
            </w:tcMar>
          </w:tcPr>
          <w:p>
            <w:r>
              <w:rPr>
                <w:rFonts w:ascii="Noto Sans" w:hAnsi="Noto Sans" w:eastAsia="Noto Sans"/>
                <w:sz w:val="17"/>
              </w:rPr>
              <w:t>Filtro spaziale o attributivo</w:t>
            </w:r>
          </w:p>
        </w:tc>
      </w:tr>
      <w:tr>
        <w:trPr>
          <w:cantSplit/>
        </w:trPr>
        <w:tc>
          <w:tcPr>
            <w:tcW w:type="dxa" w:w="3685"/>
            <w:vAlign w:val="top"/>
            <w:shd w:fill="F3F4F6"/>
            <w:tcMar>
              <w:top w:w="70" w:type="dxa"/>
              <w:start w:w="90" w:type="dxa"/>
              <w:bottom w:w="70" w:type="dxa"/>
              <w:end w:w="90" w:type="dxa"/>
            </w:tcMar>
          </w:tcPr>
          <w:p>
            <w:r>
              <w:rPr>
                <w:rFonts w:ascii="Noto Sans" w:hAnsi="Noto Sans" w:eastAsia="Noto Sans"/>
                <w:sz w:val="17"/>
              </w:rPr>
              <w:t>Paging</w:t>
            </w:r>
          </w:p>
        </w:tc>
        <w:tc>
          <w:tcPr>
            <w:tcW w:type="dxa" w:w="6633"/>
            <w:vAlign w:val="top"/>
            <w:shd w:fill="F3F4F6"/>
            <w:tcMar>
              <w:top w:w="70" w:type="dxa"/>
              <w:start w:w="90" w:type="dxa"/>
              <w:bottom w:w="70" w:type="dxa"/>
              <w:end w:w="90" w:type="dxa"/>
            </w:tcMar>
          </w:tcPr>
          <w:p>
            <w:r>
              <w:rPr>
                <w:rFonts w:ascii="Noto Sans" w:hAnsi="Noto Sans" w:eastAsia="Noto Sans"/>
                <w:sz w:val="17"/>
              </w:rPr>
              <w:t>Strategia di paginazione</w:t>
            </w:r>
          </w:p>
        </w:tc>
      </w:tr>
      <w:tr>
        <w:trPr>
          <w:cantSplit/>
        </w:trPr>
        <w:tc>
          <w:tcPr>
            <w:tcW w:type="dxa" w:w="3685"/>
            <w:vAlign w:val="top"/>
            <w:tcMar>
              <w:top w:w="70" w:type="dxa"/>
              <w:start w:w="90" w:type="dxa"/>
              <w:bottom w:w="70" w:type="dxa"/>
              <w:end w:w="90" w:type="dxa"/>
            </w:tcMar>
          </w:tcPr>
          <w:p>
            <w:r>
              <w:rPr>
                <w:rFonts w:ascii="Noto Sans" w:hAnsi="Noto Sans" w:eastAsia="Noto Sans"/>
                <w:sz w:val="17"/>
              </w:rPr>
              <w:t>Frequenza</w:t>
            </w:r>
          </w:p>
        </w:tc>
        <w:tc>
          <w:tcPr>
            <w:tcW w:type="dxa" w:w="6633"/>
            <w:vAlign w:val="top"/>
            <w:tcMar>
              <w:top w:w="70" w:type="dxa"/>
              <w:start w:w="90" w:type="dxa"/>
              <w:bottom w:w="70" w:type="dxa"/>
              <w:end w:w="90" w:type="dxa"/>
            </w:tcMar>
          </w:tcPr>
          <w:p>
            <w:r>
              <w:rPr>
                <w:rFonts w:ascii="Noto Sans" w:hAnsi="Noto Sans" w:eastAsia="Noto Sans"/>
                <w:sz w:val="17"/>
              </w:rPr>
              <w:t>Pianificazione del pull</w:t>
            </w:r>
          </w:p>
        </w:tc>
      </w:tr>
      <w:tr>
        <w:trPr>
          <w:cantSplit/>
        </w:trPr>
        <w:tc>
          <w:tcPr>
            <w:tcW w:type="dxa" w:w="3685"/>
            <w:vAlign w:val="top"/>
            <w:shd w:fill="F3F4F6"/>
            <w:tcMar>
              <w:top w:w="70" w:type="dxa"/>
              <w:start w:w="90" w:type="dxa"/>
              <w:bottom w:w="70" w:type="dxa"/>
              <w:end w:w="90" w:type="dxa"/>
            </w:tcMar>
          </w:tcPr>
          <w:p>
            <w:r>
              <w:rPr>
                <w:rFonts w:ascii="Noto Sans" w:hAnsi="Noto Sans" w:eastAsia="Noto Sans"/>
                <w:sz w:val="17"/>
              </w:rPr>
              <w:t>Credenziali</w:t>
            </w:r>
          </w:p>
        </w:tc>
        <w:tc>
          <w:tcPr>
            <w:tcW w:type="dxa" w:w="6633"/>
            <w:vAlign w:val="top"/>
            <w:shd w:fill="F3F4F6"/>
            <w:tcMar>
              <w:top w:w="70" w:type="dxa"/>
              <w:start w:w="90" w:type="dxa"/>
              <w:bottom w:w="70" w:type="dxa"/>
              <w:end w:w="90" w:type="dxa"/>
            </w:tcMar>
          </w:tcPr>
          <w:p>
            <w:r>
              <w:rPr>
                <w:rFonts w:ascii="Noto Sans" w:hAnsi="Noto Sans" w:eastAsia="Noto Sans"/>
                <w:sz w:val="17"/>
              </w:rPr>
              <w:t>Riferimento a secret gestito</w:t>
            </w:r>
          </w:p>
        </w:tc>
      </w:tr>
      <w:tr>
        <w:trPr>
          <w:cantSplit/>
        </w:trPr>
        <w:tc>
          <w:tcPr>
            <w:tcW w:type="dxa" w:w="3685"/>
            <w:vAlign w:val="top"/>
            <w:tcMar>
              <w:top w:w="70" w:type="dxa"/>
              <w:start w:w="90" w:type="dxa"/>
              <w:bottom w:w="70" w:type="dxa"/>
              <w:end w:w="90" w:type="dxa"/>
            </w:tcMar>
          </w:tcPr>
          <w:p>
            <w:r>
              <w:rPr>
                <w:rFonts w:ascii="Noto Sans" w:hAnsi="Noto Sans" w:eastAsia="Noto Sans"/>
                <w:sz w:val="17"/>
              </w:rPr>
              <w:t>Strategia incrementale</w:t>
            </w:r>
          </w:p>
        </w:tc>
        <w:tc>
          <w:tcPr>
            <w:tcW w:type="dxa" w:w="6633"/>
            <w:vAlign w:val="top"/>
            <w:tcMar>
              <w:top w:w="70" w:type="dxa"/>
              <w:start w:w="90" w:type="dxa"/>
              <w:bottom w:w="70" w:type="dxa"/>
              <w:end w:w="90" w:type="dxa"/>
            </w:tcMar>
          </w:tcPr>
          <w:p>
            <w:r>
              <w:rPr>
                <w:rFonts w:ascii="Noto Sans" w:hAnsi="Noto Sans" w:eastAsia="Noto Sans"/>
                <w:sz w:val="17"/>
              </w:rPr>
              <w:t>Full snapshot, delta o last-update</w:t>
            </w:r>
          </w:p>
        </w:tc>
      </w:tr>
    </w:tbl>
    <w:p>
      <w:pPr>
        <w:spacing w:after="40"/>
      </w:pPr>
    </w:p>
    <w:p>
      <w:pPr>
        <w:pStyle w:val="Heading2"/>
        <w:keepNext/>
        <w:spacing w:before="160"/>
      </w:pPr>
      <w:r>
        <w:rPr>
          <w:rFonts w:ascii="Noto Sans" w:hAnsi="Noto Sans" w:eastAsia="Noto Sans"/>
        </w:rPr>
        <w:t>9.2 WMS — proxy cartografico</w:t>
      </w:r>
    </w:p>
    <w:p>
      <w:pPr>
        <w:pStyle w:val="BodyText"/>
        <w:widowControl/>
        <w:spacing w:after="80"/>
      </w:pPr>
      <w:r>
        <w:rPr>
          <w:rFonts w:ascii="Noto Sans" w:hAnsi="Noto Sans" w:eastAsia="Noto Sans"/>
        </w:rPr>
        <w:t>WMS viene trattato principalmente come servizio di rendering cartografico. Il Gateway può limitare i layer autorizzati, nascondere l’endpoint originario, applicare cache, controllare BBOX e dimensioni, impostare timeout e registrare le richieste.</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Viewer / consumer</w:t>
              <w:br/>
              <w:t xml:space="preserve">      ↓</w:t>
              <w:br/>
              <w:t>Urban API Gateway</w:t>
              <w:br/>
              <w:t xml:space="preserve">      ↓</w:t>
              <w:br/>
              <w:t xml:space="preserve">  WMS origin</w:t>
              <w:br/>
              <w:t xml:space="preserve">      ↓</w:t>
              <w:br/>
              <w:t xml:space="preserve">  PNG / JPEG</w:t>
              <w:br/>
              <w:t xml:space="preserve">      ↓</w:t>
              <w:br/>
              <w:t>Urban API Gateway</w:t>
              <w:br/>
              <w:t xml:space="preserve">      ↓</w:t>
              <w:br/>
              <w:t>Viewer / consumer</w:t>
            </w:r>
          </w:p>
        </w:tc>
      </w:tr>
    </w:tbl>
    <w:p>
      <w:pPr>
        <w:spacing w:after="40"/>
      </w:pPr>
    </w:p>
    <w:p>
      <w:pPr>
        <w:pStyle w:val="BodyText"/>
        <w:widowControl/>
        <w:spacing w:after="80"/>
      </w:pPr>
      <w:r>
        <w:rPr>
          <w:rFonts w:ascii="Noto Sans" w:hAnsi="Noto Sans" w:eastAsia="Noto Sans"/>
        </w:rPr>
        <w:t>Operazioni iniziali: GetCapabilities, GetMap e, quando disponibile, GetFeatureInfo. Il Connector può inoltre acquisire dal GetCapabilities layer, CRS, bounding box, stili, formati e metadata URL e trasferirli al Catalogo UDP. Non è previsto lo scarico sistematico delle immagini WMS nel Data Lake, salvo casi espliciti di caching o conservazione.</w:t>
      </w:r>
    </w:p>
    <w:p>
      <w:pPr>
        <w:pStyle w:val="Heading2"/>
        <w:keepNext/>
        <w:spacing w:before="160"/>
      </w:pPr>
      <w:r>
        <w:rPr>
          <w:rFonts w:ascii="Noto Sans" w:hAnsi="Noto Sans" w:eastAsia="Noto Sans"/>
        </w:rPr>
        <w:t>9.3 Evoluzione OGC</w:t>
      </w:r>
    </w:p>
    <w:p>
      <w:pPr>
        <w:pStyle w:val="BodyText"/>
        <w:widowControl/>
        <w:spacing w:after="80"/>
      </w:pPr>
      <w:r>
        <w:rPr>
          <w:rFonts w:ascii="Noto Sans" w:hAnsi="Noto Sans" w:eastAsia="Noto Sans"/>
        </w:rPr>
        <w:t>Per le nuove esposizioni geospaziali prodotte direttamente dall’OUF, il target progettuale è OGC API - Features. WFS resta supportato come protocollo sorgente e, se necessario, come compatibilità legacy.</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Sorgente legacy      → WFS</w:t>
              <w:br/>
              <w:t>Canonico interno     → JSON / GeoJSON / JSON-FG</w:t>
              <w:br/>
              <w:t>Nuove API OUF        → OGC API - Features</w:t>
            </w:r>
          </w:p>
        </w:tc>
      </w:tr>
    </w:tbl>
    <w:p>
      <w:pPr>
        <w:spacing w:after="40"/>
      </w:pPr>
    </w:p>
    <w:p>
      <w:pPr>
        <w:pStyle w:val="Heading1"/>
        <w:keepNext/>
        <w:spacing w:before="160"/>
      </w:pPr>
      <w:r>
        <w:rPr>
          <w:rFonts w:ascii="Noto Sans" w:hAnsi="Noto Sans" w:eastAsia="Noto Sans"/>
        </w:rPr>
        <w:t>10. Route baseline</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/api/v1/ingestion/*</w:t>
              <w:br/>
              <w:t>/api/v1/data/*</w:t>
              <w:br/>
              <w:t>/api/v1/catalog/*</w:t>
              <w:br/>
              <w:t>/api/v1/geo/*</w:t>
              <w:br/>
              <w:t>/ogc/wfs/*</w:t>
              <w:br/>
              <w:t>/ogc/wms/*</w:t>
              <w:br/>
              <w:t>/health</w:t>
              <w:br/>
              <w:t>/ready</w:t>
            </w:r>
          </w:p>
        </w:tc>
      </w:tr>
    </w:tbl>
    <w:p>
      <w:pPr>
        <w:spacing w:after="40"/>
      </w:pPr>
    </w:p>
    <w:p>
      <w:pPr>
        <w:pStyle w:val="BodyText"/>
        <w:widowControl/>
        <w:spacing w:after="80"/>
      </w:pPr>
      <w:r>
        <w:rPr>
          <w:rFonts w:ascii="Noto Sans" w:hAnsi="Noto Sans" w:eastAsia="Noto Sans"/>
        </w:rPr>
        <w:t>Le route /ogc/wfs/* e /ogc/wms/* non sono passthrough indiscriminati: devono essere associate a sorgenti, layer e operazioni esplicitamente configurati.</w:t>
      </w:r>
    </w:p>
    <w:p>
      <w:pPr>
        <w:pStyle w:val="Heading1"/>
        <w:keepNext/>
        <w:spacing w:before="160"/>
      </w:pPr>
      <w:r>
        <w:rPr>
          <w:rFonts w:ascii="Noto Sans" w:hAnsi="Noto Sans" w:eastAsia="Noto Sans"/>
        </w:rPr>
        <w:t>11. Interfaccia con Source Onboarding / Source Configuration</w:t>
      </w:r>
    </w:p>
    <w:p>
      <w:pPr>
        <w:pStyle w:val="BodyText"/>
        <w:widowControl/>
        <w:spacing w:after="80"/>
      </w:pPr>
      <w:r>
        <w:rPr>
          <w:rFonts w:ascii="Noto Sans" w:hAnsi="Noto Sans" w:eastAsia="Noto Sans"/>
        </w:rPr>
        <w:t>Il Gateway non realizza l’onboarding delle fonti. Un modulo esterno Source Onboarding / Source Configuration governa descrizione della fonte, procedimenti/tipi sorgente, classificazione dei campi, minimizzazione, mapping semantici e approvazioni. Il Gateway consuma esclusivamente artefatti runtime approvati e versionati necessari a routing, egress e applicazione delle policy tecniche.</w:t>
      </w:r>
    </w:p>
    <w:p>
      <w:pPr>
        <w:pStyle w:val="Heading2"/>
        <w:keepNext/>
        <w:spacing w:before="160"/>
      </w:pPr>
      <w:r>
        <w:rPr>
          <w:rFonts w:ascii="Noto Sans" w:hAnsi="Noto Sans" w:eastAsia="Noto Sans"/>
        </w:rPr>
        <w:t>11.1 Esempio REST / SUE</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sourceId: sue-prod</w:t>
              <w:br/>
              <w:t>capabilityId: source.sue.building_interventions.ingest</w:t>
              <w:br/>
              <w:t>type: REST</w:t>
              <w:br/>
              <w:t>system: SUE</w:t>
              <w:br/>
              <w:br/>
              <w:t>endpoint:</w:t>
              <w:br/>
              <w:t xml:space="preserve">  gatewayRoute: sue</w:t>
              <w:br/>
              <w:t xml:space="preserve">  externalUrl: https://example.internal/sue/api</w:t>
              <w:br/>
              <w:br/>
              <w:t>authentication:</w:t>
              <w:br/>
              <w:t xml:space="preserve">  type: client_credentials</w:t>
              <w:br/>
              <w:t xml:space="preserve">  secretRef: vault://ouf/sue-prod</w:t>
              <w:br/>
              <w:br/>
              <w:t>schedule:</w:t>
              <w:br/>
              <w:t xml:space="preserve">  mode: pull</w:t>
              <w:br/>
              <w:t xml:space="preserve">  cron: "0 */2 * * *"</w:t>
              <w:br/>
              <w:br/>
              <w:t>data:</w:t>
              <w:br/>
              <w:t xml:space="preserve">  dataset: building-interventions</w:t>
              <w:br/>
              <w:t xml:space="preserve">  inputFormat: application/json</w:t>
              <w:br/>
              <w:t xml:space="preserve">  sourceSchema: sue.api.building-intervention</w:t>
              <w:br/>
              <w:t xml:space="preserve">  sourceSchemaVersion: 1.0.0</w:t>
              <w:br/>
              <w:t xml:space="preserve">  classification: ANONYMOUS</w:t>
              <w:br/>
              <w:br/>
              <w:t>processing:</w:t>
              <w:br/>
              <w:t xml:space="preserve">  adapter: sue-v1</w:t>
              <w:br/>
              <w:t xml:space="preserve">  semanticProfile: urban-building-v1</w:t>
            </w:r>
          </w:p>
        </w:tc>
      </w:tr>
    </w:tbl>
    <w:p>
      <w:pPr>
        <w:spacing w:after="40"/>
      </w:pPr>
    </w:p>
    <w:p>
      <w:pPr>
        <w:pStyle w:val="Heading2"/>
        <w:keepNext/>
        <w:spacing w:before="160"/>
      </w:pPr>
      <w:r>
        <w:rPr>
          <w:rFonts w:ascii="Noto Sans" w:hAnsi="Noto Sans" w:eastAsia="Noto Sans"/>
        </w:rPr>
        <w:t>11.2 Esempio WFS</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sourceId: webgis-cantieri</w:t>
              <w:br/>
              <w:t>capabilityId: urban.worksites.query</w:t>
              <w:br/>
              <w:t>type: WFS</w:t>
              <w:br/>
              <w:br/>
              <w:t>ogc:</w:t>
              <w:br/>
              <w:t xml:space="preserve">  version: "2.0.0"</w:t>
              <w:br/>
              <w:t xml:space="preserve">  featureType: "cantieri"</w:t>
              <w:br/>
              <w:t xml:space="preserve">  crs: "EPSG:6706"</w:t>
              <w:br/>
              <w:br/>
              <w:t>processing:</w:t>
              <w:br/>
              <w:t xml:space="preserve">  outputFormat: JSON-FG</w:t>
              <w:br/>
              <w:t xml:space="preserve">  semanticProfile: urban-worksite-v1</w:t>
            </w:r>
          </w:p>
        </w:tc>
      </w:tr>
    </w:tbl>
    <w:p>
      <w:pPr>
        <w:spacing w:after="40"/>
      </w:pPr>
    </w:p>
    <w:p>
      <w:pPr>
        <w:pStyle w:val="Heading2"/>
      </w:pPr>
      <w:r>
        <w:rPr>
          <w:rFonts w:ascii="Noto Sans" w:hAnsi="Noto Sans" w:eastAsia="Noto Sans"/>
        </w:rPr>
        <w:t>11.3 Source Type ed Extraction Profile: riferimenti consumati dal Gateway</w:t>
      </w:r>
    </w:p>
    <w:p>
      <w:pPr>
        <w:pStyle w:val="BodyText"/>
      </w:pPr>
      <w:r>
        <w:rPr>
          <w:rFonts w:ascii="Noto Sans" w:hAnsi="Noto Sans" w:eastAsia="Noto Sans"/>
        </w:rPr>
        <w:t>SUAP, SUE e SUO possono esporre numerose tipologie di procedimento e istanze eterogenee. La conoscenza completa di tali tipologie appartiene al modulo Source Onboarding / Source Configuration. Il Gateway non classifica i procedimenti e non interpreta i campi: riceve un profilo runtime già approvato che indica endpoint, query template, filtri tecnici, proiezione dei campi e strategia incrementale da applicare alla chiamata PULL.</w:t>
      </w:r>
    </w:p>
    <w:p>
      <w:pPr>
        <w:pStyle w:val="BodyText"/>
      </w:pPr>
      <w:r>
        <w:rPr>
          <w:rFonts w:ascii="Noto Sans" w:hAnsi="Noto Sans" w:eastAsia="Noto Sans"/>
        </w:rPr>
        <w:t>Principio vincolante: il Gateway non contiene ontologie, vocabolari controllati, classificazioni privacy, mapping canonici o regole di business. Può conoscere solo identificatori/riferimenti opachi (es. sourceId, sourceTypeId, extractionProfileId/version) e i vincoli tecnici compilati necessari all’invocazione della sorgente.</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814"/>
            <w:shd w:fill="0B5D73"/>
            <w:vAlign w:val="center"/>
          </w:tcPr>
          <w:p>
            <w:r>
              <w:rPr>
                <w:rFonts w:ascii="Noto Sans" w:hAnsi="Noto Sans" w:eastAsia="Noto Sans"/>
                <w:sz w:val="17"/>
              </w:rPr>
              <w:t>Livello</w:t>
            </w:r>
          </w:p>
        </w:tc>
        <w:tc>
          <w:tcPr>
            <w:tcW w:type="dxa" w:w="3118"/>
            <w:shd w:fill="0B5D73"/>
            <w:vAlign w:val="center"/>
          </w:tcPr>
          <w:p>
            <w:r>
              <w:rPr>
                <w:rFonts w:ascii="Noto Sans" w:hAnsi="Noto Sans" w:eastAsia="Noto Sans"/>
                <w:sz w:val="17"/>
              </w:rPr>
              <w:t>Esempio</w:t>
            </w:r>
          </w:p>
        </w:tc>
        <w:tc>
          <w:tcPr>
            <w:tcW w:type="dxa" w:w="3969"/>
            <w:shd w:fill="0B5D73"/>
            <w:vAlign w:val="center"/>
          </w:tcPr>
          <w:p>
            <w:r>
              <w:rPr>
                <w:rFonts w:ascii="Noto Sans" w:hAnsi="Noto Sans" w:eastAsia="Noto Sans"/>
                <w:sz w:val="17"/>
              </w:rPr>
              <w:t>Autorità</w:t>
            </w:r>
          </w:p>
        </w:tc>
      </w:tr>
      <w:tr>
        <w:tc>
          <w:tcPr>
            <w:tcW w:type="dxa" w:w="1814"/>
          </w:tcPr>
          <w:p>
            <w:r>
              <w:rPr>
                <w:rFonts w:ascii="Noto Sans" w:hAnsi="Noto Sans" w:eastAsia="Noto Sans"/>
                <w:sz w:val="17"/>
              </w:rPr>
              <w:t>Sistema sorgente</w:t>
            </w:r>
          </w:p>
        </w:tc>
        <w:tc>
          <w:tcPr>
            <w:tcW w:type="dxa" w:w="3118"/>
          </w:tcPr>
          <w:p>
            <w:r>
              <w:rPr>
                <w:rFonts w:ascii="Noto Sans" w:hAnsi="Noto Sans" w:eastAsia="Noto Sans"/>
                <w:sz w:val="17"/>
              </w:rPr>
              <w:t>SUAP / SUE / SUO</w:t>
            </w:r>
          </w:p>
        </w:tc>
        <w:tc>
          <w:tcPr>
            <w:tcW w:type="dxa" w:w="3969"/>
          </w:tcPr>
          <w:p>
            <w:r>
              <w:rPr>
                <w:rFonts w:ascii="Noto Sans" w:hAnsi="Noto Sans" w:eastAsia="Noto Sans"/>
                <w:sz w:val="17"/>
              </w:rPr>
              <w:t>Source Configuration</w:t>
            </w:r>
          </w:p>
        </w:tc>
      </w:tr>
      <w:tr>
        <w:tc>
          <w:tcPr>
            <w:tcW w:type="dxa" w:w="1814"/>
          </w:tcPr>
          <w:p>
            <w:r>
              <w:rPr>
                <w:rFonts w:ascii="Noto Sans" w:hAnsi="Noto Sans" w:eastAsia="Noto Sans"/>
                <w:sz w:val="17"/>
              </w:rPr>
              <w:t>Tipo sorgente</w:t>
            </w:r>
          </w:p>
        </w:tc>
        <w:tc>
          <w:tcPr>
            <w:tcW w:type="dxa" w:w="3118"/>
          </w:tcPr>
          <w:p>
            <w:r>
              <w:rPr>
                <w:rFonts w:ascii="Noto Sans" w:hAnsi="Noto Sans" w:eastAsia="Noto Sans"/>
                <w:sz w:val="17"/>
              </w:rPr>
              <w:t>SUAP_PROC_047</w:t>
            </w:r>
          </w:p>
        </w:tc>
        <w:tc>
          <w:tcPr>
            <w:tcW w:type="dxa" w:w="3969"/>
          </w:tcPr>
          <w:p>
            <w:r>
              <w:rPr>
                <w:rFonts w:ascii="Noto Sans" w:hAnsi="Noto Sans" w:eastAsia="Noto Sans"/>
                <w:sz w:val="17"/>
              </w:rPr>
              <w:t>Sistema verticale / Source Configuration</w:t>
            </w:r>
          </w:p>
        </w:tc>
      </w:tr>
      <w:tr>
        <w:tc>
          <w:tcPr>
            <w:tcW w:type="dxa" w:w="1814"/>
          </w:tcPr>
          <w:p>
            <w:r>
              <w:rPr>
                <w:rFonts w:ascii="Noto Sans" w:hAnsi="Noto Sans" w:eastAsia="Noto Sans"/>
                <w:sz w:val="17"/>
              </w:rPr>
              <w:t>Istanza sorgente</w:t>
            </w:r>
          </w:p>
        </w:tc>
        <w:tc>
          <w:tcPr>
            <w:tcW w:type="dxa" w:w="3118"/>
          </w:tcPr>
          <w:p>
            <w:r>
              <w:rPr>
                <w:rFonts w:ascii="Noto Sans" w:hAnsi="Noto Sans" w:eastAsia="Noto Sans"/>
                <w:sz w:val="17"/>
              </w:rPr>
              <w:t>SUAP-2026-00018453</w:t>
            </w:r>
          </w:p>
        </w:tc>
        <w:tc>
          <w:tcPr>
            <w:tcW w:type="dxa" w:w="3969"/>
          </w:tcPr>
          <w:p>
            <w:r>
              <w:rPr>
                <w:rFonts w:ascii="Noto Sans" w:hAnsi="Noto Sans" w:eastAsia="Noto Sans"/>
                <w:sz w:val="17"/>
              </w:rPr>
              <w:t>Sistema verticale</w:t>
            </w:r>
          </w:p>
        </w:tc>
      </w:tr>
      <w:tr>
        <w:tc>
          <w:tcPr>
            <w:tcW w:type="dxa" w:w="1814"/>
          </w:tcPr>
          <w:p>
            <w:r>
              <w:rPr>
                <w:rFonts w:ascii="Noto Sans" w:hAnsi="Noto Sans" w:eastAsia="Noto Sans"/>
                <w:sz w:val="17"/>
              </w:rPr>
              <w:t>Classe canonica</w:t>
            </w:r>
          </w:p>
        </w:tc>
        <w:tc>
          <w:tcPr>
            <w:tcW w:type="dxa" w:w="3118"/>
          </w:tcPr>
          <w:p>
            <w:r>
              <w:rPr>
                <w:rFonts w:ascii="Noto Sans" w:hAnsi="Noto Sans" w:eastAsia="Noto Sans"/>
                <w:sz w:val="17"/>
              </w:rPr>
              <w:t>ouf:UrbanEconomicActivity</w:t>
            </w:r>
          </w:p>
        </w:tc>
        <w:tc>
          <w:tcPr>
            <w:tcW w:type="dxa" w:w="3969"/>
          </w:tcPr>
          <w:p>
            <w:r>
              <w:rPr>
                <w:rFonts w:ascii="Noto Sans" w:hAnsi="Noto Sans" w:eastAsia="Noto Sans"/>
                <w:sz w:val="17"/>
              </w:rPr>
              <w:t>Ontologia OUF / Semantic Model</w:t>
            </w:r>
          </w:p>
        </w:tc>
      </w:tr>
      <w:tr>
        <w:tc>
          <w:tcPr>
            <w:tcW w:type="dxa" w:w="1814"/>
          </w:tcPr>
          <w:p>
            <w:r>
              <w:rPr>
                <w:rFonts w:ascii="Noto Sans" w:hAnsi="Noto Sans" w:eastAsia="Noto Sans"/>
                <w:sz w:val="17"/>
              </w:rPr>
              <w:t>Categoria controllata</w:t>
            </w:r>
          </w:p>
        </w:tc>
        <w:tc>
          <w:tcPr>
            <w:tcW w:type="dxa" w:w="3118"/>
          </w:tcPr>
          <w:p>
            <w:r>
              <w:rPr>
                <w:rFonts w:ascii="Noto Sans" w:hAnsi="Noto Sans" w:eastAsia="Noto Sans"/>
                <w:sz w:val="17"/>
              </w:rPr>
              <w:t>retail.trade.neighbourhood</w:t>
            </w:r>
          </w:p>
        </w:tc>
        <w:tc>
          <w:tcPr>
            <w:tcW w:type="dxa" w:w="3969"/>
          </w:tcPr>
          <w:p>
            <w:r>
              <w:rPr>
                <w:rFonts w:ascii="Noto Sans" w:hAnsi="Noto Sans" w:eastAsia="Noto Sans"/>
                <w:sz w:val="17"/>
              </w:rPr>
              <w:t>Vocabolario controllato OUF</w:t>
            </w:r>
          </w:p>
        </w:tc>
      </w:tr>
      <w:tr>
        <w:tc>
          <w:tcPr>
            <w:tcW w:type="dxa" w:w="1814"/>
          </w:tcPr>
          <w:p>
            <w:r>
              <w:rPr>
                <w:rFonts w:ascii="Noto Sans" w:hAnsi="Noto Sans" w:eastAsia="Noto Sans"/>
                <w:sz w:val="17"/>
              </w:rPr>
              <w:t>Relazioni canoniche</w:t>
            </w:r>
          </w:p>
        </w:tc>
        <w:tc>
          <w:tcPr>
            <w:tcW w:type="dxa" w:w="3118"/>
          </w:tcPr>
          <w:p>
            <w:r>
              <w:rPr>
                <w:rFonts w:ascii="Noto Sans" w:hAnsi="Noto Sans" w:eastAsia="Noto Sans"/>
                <w:sz w:val="17"/>
              </w:rPr>
              <w:t>locatedAt, authorisedBy, occupies</w:t>
            </w:r>
          </w:p>
        </w:tc>
        <w:tc>
          <w:tcPr>
            <w:tcW w:type="dxa" w:w="3969"/>
          </w:tcPr>
          <w:p>
            <w:r>
              <w:rPr>
                <w:rFonts w:ascii="Noto Sans" w:hAnsi="Noto Sans" w:eastAsia="Noto Sans"/>
                <w:sz w:val="17"/>
              </w:rPr>
              <w:t>Ontologia OUF / Semantic Model</w:t>
            </w:r>
          </w:p>
        </w:tc>
      </w:tr>
    </w:tbl>
    <w:p>
      <w:pPr>
        <w:pStyle w:val="Heading2"/>
      </w:pPr>
      <w:r>
        <w:rPr>
          <w:rFonts w:ascii="Noto Sans" w:hAnsi="Noto Sans" w:eastAsia="Noto Sans"/>
        </w:rPr>
        <w:t>11.4 Extraction Profile e confine di responsabilità</w:t>
      </w:r>
    </w:p>
    <w:p>
      <w:pPr>
        <w:pStyle w:val="BodyText"/>
      </w:pPr>
      <w:r>
        <w:rPr>
          <w:rFonts w:ascii="Noto Sans" w:hAnsi="Noto Sans" w:eastAsia="Noto Sans"/>
        </w:rPr>
        <w:t>L’Extraction Profile è prodotto e approvato dal modulo Source Onboarding / Source Configuration. Esprime, in forma eseguibile, ciò che la piattaforma è autorizzata a richiedere alla sorgente. Il Gateway non decide il contenuto del profilo e non determina la classificazione dei campi; applica il profilo alla richiesta southbound, componendo esclusivamente filtri, parametri, paging e field projection ammessi. La Source API del verticale esegue materialmente la projection e restituisce soltanto i campi richiesti.</w:t>
      </w:r>
    </w:p>
    <w:p>
      <w:pPr>
        <w:pStyle w:val="ListBullet"/>
      </w:pPr>
      <w:r>
        <w:rPr>
          <w:rFonts w:ascii="Noto Sans" w:hAnsi="Noto Sans" w:eastAsia="Noto Sans"/>
        </w:rPr>
        <w:t>Il profilo runtime può includere: sourceId, endpoint/protocollo, sourceType scope, stati sorgente da interrogare, query template, field projection/allowlist, paging, change token o watermark, timeout, rate limit e riferimenti a credenziali.</w:t>
      </w:r>
    </w:p>
    <w:p>
      <w:pPr>
        <w:pStyle w:val="ListBullet"/>
      </w:pPr>
      <w:r>
        <w:rPr>
          <w:rFonts w:ascii="Noto Sans" w:hAnsi="Noto Sans" w:eastAsia="Noto Sans"/>
        </w:rPr>
        <w:t>La classificazione dei campi (OPEN, ANONYMOUS, PERSONAL, SENSITIVE o altre categorie), l’associazione a ontologie/vocabolari e le regole di trasformazione restano nel modulo di onboarding e nei moduli semantici. Il Gateway riceve solo l’esito compilato: quali campi e parametri sono ammessi nella richiesta alla sorgente.</w:t>
      </w:r>
    </w:p>
    <w:p>
      <w:pPr>
        <w:pStyle w:val="ListBullet"/>
      </w:pPr>
      <w:r>
        <w:rPr>
          <w:rFonts w:ascii="Noto Sans" w:hAnsi="Noto Sans" w:eastAsia="Noto Sans"/>
        </w:rPr>
        <w:t>Per il core iniziale, l’Extraction Profile deve impedire che il Gateway richieda campi esclusi dall’onboarding. La field projection è quindi un vincolo tecnico di minimizzazione applicato sulla richiesta: il Gateway non deve ricevere il payload completo per filtrarlo successivamente. La classificazione che ha prodotto l’allowlist resta esclusivamente nella piattaforma Smart City / OUF.</w:t>
      </w:r>
    </w:p>
    <w:p>
      <w:pPr>
        <w:pStyle w:val="ListBullet"/>
      </w:pPr>
      <w:r>
        <w:rPr>
          <w:rFonts w:ascii="Noto Sans" w:hAnsi="Noto Sans" w:eastAsia="Noto Sans"/>
        </w:rPr>
        <w:t>Adapter, ETL e Semantic Model consumano gli ulteriori riferimenti prodotti dall’onboarding (schema sorgente, processing profile, semantic mapping) secondo i rispettivi contratti. Tali riferimenti non devono essere interpretati né modificati dal Gateway.</w:t>
      </w:r>
    </w:p>
    <w:p>
      <w:pPr>
        <w:shd w:fill="F3F5F7"/>
      </w:pPr>
      <w:r>
        <w:rPr>
          <w:rFonts w:ascii="Noto Sans" w:hAnsi="Noto Sans" w:eastAsia="Noto Sans"/>
          <w:sz w:val="15"/>
        </w:rPr>
        <w:t>sourceId: suap-prod</w:t>
        <w:br/>
        <w:t>extractionProfileId: suap.concluded-procedures.v1</w:t>
        <w:br/>
        <w:t>version: 1.0.0</w:t>
        <w:br/>
        <w:t>runtime:</w:t>
        <w:br/>
        <w:t xml:space="preserve">  mode: PULL</w:t>
        <w:br/>
        <w:t xml:space="preserve">  endpointRef: suap-procedures-api</w:t>
        <w:br/>
        <w:t xml:space="preserve">  sourceTypeScope: ["*"]</w:t>
        <w:br/>
        <w:t xml:space="preserve">  sourceStatusFilter: ["&lt;codici-stato-compilati-da-onboarding&gt;"]</w:t>
        <w:br/>
        <w:t xml:space="preserve">  fieldProjectionRef: suap.allowed-fields.v1</w:t>
        <w:br/>
        <w:t xml:space="preserve">  incrementalStrategy: CHANGE_TOKEN</w:t>
        <w:br/>
        <w:t xml:space="preserve">  pageSize: 500</w:t>
        <w:br/>
        <w:t>processingRefs:</w:t>
        <w:br/>
        <w:t xml:space="preserve">  adapterProfileId: suap-adapter-v1</w:t>
        <w:br/>
        <w:t xml:space="preserve">  semanticMappingSetId: suap-semantic-mappings-v1</w:t>
      </w:r>
    </w:p>
    <w:p>
      <w:pPr>
        <w:pStyle w:val="BodyText"/>
      </w:pPr>
      <w:r>
        <w:rPr>
          <w:rFonts w:ascii="Noto Sans" w:hAnsi="Noto Sans" w:eastAsia="Noto Sans"/>
        </w:rPr>
        <w:t>I riferimenti processingRefs sono opachi per il Gateway. Il Source Onboarding / Source Configuration può evolvere in futuro con frontend dedicato, workflow umano o assistenza AI/MCP senza modificare il perimetro del Gateway: cambia l’artefatto approvato pubblicato al runtime, non la responsabilità del Gateway.</w:t>
      </w:r>
    </w:p>
    <w:p>
      <w:pPr>
        <w:pStyle w:val="Heading2"/>
      </w:pPr>
      <w:r>
        <w:rPr>
          <w:rFonts w:ascii="Noto Sans" w:hAnsi="Noto Sans" w:eastAsia="Noto Sans"/>
        </w:rPr>
        <w:t>11.5 Allineamento allo standard OUF Source API v2.1</w:t>
      </w:r>
    </w:p>
    <w:p>
      <w:pPr>
        <w:pStyle w:val="BodyText"/>
      </w:pPr>
      <w:r>
        <w:rPr>
          <w:rFonts w:ascii="Noto Sans" w:hAnsi="Noto Sans" w:eastAsia="Noto Sans"/>
        </w:rPr>
        <w:t>Lo standard OUF Source API mantiene il verticale semanticamente neutro: semantica, classificazioni, ontologie, vocabolari controllati e mapping restano nella piattaforma Smart City / OUF. Il Gateway conosce solo la configurazione tecnica compilata necessaria a effettuare il PULL.</w:t>
      </w:r>
    </w:p>
    <w:p>
      <w:pPr>
        <w:pStyle w:val="ListBullet"/>
      </w:pPr>
      <w:r>
        <w:rPr>
          <w:rFonts w:ascii="Noto Sans" w:hAnsi="Noto Sans" w:eastAsia="Noto Sans"/>
        </w:rPr>
        <w:t>Continuità bootstrap/delta: quando il Source Sync usa snapshot iniziale e catch-up incrementale, il Gateway deve propagare senza alterazioni gli eventuali parametri tecnici di coerenza previsti dalla Source API (ad es. asOf, high-water mark, snapshot token o change token). La garanzia che nessuna modifica venga persa tra snapshot e delta appartiene al contratto Source API / Source Sync; il Gateway garantisce trasporto, routing, retry controllato e audit.</w:t>
      </w:r>
    </w:p>
    <w:p>
      <w:pPr>
        <w:pStyle w:val="ListBullet"/>
      </w:pPr>
      <w:r>
        <w:rPr>
          <w:rFonts w:ascii="Noto Sans" w:hAnsi="Noto Sans" w:eastAsia="Noto Sans"/>
        </w:rPr>
        <w:t>Uscita dal perimetro: il Gateway non deve sopprimere o filtrare a posteriori una variazione restituita dalla Source API solo perché il nuovo stato non appartiene più agli eligibleStates. Se un record già estraibile viene riaperto, annullato o comunque esce dal perimetro, la variazione deve essere inoltrata all’Adapter / Connector Framework per il trattamento applicativo.</w:t>
      </w:r>
    </w:p>
    <w:p>
      <w:pPr>
        <w:pStyle w:val="ListBullet"/>
      </w:pPr>
      <w:r>
        <w:rPr>
          <w:rFonts w:ascii="Noto Sans" w:hAnsi="Noto Sans" w:eastAsia="Noto Sans"/>
        </w:rPr>
        <w:t>Rilettura e idempotenza: retry o resume possono comportare la rilettura della stessa finestra incrementale. Il Gateway non assume garanzie exactly-once; preserva cursor, watermark/change token e correlation ID, mentre deduplicazione e idempotenza di elaborazione appartengono ai componenti di sincronizzazione e processing.</w:t>
      </w:r>
    </w:p>
    <w:p>
      <w:pPr>
        <w:pStyle w:val="Heading1"/>
        <w:keepNext/>
        <w:spacing w:before="160"/>
      </w:pPr>
      <w:r>
        <w:rPr>
          <w:rFonts w:ascii="Noto Sans" w:hAnsi="Noto Sans" w:eastAsia="Noto Sans"/>
        </w:rPr>
        <w:t>12. Sicurezza del core iniziale</w:t>
      </w:r>
    </w:p>
    <w:p>
      <w:pPr>
        <w:pStyle w:val="BodyText"/>
        <w:widowControl/>
        <w:spacing w:after="80"/>
      </w:pPr>
      <w:r>
        <w:rPr>
          <w:rFonts w:ascii="Noto Sans" w:hAnsi="Noto Sans" w:eastAsia="Noto Sans"/>
        </w:rPr>
        <w:t>Il profilo iniziale tratta esclusivamente open data e dati anonimi. Questo riduce la complessità della data authorization ma non elimina i requisiti di sicurezza relativi a integrità, autenticità delle sorgenti, disponibilità, protezione delle API e controllo delle operazioni.</w:t>
      </w:r>
    </w:p>
    <w:p>
      <w:pPr>
        <w:pStyle w:val="ListBullet"/>
        <w:spacing w:after="40"/>
      </w:pPr>
      <w:r>
        <w:rPr>
          <w:rFonts w:ascii="Noto Sans" w:hAnsi="Noto Sans" w:eastAsia="Noto Sans"/>
        </w:rPr>
        <w:t>TLS obbligatorio</w:t>
      </w:r>
    </w:p>
    <w:p>
      <w:pPr>
        <w:pStyle w:val="ListBullet"/>
        <w:spacing w:after="40"/>
      </w:pPr>
      <w:r>
        <w:rPr>
          <w:rFonts w:ascii="Noto Sans" w:hAnsi="Noto Sans" w:eastAsia="Noto Sans"/>
        </w:rPr>
        <w:t>Autenticazione machine-to-machine</w:t>
      </w:r>
    </w:p>
    <w:p>
      <w:pPr>
        <w:pStyle w:val="ListBullet"/>
        <w:spacing w:after="40"/>
      </w:pPr>
      <w:r>
        <w:rPr>
          <w:rFonts w:ascii="Noto Sans" w:hAnsi="Noto Sans" w:eastAsia="Noto Sans"/>
        </w:rPr>
        <w:t>Service account distinti</w:t>
      </w:r>
    </w:p>
    <w:p>
      <w:pPr>
        <w:pStyle w:val="ListBullet"/>
        <w:spacing w:after="40"/>
      </w:pPr>
      <w:r>
        <w:rPr>
          <w:rFonts w:ascii="Noto Sans" w:hAnsi="Noto Sans" w:eastAsia="Noto Sans"/>
        </w:rPr>
        <w:t>Secret management centralizzato</w:t>
      </w:r>
    </w:p>
    <w:p>
      <w:pPr>
        <w:pStyle w:val="ListBullet"/>
        <w:spacing w:after="40"/>
      </w:pPr>
      <w:r>
        <w:rPr>
          <w:rFonts w:ascii="Noto Sans" w:hAnsi="Noto Sans" w:eastAsia="Noto Sans"/>
        </w:rPr>
        <w:t>Allowlist delle sorgenti e degli endpoint</w:t>
      </w:r>
    </w:p>
    <w:p>
      <w:pPr>
        <w:pStyle w:val="ListBullet"/>
        <w:spacing w:after="40"/>
      </w:pPr>
      <w:r>
        <w:rPr>
          <w:rFonts w:ascii="Noto Sans" w:hAnsi="Noto Sans" w:eastAsia="Noto Sans"/>
        </w:rPr>
        <w:t>Rate limit e payload size limit</w:t>
      </w:r>
    </w:p>
    <w:p>
      <w:pPr>
        <w:pStyle w:val="ListBullet"/>
        <w:spacing w:after="40"/>
      </w:pPr>
      <w:r>
        <w:rPr>
          <w:rFonts w:ascii="Noto Sans" w:hAnsi="Noto Sans" w:eastAsia="Noto Sans"/>
        </w:rPr>
        <w:t>Timeout e retry controllati</w:t>
      </w:r>
    </w:p>
    <w:p>
      <w:pPr>
        <w:pStyle w:val="ListBullet"/>
        <w:spacing w:after="40"/>
      </w:pPr>
      <w:r>
        <w:rPr>
          <w:rFonts w:ascii="Noto Sans" w:hAnsi="Noto Sans" w:eastAsia="Noto Sans"/>
        </w:rPr>
        <w:t>Input validation</w:t>
      </w:r>
    </w:p>
    <w:p>
      <w:pPr>
        <w:pStyle w:val="ListBullet"/>
        <w:spacing w:after="40"/>
      </w:pPr>
      <w:r>
        <w:rPr>
          <w:rFonts w:ascii="Noto Sans" w:hAnsi="Noto Sans" w:eastAsia="Noto Sans"/>
        </w:rPr>
        <w:t>Audit e correlation ID</w:t>
      </w:r>
    </w:p>
    <w:p>
      <w:pPr>
        <w:pStyle w:val="ListBullet"/>
        <w:spacing w:after="40"/>
      </w:pPr>
      <w:r>
        <w:rPr>
          <w:rFonts w:ascii="Noto Sans" w:hAnsi="Noto Sans" w:eastAsia="Noto Sans"/>
        </w:rPr>
        <w:t>Network segmentation</w:t>
      </w:r>
    </w:p>
    <w:p>
      <w:pPr>
        <w:pStyle w:val="ListBullet"/>
        <w:spacing w:after="40"/>
      </w:pPr>
      <w:r>
        <w:rPr>
          <w:rFonts w:ascii="Noto Sans" w:hAnsi="Noto Sans" w:eastAsia="Noto Sans"/>
        </w:rPr>
        <w:t>Nessuna credenziale in chiaro nei manifest</w:t>
      </w:r>
    </w:p>
    <w:p>
      <w:pPr>
        <w:pStyle w:val="Heading1"/>
        <w:keepNext/>
        <w:spacing w:before="160"/>
      </w:pPr>
      <w:r>
        <w:rPr>
          <w:rFonts w:ascii="Noto Sans" w:hAnsi="Noto Sans" w:eastAsia="Noto Sans"/>
        </w:rPr>
        <w:t>13. Autenticazione e autorizzazione</w:t>
      </w:r>
    </w:p>
    <w:p>
      <w:pPr>
        <w:pStyle w:val="Heading2"/>
        <w:keepNext/>
        <w:spacing w:before="160"/>
      </w:pPr>
      <w:r>
        <w:rPr>
          <w:rFonts w:ascii="Noto Sans" w:hAnsi="Noto Sans" w:eastAsia="Noto Sans"/>
        </w:rPr>
        <w:t>13.1 Autenticazione proposta</w:t>
      </w:r>
    </w:p>
    <w:p>
      <w:pPr>
        <w:pStyle w:val="BodyText"/>
        <w:widowControl/>
        <w:spacing w:after="80"/>
      </w:pPr>
      <w:r>
        <w:rPr>
          <w:rFonts w:ascii="Noto Sans" w:hAnsi="Noto Sans" w:eastAsia="Noto Sans"/>
        </w:rPr>
        <w:t>Per SUAP, SUO e SUE il meccanismo preferito è OAuth 2.0 Client Credentials. Quando non supportato dal verticale è ammesso mTLS; per integrazioni a maggiore criticità è possibile combinare mTLS e OAuth2 client credentials.</w:t>
      </w:r>
    </w:p>
    <w:p>
      <w:pPr>
        <w:pStyle w:val="Heading2"/>
        <w:keepNext/>
        <w:spacing w:before="160"/>
      </w:pPr>
      <w:r>
        <w:rPr>
          <w:rFonts w:ascii="Noto Sans" w:hAnsi="Noto Sans" w:eastAsia="Noto Sans"/>
        </w:rPr>
        <w:t>13.2 Scope iniziali</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ouf.ingest.suap</w:t>
              <w:br/>
              <w:t>ouf.ingest.suo</w:t>
              <w:br/>
              <w:t>ouf.ingest.sue</w:t>
              <w:br/>
              <w:t>ouf.read.geo</w:t>
              <w:br/>
              <w:t>ouf.read.catalog</w:t>
              <w:br/>
              <w:t>ouf.admin.sources</w:t>
            </w:r>
          </w:p>
        </w:tc>
      </w:tr>
    </w:tbl>
    <w:p>
      <w:pPr>
        <w:spacing w:after="40"/>
      </w:pPr>
    </w:p>
    <w:p>
      <w:pPr>
        <w:pStyle w:val="BodyText"/>
        <w:widowControl/>
        <w:spacing w:after="80"/>
      </w:pPr>
      <w:r>
        <w:rPr>
          <w:rFonts w:ascii="Noto Sans" w:hAnsi="Noto Sans" w:eastAsia="Noto Sans"/>
        </w:rPr>
        <w:t>Nel core iniziale non è richiesta autorizzazione sul singolo record. La struttura delle policy deve tuttavia restare compatibile con una futura evoluzione RBAC/ABAC e con classificazioni di dati più restrittive.</w:t>
      </w:r>
    </w:p>
    <w:p>
      <w:pPr>
        <w:pStyle w:val="Heading1"/>
        <w:keepNext/>
        <w:spacing w:before="160"/>
      </w:pPr>
      <w:r>
        <w:rPr>
          <w:rFonts w:ascii="Noto Sans" w:hAnsi="Noto Sans" w:eastAsia="Noto Sans"/>
        </w:rPr>
        <w:t>14. Gestione errori</w:t>
      </w:r>
    </w:p>
    <w:p>
      <w:pPr>
        <w:pStyle w:val="BodyText"/>
        <w:widowControl/>
        <w:spacing w:after="80"/>
      </w:pPr>
      <w:r>
        <w:rPr>
          <w:rFonts w:ascii="Noto Sans" w:hAnsi="Noto Sans" w:eastAsia="Noto Sans"/>
        </w:rPr>
        <w:t>Il Gateway adotta un modello di errore unico, coerente con problem details HTTP e con codici applicativi OUF.</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w:t>
              <w:br/>
              <w:t xml:space="preserve">  "type": "https://ouf.trieste.it/errors/schema-validation",</w:t>
              <w:br/>
              <w:t xml:space="preserve">  "title": "Schema validation failed",</w:t>
              <w:br/>
              <w:t xml:space="preserve">  "status": 422,</w:t>
              <w:br/>
              <w:t xml:space="preserve">  "code": "OUF-ING-002",</w:t>
              <w:br/>
              <w:t xml:space="preserve">  "correlationId": "01JXYZ...",</w:t>
              <w:br/>
              <w:t xml:space="preserve">  "detail": "Field 'geometry' is invalid"</w:t>
              <w:br/>
              <w:t>}</w:t>
            </w:r>
          </w:p>
        </w:tc>
      </w:tr>
    </w:tbl>
    <w:p>
      <w:pPr>
        <w:spacing w:after="40"/>
      </w:pPr>
    </w:p>
    <w:tbl>
      <w:tblPr>
        <w:tblStyle w:val="TableGrid"/>
        <w:tblW w:type="auto" w:w="0"/>
        <w:jc w:val="center"/>
        <w:tblLook w:firstColumn="1" w:firstRow="1" w:lastColumn="0" w:lastRow="0" w:noHBand="0" w:noVBand="1" w:val="04A0"/>
      </w:tblPr>
      <w:tblGrid>
        <w:gridCol w:w="4536"/>
        <w:gridCol w:w="4536"/>
      </w:tblGrid>
      <w:tr>
        <w:trPr>
          <w:tblHeader w:val="true"/>
          <w:cantSplit/>
        </w:trPr>
        <w:tc>
          <w:tcPr>
            <w:tcW w:type="dxa" w:w="1701"/>
            <w:vAlign w:val="top"/>
            <w:shd w:fill="0B4F6C"/>
            <w:tcMar>
              <w:top w:w="70" w:type="dxa"/>
              <w:start w:w="90" w:type="dxa"/>
              <w:bottom w:w="70" w:type="dxa"/>
              <w:end w:w="90" w:type="dxa"/>
            </w:tcMar>
          </w:tcPr>
          <w:p>
            <w:r>
              <w:rPr>
                <w:rFonts w:ascii="Noto Sans" w:hAnsi="Noto Sans" w:eastAsia="Noto Sans"/>
                <w:sz w:val="17"/>
              </w:rPr>
              <w:t>HTTP</w:t>
            </w:r>
          </w:p>
        </w:tc>
        <w:tc>
          <w:tcPr>
            <w:tcW w:type="dxa" w:w="8617"/>
            <w:vAlign w:val="top"/>
            <w:shd w:fill="0B4F6C"/>
            <w:tcMar>
              <w:top w:w="70" w:type="dxa"/>
              <w:start w:w="90" w:type="dxa"/>
              <w:bottom w:w="70" w:type="dxa"/>
              <w:end w:w="90" w:type="dxa"/>
            </w:tcMar>
          </w:tcPr>
          <w:p>
            <w:r>
              <w:rPr>
                <w:rFonts w:ascii="Noto Sans" w:hAnsi="Noto Sans" w:eastAsia="Noto Sans"/>
                <w:sz w:val="17"/>
              </w:rPr>
              <w:t>Significato</w:t>
            </w:r>
          </w:p>
        </w:tc>
      </w:tr>
      <w:tr>
        <w:trPr>
          <w:cantSplit/>
        </w:trPr>
        <w:tc>
          <w:tcPr>
            <w:tcW w:type="dxa" w:w="1701"/>
            <w:vAlign w:val="top"/>
            <w:tcMar>
              <w:top w:w="70" w:type="dxa"/>
              <w:start w:w="90" w:type="dxa"/>
              <w:bottom w:w="70" w:type="dxa"/>
              <w:end w:w="90" w:type="dxa"/>
            </w:tcMar>
          </w:tcPr>
          <w:p>
            <w:r>
              <w:rPr>
                <w:rFonts w:ascii="Noto Sans" w:hAnsi="Noto Sans" w:eastAsia="Noto Sans"/>
                <w:sz w:val="17"/>
              </w:rPr>
              <w:t>400</w:t>
            </w:r>
          </w:p>
        </w:tc>
        <w:tc>
          <w:tcPr>
            <w:tcW w:type="dxa" w:w="8617"/>
            <w:vAlign w:val="top"/>
            <w:tcMar>
              <w:top w:w="70" w:type="dxa"/>
              <w:start w:w="90" w:type="dxa"/>
              <w:bottom w:w="70" w:type="dxa"/>
              <w:end w:w="90" w:type="dxa"/>
            </w:tcMar>
          </w:tcPr>
          <w:p>
            <w:r>
              <w:rPr>
                <w:rFonts w:ascii="Noto Sans" w:hAnsi="Noto Sans" w:eastAsia="Noto Sans"/>
                <w:sz w:val="17"/>
              </w:rPr>
              <w:t>Richiesta non valida</w:t>
            </w:r>
          </w:p>
        </w:tc>
      </w:tr>
      <w:tr>
        <w:trPr>
          <w:cantSplit/>
        </w:trPr>
        <w:tc>
          <w:tcPr>
            <w:tcW w:type="dxa" w:w="1701"/>
            <w:vAlign w:val="top"/>
            <w:shd w:fill="F3F4F6"/>
            <w:tcMar>
              <w:top w:w="70" w:type="dxa"/>
              <w:start w:w="90" w:type="dxa"/>
              <w:bottom w:w="70" w:type="dxa"/>
              <w:end w:w="90" w:type="dxa"/>
            </w:tcMar>
          </w:tcPr>
          <w:p>
            <w:r>
              <w:rPr>
                <w:rFonts w:ascii="Noto Sans" w:hAnsi="Noto Sans" w:eastAsia="Noto Sans"/>
                <w:sz w:val="17"/>
              </w:rPr>
              <w:t>401</w:t>
            </w:r>
          </w:p>
        </w:tc>
        <w:tc>
          <w:tcPr>
            <w:tcW w:type="dxa" w:w="8617"/>
            <w:vAlign w:val="top"/>
            <w:shd w:fill="F3F4F6"/>
            <w:tcMar>
              <w:top w:w="70" w:type="dxa"/>
              <w:start w:w="90" w:type="dxa"/>
              <w:bottom w:w="70" w:type="dxa"/>
              <w:end w:w="90" w:type="dxa"/>
            </w:tcMar>
          </w:tcPr>
          <w:p>
            <w:r>
              <w:rPr>
                <w:rFonts w:ascii="Noto Sans" w:hAnsi="Noto Sans" w:eastAsia="Noto Sans"/>
                <w:sz w:val="17"/>
              </w:rPr>
              <w:t>Autenticazione assente o non valida</w:t>
            </w:r>
          </w:p>
        </w:tc>
      </w:tr>
      <w:tr>
        <w:trPr>
          <w:cantSplit/>
        </w:trPr>
        <w:tc>
          <w:tcPr>
            <w:tcW w:type="dxa" w:w="1701"/>
            <w:vAlign w:val="top"/>
            <w:tcMar>
              <w:top w:w="70" w:type="dxa"/>
              <w:start w:w="90" w:type="dxa"/>
              <w:bottom w:w="70" w:type="dxa"/>
              <w:end w:w="90" w:type="dxa"/>
            </w:tcMar>
          </w:tcPr>
          <w:p>
            <w:r>
              <w:rPr>
                <w:rFonts w:ascii="Noto Sans" w:hAnsi="Noto Sans" w:eastAsia="Noto Sans"/>
                <w:sz w:val="17"/>
              </w:rPr>
              <w:t>403</w:t>
            </w:r>
          </w:p>
        </w:tc>
        <w:tc>
          <w:tcPr>
            <w:tcW w:type="dxa" w:w="8617"/>
            <w:vAlign w:val="top"/>
            <w:tcMar>
              <w:top w:w="70" w:type="dxa"/>
              <w:start w:w="90" w:type="dxa"/>
              <w:bottom w:w="70" w:type="dxa"/>
              <w:end w:w="90" w:type="dxa"/>
            </w:tcMar>
          </w:tcPr>
          <w:p>
            <w:r>
              <w:rPr>
                <w:rFonts w:ascii="Noto Sans" w:hAnsi="Noto Sans" w:eastAsia="Noto Sans"/>
                <w:sz w:val="17"/>
              </w:rPr>
              <w:t>Sorgente/operazione non autorizzata</w:t>
            </w:r>
          </w:p>
        </w:tc>
      </w:tr>
      <w:tr>
        <w:trPr>
          <w:cantSplit/>
        </w:trPr>
        <w:tc>
          <w:tcPr>
            <w:tcW w:type="dxa" w:w="1701"/>
            <w:vAlign w:val="top"/>
            <w:shd w:fill="F3F4F6"/>
            <w:tcMar>
              <w:top w:w="70" w:type="dxa"/>
              <w:start w:w="90" w:type="dxa"/>
              <w:bottom w:w="70" w:type="dxa"/>
              <w:end w:w="90" w:type="dxa"/>
            </w:tcMar>
          </w:tcPr>
          <w:p>
            <w:r>
              <w:rPr>
                <w:rFonts w:ascii="Noto Sans" w:hAnsi="Noto Sans" w:eastAsia="Noto Sans"/>
                <w:sz w:val="17"/>
              </w:rPr>
              <w:t>404</w:t>
            </w:r>
          </w:p>
        </w:tc>
        <w:tc>
          <w:tcPr>
            <w:tcW w:type="dxa" w:w="8617"/>
            <w:vAlign w:val="top"/>
            <w:shd w:fill="F3F4F6"/>
            <w:tcMar>
              <w:top w:w="70" w:type="dxa"/>
              <w:start w:w="90" w:type="dxa"/>
              <w:bottom w:w="70" w:type="dxa"/>
              <w:end w:w="90" w:type="dxa"/>
            </w:tcMar>
          </w:tcPr>
          <w:p>
            <w:r>
              <w:rPr>
                <w:rFonts w:ascii="Noto Sans" w:hAnsi="Noto Sans" w:eastAsia="Noto Sans"/>
                <w:sz w:val="17"/>
              </w:rPr>
              <w:t>Route o dataset inesistente</w:t>
            </w:r>
          </w:p>
        </w:tc>
      </w:tr>
      <w:tr>
        <w:trPr>
          <w:cantSplit/>
        </w:trPr>
        <w:tc>
          <w:tcPr>
            <w:tcW w:type="dxa" w:w="1701"/>
            <w:vAlign w:val="top"/>
            <w:tcMar>
              <w:top w:w="70" w:type="dxa"/>
              <w:start w:w="90" w:type="dxa"/>
              <w:bottom w:w="70" w:type="dxa"/>
              <w:end w:w="90" w:type="dxa"/>
            </w:tcMar>
          </w:tcPr>
          <w:p>
            <w:r>
              <w:rPr>
                <w:rFonts w:ascii="Noto Sans" w:hAnsi="Noto Sans" w:eastAsia="Noto Sans"/>
                <w:sz w:val="17"/>
              </w:rPr>
              <w:t>409</w:t>
            </w:r>
          </w:p>
        </w:tc>
        <w:tc>
          <w:tcPr>
            <w:tcW w:type="dxa" w:w="8617"/>
            <w:vAlign w:val="top"/>
            <w:tcMar>
              <w:top w:w="70" w:type="dxa"/>
              <w:start w:w="90" w:type="dxa"/>
              <w:bottom w:w="70" w:type="dxa"/>
              <w:end w:w="90" w:type="dxa"/>
            </w:tcMar>
          </w:tcPr>
          <w:p>
            <w:r>
              <w:rPr>
                <w:rFonts w:ascii="Noto Sans" w:hAnsi="Noto Sans" w:eastAsia="Noto Sans"/>
                <w:sz w:val="17"/>
              </w:rPr>
              <w:t>Conflitto o idempotenza</w:t>
            </w:r>
          </w:p>
        </w:tc>
      </w:tr>
      <w:tr>
        <w:trPr>
          <w:cantSplit/>
        </w:trPr>
        <w:tc>
          <w:tcPr>
            <w:tcW w:type="dxa" w:w="1701"/>
            <w:vAlign w:val="top"/>
            <w:shd w:fill="F3F4F6"/>
            <w:tcMar>
              <w:top w:w="70" w:type="dxa"/>
              <w:start w:w="90" w:type="dxa"/>
              <w:bottom w:w="70" w:type="dxa"/>
              <w:end w:w="90" w:type="dxa"/>
            </w:tcMar>
          </w:tcPr>
          <w:p>
            <w:r>
              <w:rPr>
                <w:rFonts w:ascii="Noto Sans" w:hAnsi="Noto Sans" w:eastAsia="Noto Sans"/>
                <w:sz w:val="17"/>
              </w:rPr>
              <w:t>413</w:t>
            </w:r>
          </w:p>
        </w:tc>
        <w:tc>
          <w:tcPr>
            <w:tcW w:type="dxa" w:w="8617"/>
            <w:vAlign w:val="top"/>
            <w:shd w:fill="F3F4F6"/>
            <w:tcMar>
              <w:top w:w="70" w:type="dxa"/>
              <w:start w:w="90" w:type="dxa"/>
              <w:bottom w:w="70" w:type="dxa"/>
              <w:end w:w="90" w:type="dxa"/>
            </w:tcMar>
          </w:tcPr>
          <w:p>
            <w:r>
              <w:rPr>
                <w:rFonts w:ascii="Noto Sans" w:hAnsi="Noto Sans" w:eastAsia="Noto Sans"/>
                <w:sz w:val="17"/>
              </w:rPr>
              <w:t>Payload troppo grande</w:t>
            </w:r>
          </w:p>
        </w:tc>
      </w:tr>
      <w:tr>
        <w:trPr>
          <w:cantSplit/>
        </w:trPr>
        <w:tc>
          <w:tcPr>
            <w:tcW w:type="dxa" w:w="1701"/>
            <w:vAlign w:val="top"/>
            <w:tcMar>
              <w:top w:w="70" w:type="dxa"/>
              <w:start w:w="90" w:type="dxa"/>
              <w:bottom w:w="70" w:type="dxa"/>
              <w:end w:w="90" w:type="dxa"/>
            </w:tcMar>
          </w:tcPr>
          <w:p>
            <w:r>
              <w:rPr>
                <w:rFonts w:ascii="Noto Sans" w:hAnsi="Noto Sans" w:eastAsia="Noto Sans"/>
                <w:sz w:val="17"/>
              </w:rPr>
              <w:t>415</w:t>
            </w:r>
          </w:p>
        </w:tc>
        <w:tc>
          <w:tcPr>
            <w:tcW w:type="dxa" w:w="8617"/>
            <w:vAlign w:val="top"/>
            <w:tcMar>
              <w:top w:w="70" w:type="dxa"/>
              <w:start w:w="90" w:type="dxa"/>
              <w:bottom w:w="70" w:type="dxa"/>
              <w:end w:w="90" w:type="dxa"/>
            </w:tcMar>
          </w:tcPr>
          <w:p>
            <w:r>
              <w:rPr>
                <w:rFonts w:ascii="Noto Sans" w:hAnsi="Noto Sans" w:eastAsia="Noto Sans"/>
                <w:sz w:val="17"/>
              </w:rPr>
              <w:t>Formato non supportato</w:t>
            </w:r>
          </w:p>
        </w:tc>
      </w:tr>
      <w:tr>
        <w:trPr>
          <w:cantSplit/>
        </w:trPr>
        <w:tc>
          <w:tcPr>
            <w:tcW w:type="dxa" w:w="1701"/>
            <w:vAlign w:val="top"/>
            <w:shd w:fill="F3F4F6"/>
            <w:tcMar>
              <w:top w:w="70" w:type="dxa"/>
              <w:start w:w="90" w:type="dxa"/>
              <w:bottom w:w="70" w:type="dxa"/>
              <w:end w:w="90" w:type="dxa"/>
            </w:tcMar>
          </w:tcPr>
          <w:p>
            <w:r>
              <w:rPr>
                <w:rFonts w:ascii="Noto Sans" w:hAnsi="Noto Sans" w:eastAsia="Noto Sans"/>
                <w:sz w:val="17"/>
              </w:rPr>
              <w:t>422</w:t>
            </w:r>
          </w:p>
        </w:tc>
        <w:tc>
          <w:tcPr>
            <w:tcW w:type="dxa" w:w="8617"/>
            <w:vAlign w:val="top"/>
            <w:shd w:fill="F3F4F6"/>
            <w:tcMar>
              <w:top w:w="70" w:type="dxa"/>
              <w:start w:w="90" w:type="dxa"/>
              <w:bottom w:w="70" w:type="dxa"/>
              <w:end w:w="90" w:type="dxa"/>
            </w:tcMar>
          </w:tcPr>
          <w:p>
            <w:r>
              <w:rPr>
                <w:rFonts w:ascii="Noto Sans" w:hAnsi="Noto Sans" w:eastAsia="Noto Sans"/>
                <w:sz w:val="17"/>
              </w:rPr>
              <w:t>Contratto dati non valido</w:t>
            </w:r>
          </w:p>
        </w:tc>
      </w:tr>
      <w:tr>
        <w:trPr>
          <w:cantSplit/>
        </w:trPr>
        <w:tc>
          <w:tcPr>
            <w:tcW w:type="dxa" w:w="1701"/>
            <w:vAlign w:val="top"/>
            <w:tcMar>
              <w:top w:w="70" w:type="dxa"/>
              <w:start w:w="90" w:type="dxa"/>
              <w:bottom w:w="70" w:type="dxa"/>
              <w:end w:w="90" w:type="dxa"/>
            </w:tcMar>
          </w:tcPr>
          <w:p>
            <w:r>
              <w:rPr>
                <w:rFonts w:ascii="Noto Sans" w:hAnsi="Noto Sans" w:eastAsia="Noto Sans"/>
                <w:sz w:val="17"/>
              </w:rPr>
              <w:t>429</w:t>
            </w:r>
          </w:p>
        </w:tc>
        <w:tc>
          <w:tcPr>
            <w:tcW w:type="dxa" w:w="8617"/>
            <w:vAlign w:val="top"/>
            <w:tcMar>
              <w:top w:w="70" w:type="dxa"/>
              <w:start w:w="90" w:type="dxa"/>
              <w:bottom w:w="70" w:type="dxa"/>
              <w:end w:w="90" w:type="dxa"/>
            </w:tcMar>
          </w:tcPr>
          <w:p>
            <w:r>
              <w:rPr>
                <w:rFonts w:ascii="Noto Sans" w:hAnsi="Noto Sans" w:eastAsia="Noto Sans"/>
                <w:sz w:val="17"/>
              </w:rPr>
              <w:t>Rate limit</w:t>
            </w:r>
          </w:p>
        </w:tc>
      </w:tr>
      <w:tr>
        <w:trPr>
          <w:cantSplit/>
        </w:trPr>
        <w:tc>
          <w:tcPr>
            <w:tcW w:type="dxa" w:w="1701"/>
            <w:vAlign w:val="top"/>
            <w:shd w:fill="F3F4F6"/>
            <w:tcMar>
              <w:top w:w="70" w:type="dxa"/>
              <w:start w:w="90" w:type="dxa"/>
              <w:bottom w:w="70" w:type="dxa"/>
              <w:end w:w="90" w:type="dxa"/>
            </w:tcMar>
          </w:tcPr>
          <w:p>
            <w:r>
              <w:rPr>
                <w:rFonts w:ascii="Noto Sans" w:hAnsi="Noto Sans" w:eastAsia="Noto Sans"/>
                <w:sz w:val="17"/>
              </w:rPr>
              <w:t>502</w:t>
            </w:r>
          </w:p>
        </w:tc>
        <w:tc>
          <w:tcPr>
            <w:tcW w:type="dxa" w:w="8617"/>
            <w:vAlign w:val="top"/>
            <w:shd w:fill="F3F4F6"/>
            <w:tcMar>
              <w:top w:w="70" w:type="dxa"/>
              <w:start w:w="90" w:type="dxa"/>
              <w:bottom w:w="70" w:type="dxa"/>
              <w:end w:w="90" w:type="dxa"/>
            </w:tcMar>
          </w:tcPr>
          <w:p>
            <w:r>
              <w:rPr>
                <w:rFonts w:ascii="Noto Sans" w:hAnsi="Noto Sans" w:eastAsia="Noto Sans"/>
                <w:sz w:val="17"/>
              </w:rPr>
              <w:t>Sorgente esterna non raggiungibile</w:t>
            </w:r>
          </w:p>
        </w:tc>
      </w:tr>
      <w:tr>
        <w:trPr>
          <w:cantSplit/>
        </w:trPr>
        <w:tc>
          <w:tcPr>
            <w:tcW w:type="dxa" w:w="1701"/>
            <w:vAlign w:val="top"/>
            <w:tcMar>
              <w:top w:w="70" w:type="dxa"/>
              <w:start w:w="90" w:type="dxa"/>
              <w:bottom w:w="70" w:type="dxa"/>
              <w:end w:w="90" w:type="dxa"/>
            </w:tcMar>
          </w:tcPr>
          <w:p>
            <w:r>
              <w:rPr>
                <w:rFonts w:ascii="Noto Sans" w:hAnsi="Noto Sans" w:eastAsia="Noto Sans"/>
                <w:sz w:val="17"/>
              </w:rPr>
              <w:t>503</w:t>
            </w:r>
          </w:p>
        </w:tc>
        <w:tc>
          <w:tcPr>
            <w:tcW w:type="dxa" w:w="8617"/>
            <w:vAlign w:val="top"/>
            <w:tcMar>
              <w:top w:w="70" w:type="dxa"/>
              <w:start w:w="90" w:type="dxa"/>
              <w:bottom w:w="70" w:type="dxa"/>
              <w:end w:w="90" w:type="dxa"/>
            </w:tcMar>
          </w:tcPr>
          <w:p>
            <w:r>
              <w:rPr>
                <w:rFonts w:ascii="Noto Sans" w:hAnsi="Noto Sans" w:eastAsia="Noto Sans"/>
                <w:sz w:val="17"/>
              </w:rPr>
              <w:t>Backend OUF non disponibile</w:t>
            </w:r>
          </w:p>
        </w:tc>
      </w:tr>
      <w:tr>
        <w:trPr>
          <w:cantSplit/>
        </w:trPr>
        <w:tc>
          <w:tcPr>
            <w:tcW w:type="dxa" w:w="1701"/>
            <w:vAlign w:val="top"/>
            <w:shd w:fill="F3F4F6"/>
            <w:tcMar>
              <w:top w:w="70" w:type="dxa"/>
              <w:start w:w="90" w:type="dxa"/>
              <w:bottom w:w="70" w:type="dxa"/>
              <w:end w:w="90" w:type="dxa"/>
            </w:tcMar>
          </w:tcPr>
          <w:p>
            <w:r>
              <w:rPr>
                <w:rFonts w:ascii="Noto Sans" w:hAnsi="Noto Sans" w:eastAsia="Noto Sans"/>
                <w:sz w:val="17"/>
              </w:rPr>
              <w:t>504</w:t>
            </w:r>
          </w:p>
        </w:tc>
        <w:tc>
          <w:tcPr>
            <w:tcW w:type="dxa" w:w="8617"/>
            <w:vAlign w:val="top"/>
            <w:shd w:fill="F3F4F6"/>
            <w:tcMar>
              <w:top w:w="70" w:type="dxa"/>
              <w:start w:w="90" w:type="dxa"/>
              <w:bottom w:w="70" w:type="dxa"/>
              <w:end w:w="90" w:type="dxa"/>
            </w:tcMar>
          </w:tcPr>
          <w:p>
            <w:r>
              <w:rPr>
                <w:rFonts w:ascii="Noto Sans" w:hAnsi="Noto Sans" w:eastAsia="Noto Sans"/>
                <w:sz w:val="17"/>
              </w:rPr>
              <w:t>Timeout</w:t>
            </w:r>
          </w:p>
        </w:tc>
      </w:tr>
    </w:tbl>
    <w:p>
      <w:pPr>
        <w:spacing w:after="40"/>
      </w:pPr>
    </w:p>
    <w:p>
      <w:pPr>
        <w:pStyle w:val="Heading1"/>
        <w:keepNext/>
        <w:spacing w:before="160"/>
      </w:pPr>
      <w:r>
        <w:rPr>
          <w:rFonts w:ascii="Noto Sans" w:hAnsi="Noto Sans" w:eastAsia="Noto Sans"/>
        </w:rPr>
        <w:t>15. Semantica della risposta di ingestion</w:t>
      </w:r>
    </w:p>
    <w:p>
      <w:pPr>
        <w:pStyle w:val="BodyText"/>
        <w:widowControl/>
        <w:spacing w:after="80"/>
      </w:pPr>
      <w:r>
        <w:rPr>
          <w:rFonts w:ascii="Noto Sans" w:hAnsi="Noto Sans" w:eastAsia="Noto Sans"/>
        </w:rPr>
        <w:t>L’ingestion deve essere preferibilmente asincrona. Il Gateway certifica l’accettazione tecnica della richiesta, non il completamento della trasformazione, della validazione semantica, della riconciliazione o della persistenza.</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HTTP/1.1 202 Accepted</w:t>
              <w:br/>
              <w:br/>
              <w:t>{</w:t>
              <w:br/>
              <w:t xml:space="preserve">  "ingestionId": "ING-20260824-00123",</w:t>
              <w:br/>
              <w:t xml:space="preserve">  "messageId": "01JXYZ...",</w:t>
              <w:br/>
              <w:t xml:space="preserve">  "status": "ACCEPTED",</w:t>
              <w:br/>
              <w:t xml:space="preserve">  "statusUrl": "/api/v1/ingestion/jobs/ING-20260824-00123"</w:t>
              <w:br/>
              <w:t>}</w:t>
            </w:r>
          </w:p>
        </w:tc>
      </w:tr>
    </w:tbl>
    <w:p>
      <w:pPr>
        <w:spacing w:after="40"/>
      </w:pPr>
    </w:p>
    <w:p>
      <w:pPr>
        <w:pStyle w:val="Heading1"/>
        <w:keepNext/>
        <w:spacing w:before="160"/>
      </w:pPr>
      <w:r>
        <w:rPr>
          <w:rFonts w:ascii="Noto Sans" w:hAnsi="Noto Sans" w:eastAsia="Noto Sans"/>
        </w:rPr>
        <w:t>16. Osservabilità</w:t>
      </w:r>
    </w:p>
    <w:p>
      <w:pPr>
        <w:pStyle w:val="BodyText"/>
        <w:widowControl/>
        <w:spacing w:after="80"/>
      </w:pPr>
      <w:r>
        <w:rPr>
          <w:rFonts w:ascii="Noto Sans" w:hAnsi="Noto Sans" w:eastAsia="Noto Sans"/>
        </w:rPr>
        <w:t>Ogni richiesta deve generare dati tecnici sufficienti a ricostruire il percorso della chiamata senza registrare integralmente i payload applicativi nei log del Gateway.</w:t>
      </w:r>
    </w:p>
    <w:tbl>
      <w:tblPr>
        <w:tblStyle w:val="TableGrid"/>
        <w:tblW w:type="auto" w:w="0"/>
        <w:jc w:val="center"/>
        <w:tblLook w:firstColumn="1" w:firstRow="1" w:lastColumn="0" w:lastRow="0" w:noHBand="0" w:noVBand="1" w:val="04A0"/>
      </w:tblPr>
      <w:tblGrid>
        <w:gridCol w:w="4536"/>
        <w:gridCol w:w="4536"/>
      </w:tblGrid>
      <w:tr>
        <w:trPr>
          <w:tblHeader w:val="true"/>
          <w:cantSplit/>
        </w:trPr>
        <w:tc>
          <w:tcPr>
            <w:tcW w:type="dxa" w:w="3402"/>
            <w:vAlign w:val="top"/>
            <w:shd w:fill="0B4F6C"/>
            <w:tcMar>
              <w:top w:w="70" w:type="dxa"/>
              <w:start w:w="90" w:type="dxa"/>
              <w:bottom w:w="70" w:type="dxa"/>
              <w:end w:w="90" w:type="dxa"/>
            </w:tcMar>
          </w:tcPr>
          <w:p>
            <w:r>
              <w:rPr>
                <w:rFonts w:ascii="Noto Sans" w:hAnsi="Noto Sans" w:eastAsia="Noto Sans"/>
                <w:sz w:val="17"/>
              </w:rPr>
              <w:t>Campo minimo</w:t>
            </w:r>
          </w:p>
        </w:tc>
        <w:tc>
          <w:tcPr>
            <w:tcW w:type="dxa" w:w="6917"/>
            <w:vAlign w:val="top"/>
            <w:shd w:fill="0B4F6C"/>
            <w:tcMar>
              <w:top w:w="70" w:type="dxa"/>
              <w:start w:w="90" w:type="dxa"/>
              <w:bottom w:w="70" w:type="dxa"/>
              <w:end w:w="90" w:type="dxa"/>
            </w:tcMar>
          </w:tcPr>
          <w:p>
            <w:r>
              <w:rPr>
                <w:rFonts w:ascii="Noto Sans" w:hAnsi="Noto Sans" w:eastAsia="Noto Sans"/>
                <w:sz w:val="17"/>
              </w:rPr>
              <w:t>Uso</w:t>
            </w:r>
          </w:p>
        </w:tc>
      </w:tr>
      <w:tr>
        <w:trPr>
          <w:cantSplit/>
        </w:trPr>
        <w:tc>
          <w:tcPr>
            <w:tcW w:type="dxa" w:w="3402"/>
            <w:vAlign w:val="top"/>
            <w:tcMar>
              <w:top w:w="70" w:type="dxa"/>
              <w:start w:w="90" w:type="dxa"/>
              <w:bottom w:w="70" w:type="dxa"/>
              <w:end w:w="90" w:type="dxa"/>
            </w:tcMar>
          </w:tcPr>
          <w:p>
            <w:r>
              <w:rPr>
                <w:rFonts w:ascii="Noto Sans" w:hAnsi="Noto Sans" w:eastAsia="Noto Sans"/>
                <w:sz w:val="17"/>
              </w:rPr>
              <w:t>timestamp</w:t>
            </w:r>
          </w:p>
        </w:tc>
        <w:tc>
          <w:tcPr>
            <w:tcW w:type="dxa" w:w="6917"/>
            <w:vAlign w:val="top"/>
            <w:tcMar>
              <w:top w:w="70" w:type="dxa"/>
              <w:start w:w="90" w:type="dxa"/>
              <w:bottom w:w="70" w:type="dxa"/>
              <w:end w:w="90" w:type="dxa"/>
            </w:tcMar>
          </w:tcPr>
          <w:p>
            <w:r>
              <w:rPr>
                <w:rFonts w:ascii="Noto Sans" w:hAnsi="Noto Sans" w:eastAsia="Noto Sans"/>
                <w:sz w:val="17"/>
              </w:rPr>
              <w:t>Riferimento temporale</w:t>
            </w:r>
          </w:p>
        </w:tc>
      </w:tr>
      <w:tr>
        <w:trPr>
          <w:cantSplit/>
        </w:trPr>
        <w:tc>
          <w:tcPr>
            <w:tcW w:type="dxa" w:w="3402"/>
            <w:vAlign w:val="top"/>
            <w:shd w:fill="F3F4F6"/>
            <w:tcMar>
              <w:top w:w="70" w:type="dxa"/>
              <w:start w:w="90" w:type="dxa"/>
              <w:bottom w:w="70" w:type="dxa"/>
              <w:end w:w="90" w:type="dxa"/>
            </w:tcMar>
          </w:tcPr>
          <w:p>
            <w:r>
              <w:rPr>
                <w:rFonts w:ascii="Noto Sans" w:hAnsi="Noto Sans" w:eastAsia="Noto Sans"/>
                <w:sz w:val="17"/>
              </w:rPr>
              <w:t>correlationId</w:t>
            </w:r>
          </w:p>
        </w:tc>
        <w:tc>
          <w:tcPr>
            <w:tcW w:type="dxa" w:w="6917"/>
            <w:vAlign w:val="top"/>
            <w:shd w:fill="F3F4F6"/>
            <w:tcMar>
              <w:top w:w="70" w:type="dxa"/>
              <w:start w:w="90" w:type="dxa"/>
              <w:bottom w:w="70" w:type="dxa"/>
              <w:end w:w="90" w:type="dxa"/>
            </w:tcMar>
          </w:tcPr>
          <w:p>
            <w:r>
              <w:rPr>
                <w:rFonts w:ascii="Noto Sans" w:hAnsi="Noto Sans" w:eastAsia="Noto Sans"/>
                <w:sz w:val="17"/>
              </w:rPr>
              <w:t>Correlazione end-to-end</w:t>
            </w:r>
          </w:p>
        </w:tc>
      </w:tr>
      <w:tr>
        <w:trPr>
          <w:cantSplit/>
        </w:trPr>
        <w:tc>
          <w:tcPr>
            <w:tcW w:type="dxa" w:w="3402"/>
            <w:vAlign w:val="top"/>
            <w:tcMar>
              <w:top w:w="70" w:type="dxa"/>
              <w:start w:w="90" w:type="dxa"/>
              <w:bottom w:w="70" w:type="dxa"/>
              <w:end w:w="90" w:type="dxa"/>
            </w:tcMar>
          </w:tcPr>
          <w:p>
            <w:r>
              <w:rPr>
                <w:rFonts w:ascii="Noto Sans" w:hAnsi="Noto Sans" w:eastAsia="Noto Sans"/>
                <w:sz w:val="17"/>
              </w:rPr>
              <w:t>requestId</w:t>
            </w:r>
          </w:p>
        </w:tc>
        <w:tc>
          <w:tcPr>
            <w:tcW w:type="dxa" w:w="6917"/>
            <w:vAlign w:val="top"/>
            <w:tcMar>
              <w:top w:w="70" w:type="dxa"/>
              <w:start w:w="90" w:type="dxa"/>
              <w:bottom w:w="70" w:type="dxa"/>
              <w:end w:w="90" w:type="dxa"/>
            </w:tcMar>
          </w:tcPr>
          <w:p>
            <w:r>
              <w:rPr>
                <w:rFonts w:ascii="Noto Sans" w:hAnsi="Noto Sans" w:eastAsia="Noto Sans"/>
                <w:sz w:val="17"/>
              </w:rPr>
              <w:t>Identificatore della singola richiesta</w:t>
            </w:r>
          </w:p>
        </w:tc>
      </w:tr>
      <w:tr>
        <w:trPr>
          <w:cantSplit/>
        </w:trPr>
        <w:tc>
          <w:tcPr>
            <w:tcW w:type="dxa" w:w="3402"/>
            <w:vAlign w:val="top"/>
            <w:shd w:fill="F3F4F6"/>
            <w:tcMar>
              <w:top w:w="70" w:type="dxa"/>
              <w:start w:w="90" w:type="dxa"/>
              <w:bottom w:w="70" w:type="dxa"/>
              <w:end w:w="90" w:type="dxa"/>
            </w:tcMar>
          </w:tcPr>
          <w:p>
            <w:r>
              <w:rPr>
                <w:rFonts w:ascii="Noto Sans" w:hAnsi="Noto Sans" w:eastAsia="Noto Sans"/>
                <w:sz w:val="17"/>
              </w:rPr>
              <w:t>source/client</w:t>
            </w:r>
          </w:p>
        </w:tc>
        <w:tc>
          <w:tcPr>
            <w:tcW w:type="dxa" w:w="6917"/>
            <w:vAlign w:val="top"/>
            <w:shd w:fill="F3F4F6"/>
            <w:tcMar>
              <w:top w:w="70" w:type="dxa"/>
              <w:start w:w="90" w:type="dxa"/>
              <w:bottom w:w="70" w:type="dxa"/>
              <w:end w:w="90" w:type="dxa"/>
            </w:tcMar>
          </w:tcPr>
          <w:p>
            <w:r>
              <w:rPr>
                <w:rFonts w:ascii="Noto Sans" w:hAnsi="Noto Sans" w:eastAsia="Noto Sans"/>
                <w:sz w:val="17"/>
              </w:rPr>
              <w:t>Chiamante tecnico</w:t>
            </w:r>
          </w:p>
        </w:tc>
      </w:tr>
      <w:tr>
        <w:trPr>
          <w:cantSplit/>
        </w:trPr>
        <w:tc>
          <w:tcPr>
            <w:tcW w:type="dxa" w:w="3402"/>
            <w:vAlign w:val="top"/>
            <w:tcMar>
              <w:top w:w="70" w:type="dxa"/>
              <w:start w:w="90" w:type="dxa"/>
              <w:bottom w:w="70" w:type="dxa"/>
              <w:end w:w="90" w:type="dxa"/>
            </w:tcMar>
          </w:tcPr>
          <w:p>
            <w:r>
              <w:rPr>
                <w:rFonts w:ascii="Noto Sans" w:hAnsi="Noto Sans" w:eastAsia="Noto Sans"/>
                <w:sz w:val="17"/>
              </w:rPr>
              <w:t>route/method</w:t>
            </w:r>
          </w:p>
        </w:tc>
        <w:tc>
          <w:tcPr>
            <w:tcW w:type="dxa" w:w="6917"/>
            <w:vAlign w:val="top"/>
            <w:tcMar>
              <w:top w:w="70" w:type="dxa"/>
              <w:start w:w="90" w:type="dxa"/>
              <w:bottom w:w="70" w:type="dxa"/>
              <w:end w:w="90" w:type="dxa"/>
            </w:tcMar>
          </w:tcPr>
          <w:p>
            <w:r>
              <w:rPr>
                <w:rFonts w:ascii="Noto Sans" w:hAnsi="Noto Sans" w:eastAsia="Noto Sans"/>
                <w:sz w:val="17"/>
              </w:rPr>
              <w:t>Operazione richiesta</w:t>
            </w:r>
          </w:p>
        </w:tc>
      </w:tr>
      <w:tr>
        <w:trPr>
          <w:cantSplit/>
        </w:trPr>
        <w:tc>
          <w:tcPr>
            <w:tcW w:type="dxa" w:w="3402"/>
            <w:vAlign w:val="top"/>
            <w:shd w:fill="F3F4F6"/>
            <w:tcMar>
              <w:top w:w="70" w:type="dxa"/>
              <w:start w:w="90" w:type="dxa"/>
              <w:bottom w:w="70" w:type="dxa"/>
              <w:end w:w="90" w:type="dxa"/>
            </w:tcMar>
          </w:tcPr>
          <w:p>
            <w:r>
              <w:rPr>
                <w:rFonts w:ascii="Noto Sans" w:hAnsi="Noto Sans" w:eastAsia="Noto Sans"/>
                <w:sz w:val="17"/>
              </w:rPr>
              <w:t>status</w:t>
            </w:r>
          </w:p>
        </w:tc>
        <w:tc>
          <w:tcPr>
            <w:tcW w:type="dxa" w:w="6917"/>
            <w:vAlign w:val="top"/>
            <w:shd w:fill="F3F4F6"/>
            <w:tcMar>
              <w:top w:w="70" w:type="dxa"/>
              <w:start w:w="90" w:type="dxa"/>
              <w:bottom w:w="70" w:type="dxa"/>
              <w:end w:w="90" w:type="dxa"/>
            </w:tcMar>
          </w:tcPr>
          <w:p>
            <w:r>
              <w:rPr>
                <w:rFonts w:ascii="Noto Sans" w:hAnsi="Noto Sans" w:eastAsia="Noto Sans"/>
                <w:sz w:val="17"/>
              </w:rPr>
              <w:t>Esito HTTP</w:t>
            </w:r>
          </w:p>
        </w:tc>
      </w:tr>
      <w:tr>
        <w:trPr>
          <w:cantSplit/>
        </w:trPr>
        <w:tc>
          <w:tcPr>
            <w:tcW w:type="dxa" w:w="3402"/>
            <w:vAlign w:val="top"/>
            <w:tcMar>
              <w:top w:w="70" w:type="dxa"/>
              <w:start w:w="90" w:type="dxa"/>
              <w:bottom w:w="70" w:type="dxa"/>
              <w:end w:w="90" w:type="dxa"/>
            </w:tcMar>
          </w:tcPr>
          <w:p>
            <w:r>
              <w:rPr>
                <w:rFonts w:ascii="Noto Sans" w:hAnsi="Noto Sans" w:eastAsia="Noto Sans"/>
                <w:sz w:val="17"/>
              </w:rPr>
              <w:t>latency</w:t>
            </w:r>
          </w:p>
        </w:tc>
        <w:tc>
          <w:tcPr>
            <w:tcW w:type="dxa" w:w="6917"/>
            <w:vAlign w:val="top"/>
            <w:tcMar>
              <w:top w:w="70" w:type="dxa"/>
              <w:start w:w="90" w:type="dxa"/>
              <w:bottom w:w="70" w:type="dxa"/>
              <w:end w:w="90" w:type="dxa"/>
            </w:tcMar>
          </w:tcPr>
          <w:p>
            <w:r>
              <w:rPr>
                <w:rFonts w:ascii="Noto Sans" w:hAnsi="Noto Sans" w:eastAsia="Noto Sans"/>
                <w:sz w:val="17"/>
              </w:rPr>
              <w:t>Prestazione</w:t>
            </w:r>
          </w:p>
        </w:tc>
      </w:tr>
      <w:tr>
        <w:trPr>
          <w:cantSplit/>
        </w:trPr>
        <w:tc>
          <w:tcPr>
            <w:tcW w:type="dxa" w:w="3402"/>
            <w:vAlign w:val="top"/>
            <w:shd w:fill="F3F4F6"/>
            <w:tcMar>
              <w:top w:w="70" w:type="dxa"/>
              <w:start w:w="90" w:type="dxa"/>
              <w:bottom w:w="70" w:type="dxa"/>
              <w:end w:w="90" w:type="dxa"/>
            </w:tcMar>
          </w:tcPr>
          <w:p>
            <w:r>
              <w:rPr>
                <w:rFonts w:ascii="Noto Sans" w:hAnsi="Noto Sans" w:eastAsia="Noto Sans"/>
                <w:sz w:val="17"/>
              </w:rPr>
              <w:t>request/response bytes</w:t>
            </w:r>
          </w:p>
        </w:tc>
        <w:tc>
          <w:tcPr>
            <w:tcW w:type="dxa" w:w="6917"/>
            <w:vAlign w:val="top"/>
            <w:shd w:fill="F3F4F6"/>
            <w:tcMar>
              <w:top w:w="70" w:type="dxa"/>
              <w:start w:w="90" w:type="dxa"/>
              <w:bottom w:w="70" w:type="dxa"/>
              <w:end w:w="90" w:type="dxa"/>
            </w:tcMar>
          </w:tcPr>
          <w:p>
            <w:r>
              <w:rPr>
                <w:rFonts w:ascii="Noto Sans" w:hAnsi="Noto Sans" w:eastAsia="Noto Sans"/>
                <w:sz w:val="17"/>
              </w:rPr>
              <w:t>Dimensionamento e anomalie</w:t>
            </w:r>
          </w:p>
        </w:tc>
      </w:tr>
      <w:tr>
        <w:trPr>
          <w:cantSplit/>
        </w:trPr>
        <w:tc>
          <w:tcPr>
            <w:tcW w:type="dxa" w:w="3402"/>
            <w:vAlign w:val="top"/>
            <w:tcMar>
              <w:top w:w="70" w:type="dxa"/>
              <w:start w:w="90" w:type="dxa"/>
              <w:bottom w:w="70" w:type="dxa"/>
              <w:end w:w="90" w:type="dxa"/>
            </w:tcMar>
          </w:tcPr>
          <w:p>
            <w:r>
              <w:rPr>
                <w:rFonts w:ascii="Noto Sans" w:hAnsi="Noto Sans" w:eastAsia="Noto Sans"/>
                <w:sz w:val="17"/>
              </w:rPr>
              <w:t>backend</w:t>
            </w:r>
          </w:p>
        </w:tc>
        <w:tc>
          <w:tcPr>
            <w:tcW w:type="dxa" w:w="6917"/>
            <w:vAlign w:val="top"/>
            <w:tcMar>
              <w:top w:w="70" w:type="dxa"/>
              <w:start w:w="90" w:type="dxa"/>
              <w:bottom w:w="70" w:type="dxa"/>
              <w:end w:w="90" w:type="dxa"/>
            </w:tcMar>
          </w:tcPr>
          <w:p>
            <w:r>
              <w:rPr>
                <w:rFonts w:ascii="Noto Sans" w:hAnsi="Noto Sans" w:eastAsia="Noto Sans"/>
                <w:sz w:val="17"/>
              </w:rPr>
              <w:t>Target interno/esterno instradato</w:t>
            </w:r>
          </w:p>
        </w:tc>
      </w:tr>
    </w:tbl>
    <w:p>
      <w:pPr>
        <w:spacing w:after="40"/>
      </w:pPr>
    </w:p>
    <w:p>
      <w:pPr>
        <w:pStyle w:val="Heading2"/>
        <w:keepNext/>
        <w:spacing w:before="160"/>
      </w:pPr>
      <w:r>
        <w:rPr>
          <w:rFonts w:ascii="Noto Sans" w:hAnsi="Noto Sans" w:eastAsia="Noto Sans"/>
        </w:rPr>
        <w:t>16.1 Metriche minime</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gateway_requests_total</w:t>
              <w:br/>
              <w:t>gateway_request_duration</w:t>
              <w:br/>
              <w:t>gateway_errors_total</w:t>
              <w:br/>
              <w:t>gateway_rate_limit_total</w:t>
              <w:br/>
              <w:t>gateway_backend_timeout_total</w:t>
              <w:br/>
              <w:t>ingestion_requests_total</w:t>
              <w:br/>
              <w:t>ingestion_bytes_total</w:t>
              <w:br/>
              <w:t>ogc_wfs_requests_total</w:t>
              <w:br/>
              <w:t>ogc_wms_requests_total</w:t>
            </w:r>
          </w:p>
        </w:tc>
      </w:tr>
    </w:tbl>
    <w:p>
      <w:pPr>
        <w:spacing w:after="40"/>
      </w:pPr>
    </w:p>
    <w:p>
      <w:pPr>
        <w:pStyle w:val="Heading1"/>
        <w:keepNext/>
        <w:spacing w:before="160"/>
      </w:pPr>
      <w:r>
        <w:rPr>
          <w:rFonts w:ascii="Noto Sans" w:hAnsi="Noto Sans" w:eastAsia="Noto Sans"/>
        </w:rPr>
        <w:t>17. Requisiti prestazionali iniziali</w:t>
      </w:r>
    </w:p>
    <w:tbl>
      <w:tblPr>
        <w:tblStyle w:val="TableGrid"/>
        <w:tblW w:type="auto" w:w="0"/>
        <w:jc w:val="center"/>
        <w:tblLook w:firstColumn="1" w:firstRow="1" w:lastColumn="0" w:lastRow="0" w:noHBand="0" w:noVBand="1" w:val="04A0"/>
      </w:tblPr>
      <w:tblGrid>
        <w:gridCol w:w="4536"/>
        <w:gridCol w:w="4536"/>
      </w:tblGrid>
      <w:tr>
        <w:trPr>
          <w:tblHeader w:val="true"/>
          <w:cantSplit/>
        </w:trPr>
        <w:tc>
          <w:tcPr>
            <w:tcW w:type="dxa" w:w="3969"/>
            <w:vAlign w:val="top"/>
            <w:shd w:fill="0B4F6C"/>
            <w:tcMar>
              <w:top w:w="70" w:type="dxa"/>
              <w:start w:w="90" w:type="dxa"/>
              <w:bottom w:w="70" w:type="dxa"/>
              <w:end w:w="90" w:type="dxa"/>
            </w:tcMar>
          </w:tcPr>
          <w:p>
            <w:r>
              <w:rPr>
                <w:rFonts w:ascii="Noto Sans" w:hAnsi="Noto Sans" w:eastAsia="Noto Sans"/>
                <w:sz w:val="17"/>
              </w:rPr>
              <w:t>Requisito</w:t>
            </w:r>
          </w:p>
        </w:tc>
        <w:tc>
          <w:tcPr>
            <w:tcW w:type="dxa" w:w="6350"/>
            <w:vAlign w:val="top"/>
            <w:shd w:fill="0B4F6C"/>
            <w:tcMar>
              <w:top w:w="70" w:type="dxa"/>
              <w:start w:w="90" w:type="dxa"/>
              <w:bottom w:w="70" w:type="dxa"/>
              <w:end w:w="90" w:type="dxa"/>
            </w:tcMar>
          </w:tcPr>
          <w:p>
            <w:r>
              <w:rPr>
                <w:rFonts w:ascii="Noto Sans" w:hAnsi="Noto Sans" w:eastAsia="Noto Sans"/>
                <w:sz w:val="17"/>
              </w:rPr>
              <w:t>Target iniziale / nota</w:t>
            </w:r>
          </w:p>
        </w:tc>
      </w:tr>
      <w:tr>
        <w:trPr>
          <w:cantSplit/>
        </w:trPr>
        <w:tc>
          <w:tcPr>
            <w:tcW w:type="dxa" w:w="3969"/>
            <w:vAlign w:val="top"/>
            <w:tcMar>
              <w:top w:w="70" w:type="dxa"/>
              <w:start w:w="90" w:type="dxa"/>
              <w:bottom w:w="70" w:type="dxa"/>
              <w:end w:w="90" w:type="dxa"/>
            </w:tcMar>
          </w:tcPr>
          <w:p>
            <w:r>
              <w:rPr>
                <w:rFonts w:ascii="Noto Sans" w:hAnsi="Noto Sans" w:eastAsia="Noto Sans"/>
                <w:sz w:val="17"/>
              </w:rPr>
              <w:t>Disponibilità Gateway</w:t>
            </w:r>
          </w:p>
        </w:tc>
        <w:tc>
          <w:tcPr>
            <w:tcW w:type="dxa" w:w="6350"/>
            <w:vAlign w:val="top"/>
            <w:tcMar>
              <w:top w:w="70" w:type="dxa"/>
              <w:start w:w="90" w:type="dxa"/>
              <w:bottom w:w="70" w:type="dxa"/>
              <w:end w:w="90" w:type="dxa"/>
            </w:tcMar>
          </w:tcPr>
          <w:p>
            <w:r>
              <w:rPr>
                <w:rFonts w:ascii="Noto Sans" w:hAnsi="Noto Sans" w:eastAsia="Noto Sans"/>
                <w:sz w:val="17"/>
              </w:rPr>
              <w:t>≥ 99,9%</w:t>
            </w:r>
          </w:p>
        </w:tc>
      </w:tr>
      <w:tr>
        <w:trPr>
          <w:cantSplit/>
        </w:trPr>
        <w:tc>
          <w:tcPr>
            <w:tcW w:type="dxa" w:w="3969"/>
            <w:vAlign w:val="top"/>
            <w:shd w:fill="F3F4F6"/>
            <w:tcMar>
              <w:top w:w="70" w:type="dxa"/>
              <w:start w:w="90" w:type="dxa"/>
              <w:bottom w:w="70" w:type="dxa"/>
              <w:end w:w="90" w:type="dxa"/>
            </w:tcMar>
          </w:tcPr>
          <w:p>
            <w:r>
              <w:rPr>
                <w:rFonts w:ascii="Noto Sans" w:hAnsi="Noto Sans" w:eastAsia="Noto Sans"/>
                <w:sz w:val="17"/>
              </w:rPr>
              <w:t>Overhead Gateway p95</w:t>
            </w:r>
          </w:p>
        </w:tc>
        <w:tc>
          <w:tcPr>
            <w:tcW w:type="dxa" w:w="6350"/>
            <w:vAlign w:val="top"/>
            <w:shd w:fill="F3F4F6"/>
            <w:tcMar>
              <w:top w:w="70" w:type="dxa"/>
              <w:start w:w="90" w:type="dxa"/>
              <w:bottom w:w="70" w:type="dxa"/>
              <w:end w:w="90" w:type="dxa"/>
            </w:tcMar>
          </w:tcPr>
          <w:p>
            <w:r>
              <w:rPr>
                <w:rFonts w:ascii="Noto Sans" w:hAnsi="Noto Sans" w:eastAsia="Noto Sans"/>
                <w:sz w:val="17"/>
              </w:rPr>
              <w:t>&lt; 100 ms, escluso backend</w:t>
            </w:r>
          </w:p>
        </w:tc>
      </w:tr>
      <w:tr>
        <w:trPr>
          <w:cantSplit/>
        </w:trPr>
        <w:tc>
          <w:tcPr>
            <w:tcW w:type="dxa" w:w="3969"/>
            <w:vAlign w:val="top"/>
            <w:tcMar>
              <w:top w:w="70" w:type="dxa"/>
              <w:start w:w="90" w:type="dxa"/>
              <w:bottom w:w="70" w:type="dxa"/>
              <w:end w:w="90" w:type="dxa"/>
            </w:tcMar>
          </w:tcPr>
          <w:p>
            <w:r>
              <w:rPr>
                <w:rFonts w:ascii="Noto Sans" w:hAnsi="Noto Sans" w:eastAsia="Noto Sans"/>
                <w:sz w:val="17"/>
              </w:rPr>
              <w:t>Timeout API sincrone</w:t>
            </w:r>
          </w:p>
        </w:tc>
        <w:tc>
          <w:tcPr>
            <w:tcW w:type="dxa" w:w="6350"/>
            <w:vAlign w:val="top"/>
            <w:tcMar>
              <w:top w:w="70" w:type="dxa"/>
              <w:start w:w="90" w:type="dxa"/>
              <w:bottom w:w="70" w:type="dxa"/>
              <w:end w:w="90" w:type="dxa"/>
            </w:tcMar>
          </w:tcPr>
          <w:p>
            <w:r>
              <w:rPr>
                <w:rFonts w:ascii="Noto Sans" w:hAnsi="Noto Sans" w:eastAsia="Noto Sans"/>
                <w:sz w:val="17"/>
              </w:rPr>
              <w:t>30 s</w:t>
            </w:r>
          </w:p>
        </w:tc>
      </w:tr>
      <w:tr>
        <w:trPr>
          <w:cantSplit/>
        </w:trPr>
        <w:tc>
          <w:tcPr>
            <w:tcW w:type="dxa" w:w="3969"/>
            <w:vAlign w:val="top"/>
            <w:shd w:fill="F3F4F6"/>
            <w:tcMar>
              <w:top w:w="70" w:type="dxa"/>
              <w:start w:w="90" w:type="dxa"/>
              <w:bottom w:w="70" w:type="dxa"/>
              <w:end w:w="90" w:type="dxa"/>
            </w:tcMar>
          </w:tcPr>
          <w:p>
            <w:r>
              <w:rPr>
                <w:rFonts w:ascii="Noto Sans" w:hAnsi="Noto Sans" w:eastAsia="Noto Sans"/>
                <w:sz w:val="17"/>
              </w:rPr>
              <w:t>Timeout WMS/WFS</w:t>
            </w:r>
          </w:p>
        </w:tc>
        <w:tc>
          <w:tcPr>
            <w:tcW w:type="dxa" w:w="6350"/>
            <w:vAlign w:val="top"/>
            <w:shd w:fill="F3F4F6"/>
            <w:tcMar>
              <w:top w:w="70" w:type="dxa"/>
              <w:start w:w="90" w:type="dxa"/>
              <w:bottom w:w="70" w:type="dxa"/>
              <w:end w:w="90" w:type="dxa"/>
            </w:tcMar>
          </w:tcPr>
          <w:p>
            <w:r>
              <w:rPr>
                <w:rFonts w:ascii="Noto Sans" w:hAnsi="Noto Sans" w:eastAsia="Noto Sans"/>
                <w:sz w:val="17"/>
              </w:rPr>
              <w:t>Configurabile per sorgente</w:t>
            </w:r>
          </w:p>
        </w:tc>
      </w:tr>
      <w:tr>
        <w:trPr>
          <w:cantSplit/>
        </w:trPr>
        <w:tc>
          <w:tcPr>
            <w:tcW w:type="dxa" w:w="3969"/>
            <w:vAlign w:val="top"/>
            <w:tcMar>
              <w:top w:w="70" w:type="dxa"/>
              <w:start w:w="90" w:type="dxa"/>
              <w:bottom w:w="70" w:type="dxa"/>
              <w:end w:w="90" w:type="dxa"/>
            </w:tcMar>
          </w:tcPr>
          <w:p>
            <w:r>
              <w:rPr>
                <w:rFonts w:ascii="Noto Sans" w:hAnsi="Noto Sans" w:eastAsia="Noto Sans"/>
                <w:sz w:val="17"/>
              </w:rPr>
              <w:t>Payload JSON sincrono</w:t>
            </w:r>
          </w:p>
        </w:tc>
        <w:tc>
          <w:tcPr>
            <w:tcW w:type="dxa" w:w="6350"/>
            <w:vAlign w:val="top"/>
            <w:tcMar>
              <w:top w:w="70" w:type="dxa"/>
              <w:start w:w="90" w:type="dxa"/>
              <w:bottom w:w="70" w:type="dxa"/>
              <w:end w:w="90" w:type="dxa"/>
            </w:tcMar>
          </w:tcPr>
          <w:p>
            <w:r>
              <w:rPr>
                <w:rFonts w:ascii="Noto Sans" w:hAnsi="Noto Sans" w:eastAsia="Noto Sans"/>
                <w:sz w:val="17"/>
              </w:rPr>
              <w:t>Raccomandato ≤ 10 MB</w:t>
            </w:r>
          </w:p>
        </w:tc>
      </w:tr>
      <w:tr>
        <w:trPr>
          <w:cantSplit/>
        </w:trPr>
        <w:tc>
          <w:tcPr>
            <w:tcW w:type="dxa" w:w="3969"/>
            <w:vAlign w:val="top"/>
            <w:shd w:fill="F3F4F6"/>
            <w:tcMar>
              <w:top w:w="70" w:type="dxa"/>
              <w:start w:w="90" w:type="dxa"/>
              <w:bottom w:w="70" w:type="dxa"/>
              <w:end w:w="90" w:type="dxa"/>
            </w:tcMar>
          </w:tcPr>
          <w:p>
            <w:r>
              <w:rPr>
                <w:rFonts w:ascii="Noto Sans" w:hAnsi="Noto Sans" w:eastAsia="Noto Sans"/>
                <w:sz w:val="17"/>
              </w:rPr>
              <w:t>Dataset superiori</w:t>
            </w:r>
          </w:p>
        </w:tc>
        <w:tc>
          <w:tcPr>
            <w:tcW w:type="dxa" w:w="6350"/>
            <w:vAlign w:val="top"/>
            <w:shd w:fill="F3F4F6"/>
            <w:tcMar>
              <w:top w:w="70" w:type="dxa"/>
              <w:start w:w="90" w:type="dxa"/>
              <w:bottom w:w="70" w:type="dxa"/>
              <w:end w:w="90" w:type="dxa"/>
            </w:tcMar>
          </w:tcPr>
          <w:p>
            <w:r>
              <w:rPr>
                <w:rFonts w:ascii="Noto Sans" w:hAnsi="Noto Sans" w:eastAsia="Noto Sans"/>
                <w:sz w:val="17"/>
              </w:rPr>
              <w:t>Bulk/file ingestion</w:t>
            </w:r>
          </w:p>
        </w:tc>
      </w:tr>
      <w:tr>
        <w:trPr>
          <w:cantSplit/>
        </w:trPr>
        <w:tc>
          <w:tcPr>
            <w:tcW w:type="dxa" w:w="3969"/>
            <w:vAlign w:val="top"/>
            <w:tcMar>
              <w:top w:w="70" w:type="dxa"/>
              <w:start w:w="90" w:type="dxa"/>
              <w:bottom w:w="70" w:type="dxa"/>
              <w:end w:w="90" w:type="dxa"/>
            </w:tcMar>
          </w:tcPr>
          <w:p>
            <w:r>
              <w:rPr>
                <w:rFonts w:ascii="Noto Sans" w:hAnsi="Noto Sans" w:eastAsia="Noto Sans"/>
                <w:sz w:val="17"/>
              </w:rPr>
              <w:t>Rate limit</w:t>
            </w:r>
          </w:p>
        </w:tc>
        <w:tc>
          <w:tcPr>
            <w:tcW w:type="dxa" w:w="6350"/>
            <w:vAlign w:val="top"/>
            <w:tcMar>
              <w:top w:w="70" w:type="dxa"/>
              <w:start w:w="90" w:type="dxa"/>
              <w:bottom w:w="70" w:type="dxa"/>
              <w:end w:w="90" w:type="dxa"/>
            </w:tcMar>
          </w:tcPr>
          <w:p>
            <w:r>
              <w:rPr>
                <w:rFonts w:ascii="Noto Sans" w:hAnsi="Noto Sans" w:eastAsia="Noto Sans"/>
                <w:sz w:val="17"/>
              </w:rPr>
              <w:t>Distinto per client e route</w:t>
            </w:r>
          </w:p>
        </w:tc>
      </w:tr>
    </w:tbl>
    <w:p>
      <w:pPr>
        <w:spacing w:after="40"/>
      </w:pPr>
    </w:p>
    <w:p>
      <w:pPr>
        <w:pStyle w:val="Heading1"/>
        <w:keepNext/>
        <w:spacing w:before="160"/>
      </w:pPr>
      <w:r>
        <w:rPr>
          <w:rFonts w:ascii="Noto Sans" w:hAnsi="Noto Sans" w:eastAsia="Noto Sans"/>
        </w:rPr>
        <w:t>18. Alta affidabilità e deployment</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Load Balancer</w:t>
              <w:br/>
              <w:t xml:space="preserve">     ↓</w:t>
              <w:br/>
              <w:t>Gateway instance A</w:t>
              <w:br/>
              <w:t>Gateway instance B</w:t>
              <w:br/>
              <w:t xml:space="preserve">     ↓</w:t>
              <w:br/>
              <w:t>Backend OUF</w:t>
            </w:r>
          </w:p>
        </w:tc>
      </w:tr>
    </w:tbl>
    <w:p>
      <w:pPr>
        <w:spacing w:after="40"/>
      </w:pPr>
    </w:p>
    <w:p>
      <w:pPr>
        <w:pStyle w:val="BodyText"/>
        <w:widowControl/>
        <w:spacing w:after="80"/>
      </w:pPr>
      <w:r>
        <w:rPr>
          <w:rFonts w:ascii="Noto Sans" w:hAnsi="Noto Sans" w:eastAsia="Noto Sans"/>
        </w:rPr>
        <w:t>Il Gateway non deve costituire un single point of failure. Le route e le policy devono essere versionate, replicabili e distribuite da pipeline; non devono dipendere da modifiche manuali non tracciate in produzione.</w:t>
      </w:r>
    </w:p>
    <w:p>
      <w:pPr>
        <w:pStyle w:val="Heading1"/>
        <w:keepNext/>
        <w:spacing w:before="160"/>
      </w:pPr>
      <w:r>
        <w:rPr>
          <w:rFonts w:ascii="Noto Sans" w:hAnsi="Noto Sans" w:eastAsia="Noto Sans"/>
        </w:rPr>
        <w:t>19. Configuration as Code e DevSecOps</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gateway/</w:t>
              <w:br/>
              <w:t xml:space="preserve">  routes/</w:t>
              <w:br/>
              <w:t xml:space="preserve">  policies/</w:t>
              <w:br/>
              <w:t xml:space="preserve">  clients/</w:t>
              <w:br/>
              <w:t xml:space="preserve">  schemas/</w:t>
              <w:br/>
              <w:t xml:space="preserve">  ogc/</w:t>
              <w:br/>
              <w:t xml:space="preserve">  environments/</w:t>
            </w:r>
          </w:p>
        </w:tc>
      </w:tr>
    </w:tbl>
    <w:p>
      <w:pPr>
        <w:spacing w:after="40"/>
      </w:pP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Git</w:t>
              <w:br/>
              <w:t xml:space="preserve"> → test</w:t>
              <w:br/>
              <w:t xml:space="preserve"> → validazione</w:t>
              <w:br/>
              <w:t xml:space="preserve"> → staging</w:t>
              <w:br/>
              <w:t xml:space="preserve"> → approvazione</w:t>
              <w:br/>
              <w:t xml:space="preserve"> → produzione</w:t>
            </w:r>
          </w:p>
        </w:tc>
      </w:tr>
    </w:tbl>
    <w:p>
      <w:pPr>
        <w:spacing w:after="40"/>
      </w:pPr>
    </w:p>
    <w:p>
      <w:pPr>
        <w:pStyle w:val="Heading1"/>
        <w:keepNext/>
        <w:spacing w:before="160"/>
      </w:pPr>
      <w:r>
        <w:rPr>
          <w:rFonts w:ascii="Noto Sans" w:hAnsi="Noto Sans" w:eastAsia="Noto Sans"/>
        </w:rPr>
        <w:t>20. Capability Model e predisposizione MCP</w:t>
      </w:r>
    </w:p>
    <w:p>
      <w:pPr>
        <w:pStyle w:val="BodyText"/>
        <w:widowControl/>
      </w:pPr>
      <w:r>
        <w:rPr>
          <w:rFonts w:ascii="Noto Sans" w:hAnsi="Noto Sans" w:eastAsia="Noto Sans"/>
        </w:rPr>
        <w:t>Il Gateway viene progettato fin dalla prima release come punto di enforcement di capability governate, non come semplice catalogo di endpoint. Ogni servizio consumer-facing deve essere associato a una capability registrata, stabile e versionata. La capability descrive cosa offre l’OUF; REST, OGC e, in futuro, MCP costituiscono binding tecnici della stessa capacità.</w:t>
      </w:r>
    </w:p>
    <w:p>
      <w:pPr>
        <w:pStyle w:val="Heading2"/>
        <w:keepNext/>
        <w:spacing w:before="160"/>
      </w:pPr>
      <w:r>
        <w:rPr>
          <w:rFonts w:ascii="Noto Sans" w:hAnsi="Noto Sans" w:eastAsia="Noto Sans"/>
        </w:rPr>
        <w:t>Principio vincolante</w:t>
      </w:r>
    </w:p>
    <w:p>
      <w:pPr>
        <w:pStyle w:val="BodyText"/>
        <w:widowControl/>
      </w:pPr>
      <w:r>
        <w:rPr>
          <w:rFonts w:ascii="Noto Sans" w:hAnsi="Noto Sans" w:eastAsia="Noto Sans"/>
        </w:rPr>
        <w:t>Il Gateway non pubblica endpoint isolati: ogni endpoint consumer-facing deve essere associato a una capability registrata e versionata. MCP potrà esporre come tool esclusivamente capability esplicitamente abilitate, senza introdurre accessi diretti a UDP, Data Lake o sistemi verticali.</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Capability</w:t>
              <w:br/>
              <w:t xml:space="preserve">   ↓</w:t>
              <w:br/>
              <w:t>Service / API Contract</w:t>
              <w:br/>
              <w:t xml:space="preserve">   ↓</w:t>
              <w:br/>
              <w:t>Gateway Route</w:t>
              <w:br/>
              <w:t xml:space="preserve">   ↓</w:t>
              <w:br/>
              <w:t>Backend implementation</w:t>
            </w:r>
          </w:p>
        </w:tc>
      </w:tr>
    </w:tbl>
    <w:p>
      <w:pPr>
        <w:pStyle w:val="Heading1"/>
        <w:keepNext/>
        <w:spacing w:before="160"/>
      </w:pPr>
      <w:r>
        <w:rPr>
          <w:rFonts w:ascii="Noto Sans" w:hAnsi="Noto Sans" w:eastAsia="Noto Sans"/>
        </w:rPr>
        <w:t>21. Capability Manifest standard</w:t>
      </w:r>
    </w:p>
    <w:p>
      <w:pPr>
        <w:pStyle w:val="BodyText"/>
        <w:widowControl/>
      </w:pPr>
      <w:r>
        <w:rPr>
          <w:rFonts w:ascii="Noto Sans" w:hAnsi="Noto Sans" w:eastAsia="Noto Sans"/>
        </w:rPr>
        <w:t>Ogni capability pubblicabile deve disporre di un manifest versionato, gestito come codice e collegato ai contratti OpenAPI/OGC. Il manifest è indipendente dal prodotto API Gateway e costituisce il riferimento per discovery, policy, binding e futura esposizione MCP.</w:t>
      </w:r>
    </w:p>
    <w:tbl>
      <w:tblPr>
        <w:tblStyle w:val="TableGrid"/>
        <w:tblW w:type="auto" w:w="0"/>
        <w:jc w:val="center"/>
        <w:tblLook w:firstColumn="1" w:firstRow="1" w:lastColumn="0" w:lastRow="0" w:noHBand="0" w:noVBand="1" w:val="04A0"/>
      </w:tblPr>
      <w:tblGrid>
        <w:gridCol w:w="3024"/>
        <w:gridCol w:w="3024"/>
        <w:gridCol w:w="3024"/>
      </w:tblGrid>
      <w:tr>
        <w:trPr>
          <w:tblHeader w:val="true"/>
          <w:cantSplit/>
        </w:trPr>
        <w:tc>
          <w:tcPr>
            <w:tcW w:type="dxa" w:w="3024"/>
            <w:shd w:fill="0B4F6C"/>
            <w:tcMar>
              <w:top w:w="70" w:type="dxa"/>
              <w:start w:w="90" w:type="dxa"/>
              <w:bottom w:w="70" w:type="dxa"/>
              <w:end w:w="90" w:type="dxa"/>
            </w:tcMar>
          </w:tcPr>
          <w:p>
            <w:r>
              <w:rPr>
                <w:rFonts w:ascii="Noto Sans" w:hAnsi="Noto Sans" w:eastAsia="Noto Sans"/>
                <w:sz w:val="17"/>
              </w:rPr>
              <w:t>Campo</w:t>
            </w:r>
          </w:p>
        </w:tc>
        <w:tc>
          <w:tcPr>
            <w:tcW w:type="dxa" w:w="3024"/>
            <w:shd w:fill="0B4F6C"/>
            <w:tcMar>
              <w:top w:w="70" w:type="dxa"/>
              <w:start w:w="90" w:type="dxa"/>
              <w:bottom w:w="70" w:type="dxa"/>
              <w:end w:w="90" w:type="dxa"/>
            </w:tcMar>
          </w:tcPr>
          <w:p>
            <w:r>
              <w:rPr>
                <w:rFonts w:ascii="Noto Sans" w:hAnsi="Noto Sans" w:eastAsia="Noto Sans"/>
                <w:sz w:val="17"/>
              </w:rPr>
              <w:t>Obbligo</w:t>
            </w:r>
          </w:p>
        </w:tc>
        <w:tc>
          <w:tcPr>
            <w:tcW w:type="dxa" w:w="3024"/>
            <w:shd w:fill="0B4F6C"/>
            <w:tcMar>
              <w:top w:w="70" w:type="dxa"/>
              <w:start w:w="90" w:type="dxa"/>
              <w:bottom w:w="70" w:type="dxa"/>
              <w:end w:w="90" w:type="dxa"/>
            </w:tcMar>
          </w:tcPr>
          <w:p>
            <w:r>
              <w:rPr>
                <w:rFonts w:ascii="Noto Sans" w:hAnsi="Noto Sans" w:eastAsia="Noto Sans"/>
                <w:sz w:val="17"/>
              </w:rPr>
              <w:t>Descrizione</w:t>
            </w:r>
          </w:p>
        </w:tc>
      </w:tr>
      <w:tr>
        <w:trPr>
          <w:cantSplit/>
        </w:trPr>
        <w:tc>
          <w:tcPr>
            <w:tcW w:type="dxa" w:w="3024"/>
            <w:tcMar>
              <w:top w:w="70" w:type="dxa"/>
              <w:start w:w="90" w:type="dxa"/>
              <w:bottom w:w="70" w:type="dxa"/>
              <w:end w:w="90" w:type="dxa"/>
            </w:tcMar>
          </w:tcPr>
          <w:p>
            <w:r>
              <w:rPr>
                <w:rFonts w:ascii="Noto Sans" w:hAnsi="Noto Sans" w:eastAsia="Noto Sans"/>
                <w:sz w:val="17"/>
              </w:rPr>
              <w:t>capabilityId</w:t>
            </w:r>
          </w:p>
        </w:tc>
        <w:tc>
          <w:tcPr>
            <w:tcW w:type="dxa" w:w="3024"/>
            <w:tcMar>
              <w:top w:w="70" w:type="dxa"/>
              <w:start w:w="90" w:type="dxa"/>
              <w:bottom w:w="70" w:type="dxa"/>
              <w:end w:w="90" w:type="dxa"/>
            </w:tcMar>
          </w:tcPr>
          <w:p>
            <w:r>
              <w:rPr>
                <w:rFonts w:ascii="Noto Sans" w:hAnsi="Noto Sans" w:eastAsia="Noto Sans"/>
                <w:sz w:val="17"/>
              </w:rPr>
              <w:t>Sì</w:t>
            </w:r>
          </w:p>
        </w:tc>
        <w:tc>
          <w:tcPr>
            <w:tcW w:type="dxa" w:w="3024"/>
            <w:tcMar>
              <w:top w:w="70" w:type="dxa"/>
              <w:start w:w="90" w:type="dxa"/>
              <w:bottom w:w="70" w:type="dxa"/>
              <w:end w:w="90" w:type="dxa"/>
            </w:tcMar>
          </w:tcPr>
          <w:p>
            <w:r>
              <w:rPr>
                <w:rFonts w:ascii="Noto Sans" w:hAnsi="Noto Sans" w:eastAsia="Noto Sans"/>
                <w:sz w:val="17"/>
              </w:rPr>
              <w:t>Identificatore stabile, es. urban.activities.search</w:t>
            </w:r>
          </w:p>
        </w:tc>
      </w:tr>
      <w:tr>
        <w:trPr>
          <w:cantSplit/>
        </w:trPr>
        <w:tc>
          <w:tcPr>
            <w:tcW w:type="dxa" w:w="3024"/>
            <w:shd w:fill="F3F4F6"/>
            <w:tcMar>
              <w:top w:w="70" w:type="dxa"/>
              <w:start w:w="90" w:type="dxa"/>
              <w:bottom w:w="70" w:type="dxa"/>
              <w:end w:w="90" w:type="dxa"/>
            </w:tcMar>
          </w:tcPr>
          <w:p>
            <w:r>
              <w:rPr>
                <w:rFonts w:ascii="Noto Sans" w:hAnsi="Noto Sans" w:eastAsia="Noto Sans"/>
                <w:sz w:val="17"/>
              </w:rPr>
              <w:t>version</w:t>
            </w:r>
          </w:p>
        </w:tc>
        <w:tc>
          <w:tcPr>
            <w:tcW w:type="dxa" w:w="3024"/>
            <w:shd w:fill="F3F4F6"/>
            <w:tcMar>
              <w:top w:w="70" w:type="dxa"/>
              <w:start w:w="90" w:type="dxa"/>
              <w:bottom w:w="70" w:type="dxa"/>
              <w:end w:w="90" w:type="dxa"/>
            </w:tcMar>
          </w:tcPr>
          <w:p>
            <w:r>
              <w:rPr>
                <w:rFonts w:ascii="Noto Sans" w:hAnsi="Noto Sans" w:eastAsia="Noto Sans"/>
                <w:sz w:val="17"/>
              </w:rPr>
              <w:t>Sì</w:t>
            </w:r>
          </w:p>
        </w:tc>
        <w:tc>
          <w:tcPr>
            <w:tcW w:type="dxa" w:w="3024"/>
            <w:shd w:fill="F3F4F6"/>
            <w:tcMar>
              <w:top w:w="70" w:type="dxa"/>
              <w:start w:w="90" w:type="dxa"/>
              <w:bottom w:w="70" w:type="dxa"/>
              <w:end w:w="90" w:type="dxa"/>
            </w:tcMar>
          </w:tcPr>
          <w:p>
            <w:r>
              <w:rPr>
                <w:rFonts w:ascii="Noto Sans" w:hAnsi="Noto Sans" w:eastAsia="Noto Sans"/>
                <w:sz w:val="17"/>
              </w:rPr>
              <w:t>Versione semantica della capability</w:t>
            </w:r>
          </w:p>
        </w:tc>
      </w:tr>
      <w:tr>
        <w:trPr>
          <w:cantSplit/>
        </w:trPr>
        <w:tc>
          <w:tcPr>
            <w:tcW w:type="dxa" w:w="3024"/>
            <w:tcMar>
              <w:top w:w="70" w:type="dxa"/>
              <w:start w:w="90" w:type="dxa"/>
              <w:bottom w:w="70" w:type="dxa"/>
              <w:end w:w="90" w:type="dxa"/>
            </w:tcMar>
          </w:tcPr>
          <w:p>
            <w:r>
              <w:rPr>
                <w:rFonts w:ascii="Noto Sans" w:hAnsi="Noto Sans" w:eastAsia="Noto Sans"/>
                <w:sz w:val="17"/>
              </w:rPr>
              <w:t>owner</w:t>
            </w:r>
          </w:p>
        </w:tc>
        <w:tc>
          <w:tcPr>
            <w:tcW w:type="dxa" w:w="3024"/>
            <w:tcMar>
              <w:top w:w="70" w:type="dxa"/>
              <w:start w:w="90" w:type="dxa"/>
              <w:bottom w:w="70" w:type="dxa"/>
              <w:end w:w="90" w:type="dxa"/>
            </w:tcMar>
          </w:tcPr>
          <w:p>
            <w:r>
              <w:rPr>
                <w:rFonts w:ascii="Noto Sans" w:hAnsi="Noto Sans" w:eastAsia="Noto Sans"/>
                <w:sz w:val="17"/>
              </w:rPr>
              <w:t>Sì</w:t>
            </w:r>
          </w:p>
        </w:tc>
        <w:tc>
          <w:tcPr>
            <w:tcW w:type="dxa" w:w="3024"/>
            <w:tcMar>
              <w:top w:w="70" w:type="dxa"/>
              <w:start w:w="90" w:type="dxa"/>
              <w:bottom w:w="70" w:type="dxa"/>
              <w:end w:w="90" w:type="dxa"/>
            </w:tcMar>
          </w:tcPr>
          <w:p>
            <w:r>
              <w:rPr>
                <w:rFonts w:ascii="Noto Sans" w:hAnsi="Noto Sans" w:eastAsia="Noto Sans"/>
                <w:sz w:val="17"/>
              </w:rPr>
              <w:t>Responsabile funzionale/tecnico</w:t>
            </w:r>
          </w:p>
        </w:tc>
      </w:tr>
      <w:tr>
        <w:trPr>
          <w:cantSplit/>
        </w:trPr>
        <w:tc>
          <w:tcPr>
            <w:tcW w:type="dxa" w:w="3024"/>
            <w:shd w:fill="F3F4F6"/>
            <w:tcMar>
              <w:top w:w="70" w:type="dxa"/>
              <w:start w:w="90" w:type="dxa"/>
              <w:bottom w:w="70" w:type="dxa"/>
              <w:end w:w="90" w:type="dxa"/>
            </w:tcMar>
          </w:tcPr>
          <w:p>
            <w:r>
              <w:rPr>
                <w:rFonts w:ascii="Noto Sans" w:hAnsi="Noto Sans" w:eastAsia="Noto Sans"/>
                <w:sz w:val="17"/>
              </w:rPr>
              <w:t>operationType</w:t>
            </w:r>
          </w:p>
        </w:tc>
        <w:tc>
          <w:tcPr>
            <w:tcW w:type="dxa" w:w="3024"/>
            <w:shd w:fill="F3F4F6"/>
            <w:tcMar>
              <w:top w:w="70" w:type="dxa"/>
              <w:start w:w="90" w:type="dxa"/>
              <w:bottom w:w="70" w:type="dxa"/>
              <w:end w:w="90" w:type="dxa"/>
            </w:tcMar>
          </w:tcPr>
          <w:p>
            <w:r>
              <w:rPr>
                <w:rFonts w:ascii="Noto Sans" w:hAnsi="Noto Sans" w:eastAsia="Noto Sans"/>
                <w:sz w:val="17"/>
              </w:rPr>
              <w:t>Sì</w:t>
            </w:r>
          </w:p>
        </w:tc>
        <w:tc>
          <w:tcPr>
            <w:tcW w:type="dxa" w:w="3024"/>
            <w:shd w:fill="F3F4F6"/>
            <w:tcMar>
              <w:top w:w="70" w:type="dxa"/>
              <w:start w:w="90" w:type="dxa"/>
              <w:bottom w:w="70" w:type="dxa"/>
              <w:end w:w="90" w:type="dxa"/>
            </w:tcMar>
          </w:tcPr>
          <w:p>
            <w:r>
              <w:rPr>
                <w:rFonts w:ascii="Noto Sans" w:hAnsi="Noto Sans" w:eastAsia="Noto Sans"/>
                <w:sz w:val="17"/>
              </w:rPr>
              <w:t>read, compute, propose, command</w:t>
            </w:r>
          </w:p>
        </w:tc>
      </w:tr>
      <w:tr>
        <w:trPr>
          <w:cantSplit/>
        </w:trPr>
        <w:tc>
          <w:tcPr>
            <w:tcW w:type="dxa" w:w="3024"/>
            <w:tcMar>
              <w:top w:w="70" w:type="dxa"/>
              <w:start w:w="90" w:type="dxa"/>
              <w:bottom w:w="70" w:type="dxa"/>
              <w:end w:w="90" w:type="dxa"/>
            </w:tcMar>
          </w:tcPr>
          <w:p>
            <w:r>
              <w:rPr>
                <w:rFonts w:ascii="Noto Sans" w:hAnsi="Noto Sans" w:eastAsia="Noto Sans"/>
                <w:sz w:val="17"/>
              </w:rPr>
              <w:t>riskLevel</w:t>
            </w:r>
          </w:p>
        </w:tc>
        <w:tc>
          <w:tcPr>
            <w:tcW w:type="dxa" w:w="3024"/>
            <w:tcMar>
              <w:top w:w="70" w:type="dxa"/>
              <w:start w:w="90" w:type="dxa"/>
              <w:bottom w:w="70" w:type="dxa"/>
              <w:end w:w="90" w:type="dxa"/>
            </w:tcMar>
          </w:tcPr>
          <w:p>
            <w:r>
              <w:rPr>
                <w:rFonts w:ascii="Noto Sans" w:hAnsi="Noto Sans" w:eastAsia="Noto Sans"/>
                <w:sz w:val="17"/>
              </w:rPr>
              <w:t>Sì</w:t>
            </w:r>
          </w:p>
        </w:tc>
        <w:tc>
          <w:tcPr>
            <w:tcW w:type="dxa" w:w="3024"/>
            <w:tcMar>
              <w:top w:w="70" w:type="dxa"/>
              <w:start w:w="90" w:type="dxa"/>
              <w:bottom w:w="70" w:type="dxa"/>
              <w:end w:w="90" w:type="dxa"/>
            </w:tcMar>
          </w:tcPr>
          <w:p>
            <w:r>
              <w:rPr>
                <w:rFonts w:ascii="Noto Sans" w:hAnsi="Noto Sans" w:eastAsia="Noto Sans"/>
                <w:sz w:val="17"/>
              </w:rPr>
              <w:t>low, medium, high</w:t>
            </w:r>
          </w:p>
        </w:tc>
      </w:tr>
      <w:tr>
        <w:trPr>
          <w:cantSplit/>
        </w:trPr>
        <w:tc>
          <w:tcPr>
            <w:tcW w:type="dxa" w:w="3024"/>
            <w:shd w:fill="F3F4F6"/>
            <w:tcMar>
              <w:top w:w="70" w:type="dxa"/>
              <w:start w:w="90" w:type="dxa"/>
              <w:bottom w:w="70" w:type="dxa"/>
              <w:end w:w="90" w:type="dxa"/>
            </w:tcMar>
          </w:tcPr>
          <w:p>
            <w:r>
              <w:rPr>
                <w:rFonts w:ascii="Noto Sans" w:hAnsi="Noto Sans" w:eastAsia="Noto Sans"/>
                <w:sz w:val="17"/>
              </w:rPr>
              <w:t>input/output</w:t>
            </w:r>
          </w:p>
        </w:tc>
        <w:tc>
          <w:tcPr>
            <w:tcW w:type="dxa" w:w="3024"/>
            <w:shd w:fill="F3F4F6"/>
            <w:tcMar>
              <w:top w:w="70" w:type="dxa"/>
              <w:start w:w="90" w:type="dxa"/>
              <w:bottom w:w="70" w:type="dxa"/>
              <w:end w:w="90" w:type="dxa"/>
            </w:tcMar>
          </w:tcPr>
          <w:p>
            <w:r>
              <w:rPr>
                <w:rFonts w:ascii="Noto Sans" w:hAnsi="Noto Sans" w:eastAsia="Noto Sans"/>
                <w:sz w:val="17"/>
              </w:rPr>
              <w:t>Sì</w:t>
            </w:r>
          </w:p>
        </w:tc>
        <w:tc>
          <w:tcPr>
            <w:tcW w:type="dxa" w:w="3024"/>
            <w:shd w:fill="F3F4F6"/>
            <w:tcMar>
              <w:top w:w="70" w:type="dxa"/>
              <w:start w:w="90" w:type="dxa"/>
              <w:bottom w:w="70" w:type="dxa"/>
              <w:end w:w="90" w:type="dxa"/>
            </w:tcMar>
          </w:tcPr>
          <w:p>
            <w:r>
              <w:rPr>
                <w:rFonts w:ascii="Noto Sans" w:hAnsi="Noto Sans" w:eastAsia="Noto Sans"/>
                <w:sz w:val="17"/>
              </w:rPr>
              <w:t>Schema e contratto dei dati</w:t>
            </w:r>
          </w:p>
        </w:tc>
      </w:tr>
      <w:tr>
        <w:trPr>
          <w:cantSplit/>
        </w:trPr>
        <w:tc>
          <w:tcPr>
            <w:tcW w:type="dxa" w:w="3024"/>
            <w:tcMar>
              <w:top w:w="70" w:type="dxa"/>
              <w:start w:w="90" w:type="dxa"/>
              <w:bottom w:w="70" w:type="dxa"/>
              <w:end w:w="90" w:type="dxa"/>
            </w:tcMar>
          </w:tcPr>
          <w:p>
            <w:r>
              <w:rPr>
                <w:rFonts w:ascii="Noto Sans" w:hAnsi="Noto Sans" w:eastAsia="Noto Sans"/>
                <w:sz w:val="17"/>
              </w:rPr>
              <w:t>authorization</w:t>
            </w:r>
          </w:p>
        </w:tc>
        <w:tc>
          <w:tcPr>
            <w:tcW w:type="dxa" w:w="3024"/>
            <w:tcMar>
              <w:top w:w="70" w:type="dxa"/>
              <w:start w:w="90" w:type="dxa"/>
              <w:bottom w:w="70" w:type="dxa"/>
              <w:end w:w="90" w:type="dxa"/>
            </w:tcMar>
          </w:tcPr>
          <w:p>
            <w:r>
              <w:rPr>
                <w:rFonts w:ascii="Noto Sans" w:hAnsi="Noto Sans" w:eastAsia="Noto Sans"/>
                <w:sz w:val="17"/>
              </w:rPr>
              <w:t>Sì</w:t>
            </w:r>
          </w:p>
        </w:tc>
        <w:tc>
          <w:tcPr>
            <w:tcW w:type="dxa" w:w="3024"/>
            <w:tcMar>
              <w:top w:w="70" w:type="dxa"/>
              <w:start w:w="90" w:type="dxa"/>
              <w:bottom w:w="70" w:type="dxa"/>
              <w:end w:w="90" w:type="dxa"/>
            </w:tcMar>
          </w:tcPr>
          <w:p>
            <w:r>
              <w:rPr>
                <w:rFonts w:ascii="Noto Sans" w:hAnsi="Noto Sans" w:eastAsia="Noto Sans"/>
                <w:sz w:val="17"/>
              </w:rPr>
              <w:t>Scope e policy applicabili</w:t>
            </w:r>
          </w:p>
        </w:tc>
      </w:tr>
      <w:tr>
        <w:trPr>
          <w:cantSplit/>
        </w:trPr>
        <w:tc>
          <w:tcPr>
            <w:tcW w:type="dxa" w:w="3024"/>
            <w:shd w:fill="F3F4F6"/>
            <w:tcMar>
              <w:top w:w="70" w:type="dxa"/>
              <w:start w:w="90" w:type="dxa"/>
              <w:bottom w:w="70" w:type="dxa"/>
              <w:end w:w="90" w:type="dxa"/>
            </w:tcMar>
          </w:tcPr>
          <w:p>
            <w:r>
              <w:rPr>
                <w:rFonts w:ascii="Noto Sans" w:hAnsi="Noto Sans" w:eastAsia="Noto Sans"/>
                <w:sz w:val="17"/>
              </w:rPr>
              <w:t>bindings</w:t>
            </w:r>
          </w:p>
        </w:tc>
        <w:tc>
          <w:tcPr>
            <w:tcW w:type="dxa" w:w="3024"/>
            <w:shd w:fill="F3F4F6"/>
            <w:tcMar>
              <w:top w:w="70" w:type="dxa"/>
              <w:start w:w="90" w:type="dxa"/>
              <w:bottom w:w="70" w:type="dxa"/>
              <w:end w:w="90" w:type="dxa"/>
            </w:tcMar>
          </w:tcPr>
          <w:p>
            <w:r>
              <w:rPr>
                <w:rFonts w:ascii="Noto Sans" w:hAnsi="Noto Sans" w:eastAsia="Noto Sans"/>
                <w:sz w:val="17"/>
              </w:rPr>
              <w:t>Sì</w:t>
            </w:r>
          </w:p>
        </w:tc>
        <w:tc>
          <w:tcPr>
            <w:tcW w:type="dxa" w:w="3024"/>
            <w:shd w:fill="F3F4F6"/>
            <w:tcMar>
              <w:top w:w="70" w:type="dxa"/>
              <w:start w:w="90" w:type="dxa"/>
              <w:bottom w:w="70" w:type="dxa"/>
              <w:end w:w="90" w:type="dxa"/>
            </w:tcMar>
          </w:tcPr>
          <w:p>
            <w:r>
              <w:rPr>
                <w:rFonts w:ascii="Noto Sans" w:hAnsi="Noto Sans" w:eastAsia="Noto Sans"/>
                <w:sz w:val="17"/>
              </w:rPr>
              <w:t>REST, OGC, eventuale MCP</w:t>
            </w:r>
          </w:p>
        </w:tc>
      </w:tr>
      <w:tr>
        <w:trPr>
          <w:cantSplit/>
        </w:trPr>
        <w:tc>
          <w:tcPr>
            <w:tcW w:type="dxa" w:w="3024"/>
            <w:tcMar>
              <w:top w:w="70" w:type="dxa"/>
              <w:start w:w="90" w:type="dxa"/>
              <w:bottom w:w="70" w:type="dxa"/>
              <w:end w:w="90" w:type="dxa"/>
            </w:tcMar>
          </w:tcPr>
          <w:p>
            <w:r>
              <w:rPr>
                <w:rFonts w:ascii="Noto Sans" w:hAnsi="Noto Sans" w:eastAsia="Noto Sans"/>
                <w:sz w:val="17"/>
              </w:rPr>
              <w:t>mcp.toolEligible</w:t>
            </w:r>
          </w:p>
        </w:tc>
        <w:tc>
          <w:tcPr>
            <w:tcW w:type="dxa" w:w="3024"/>
            <w:tcMar>
              <w:top w:w="70" w:type="dxa"/>
              <w:start w:w="90" w:type="dxa"/>
              <w:bottom w:w="70" w:type="dxa"/>
              <w:end w:w="90" w:type="dxa"/>
            </w:tcMar>
          </w:tcPr>
          <w:p>
            <w:r>
              <w:rPr>
                <w:rFonts w:ascii="Noto Sans" w:hAnsi="Noto Sans" w:eastAsia="Noto Sans"/>
                <w:sz w:val="17"/>
              </w:rPr>
              <w:t>Sì</w:t>
            </w:r>
          </w:p>
        </w:tc>
        <w:tc>
          <w:tcPr>
            <w:tcW w:type="dxa" w:w="3024"/>
            <w:tcMar>
              <w:top w:w="70" w:type="dxa"/>
              <w:start w:w="90" w:type="dxa"/>
              <w:bottom w:w="70" w:type="dxa"/>
              <w:end w:w="90" w:type="dxa"/>
            </w:tcMar>
          </w:tcPr>
          <w:p>
            <w:r>
              <w:rPr>
                <w:rFonts w:ascii="Noto Sans" w:hAnsi="Noto Sans" w:eastAsia="Noto Sans"/>
                <w:sz w:val="17"/>
              </w:rPr>
              <w:t>true/false; default false</w:t>
            </w:r>
          </w:p>
        </w:tc>
      </w:tr>
    </w:tbl>
    <w:p>
      <w:pPr>
        <w:pStyle w:val="Heading2"/>
        <w:keepNext/>
        <w:spacing w:before="160"/>
      </w:pPr>
      <w:r>
        <w:rPr>
          <w:rFonts w:ascii="Noto Sans" w:hAnsi="Noto Sans" w:eastAsia="Noto Sans"/>
        </w:rPr>
        <w:t>21.1 Esempio di capability dati</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capabilityId: urban.activities.search</w:t>
              <w:br/>
              <w:t>version: 1.0.0</w:t>
              <w:br/>
              <w:t>title: Ricerca attività economiche</w:t>
              <w:br/>
              <w:t>owner: OUF Data Services</w:t>
              <w:br/>
              <w:t>operationType: read</w:t>
              <w:br/>
              <w:t>riskLevel: low</w:t>
              <w:br/>
              <w:br/>
              <w:t>semantics:</w:t>
              <w:br/>
              <w:t xml:space="preserve">  model: UrbanEconomicActivity</w:t>
              <w:br/>
              <w:t xml:space="preserve">  profile: urban-economic-activity-v1</w:t>
              <w:br/>
              <w:br/>
              <w:t>bindings:</w:t>
              <w:br/>
              <w:t xml:space="preserve">  rest:</w:t>
              <w:br/>
              <w:t xml:space="preserve">    method: GET</w:t>
              <w:br/>
              <w:t xml:space="preserve">    path: /api/v1/data/activities</w:t>
              <w:br/>
              <w:t xml:space="preserve">  ogc:</w:t>
              <w:br/>
              <w:t xml:space="preserve">    collection: economic-activities</w:t>
              <w:br/>
              <w:t xml:space="preserve">  mcp:</w:t>
              <w:br/>
              <w:t xml:space="preserve">    toolEligible: true</w:t>
              <w:br/>
              <w:t xml:space="preserve">    toolName: search_urban_activities</w:t>
              <w:br/>
              <w:br/>
              <w:t>authorization:</w:t>
              <w:br/>
              <w:t xml:space="preserve">  scope: ouf.read.activities</w:t>
              <w:br/>
              <w:br/>
              <w:t>dataClassification:</w:t>
              <w:br/>
              <w:t xml:space="preserve">  currentProfile: [OPEN, ANONYMOUS]</w:t>
            </w:r>
          </w:p>
        </w:tc>
      </w:tr>
    </w:tbl>
    <w:p>
      <w:pPr>
        <w:pStyle w:val="Heading1"/>
        <w:keepNext/>
        <w:spacing w:before="160"/>
      </w:pPr>
      <w:r>
        <w:rPr>
          <w:rFonts w:ascii="Noto Sans" w:hAnsi="Noto Sans" w:eastAsia="Noto Sans"/>
        </w:rPr>
        <w:t>22. Binding Capability → REST / OGC / MCP</w:t>
      </w:r>
    </w:p>
    <w:p>
      <w:pPr>
        <w:pStyle w:val="BodyText"/>
        <w:widowControl/>
      </w:pPr>
      <w:r>
        <w:rPr>
          <w:rFonts w:ascii="Noto Sans" w:hAnsi="Noto Sans" w:eastAsia="Noto Sans"/>
        </w:rPr>
        <w:t>Una capability può avere uno o più binding tecnici senza duplicare la logica applicativa. L’implementazione backend resta unica o coerentemente federata; cambiano il protocollo di esposizione e il profilo del consumer.</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cantSplit/>
        </w:trPr>
        <w:tc>
          <w:tcPr>
            <w:tcW w:type="dxa" w:w="2268"/>
            <w:shd w:fill="0B4F6C"/>
            <w:tcMar>
              <w:top w:w="70" w:type="dxa"/>
              <w:start w:w="90" w:type="dxa"/>
              <w:bottom w:w="70" w:type="dxa"/>
              <w:end w:w="90" w:type="dxa"/>
            </w:tcMar>
          </w:tcPr>
          <w:p>
            <w:r>
              <w:rPr>
                <w:rFonts w:ascii="Noto Sans" w:hAnsi="Noto Sans" w:eastAsia="Noto Sans"/>
                <w:sz w:val="17"/>
              </w:rPr>
              <w:t>Binding</w:t>
            </w:r>
          </w:p>
        </w:tc>
        <w:tc>
          <w:tcPr>
            <w:tcW w:type="dxa" w:w="2268"/>
            <w:shd w:fill="0B4F6C"/>
            <w:tcMar>
              <w:top w:w="70" w:type="dxa"/>
              <w:start w:w="90" w:type="dxa"/>
              <w:bottom w:w="70" w:type="dxa"/>
              <w:end w:w="90" w:type="dxa"/>
            </w:tcMar>
          </w:tcPr>
          <w:p>
            <w:r>
              <w:rPr>
                <w:rFonts w:ascii="Noto Sans" w:hAnsi="Noto Sans" w:eastAsia="Noto Sans"/>
                <w:sz w:val="17"/>
              </w:rPr>
              <w:t>Consumer tipico</w:t>
            </w:r>
          </w:p>
        </w:tc>
        <w:tc>
          <w:tcPr>
            <w:tcW w:type="dxa" w:w="2268"/>
            <w:shd w:fill="0B4F6C"/>
            <w:tcMar>
              <w:top w:w="70" w:type="dxa"/>
              <w:start w:w="90" w:type="dxa"/>
              <w:bottom w:w="70" w:type="dxa"/>
              <w:end w:w="90" w:type="dxa"/>
            </w:tcMar>
          </w:tcPr>
          <w:p>
            <w:r>
              <w:rPr>
                <w:rFonts w:ascii="Noto Sans" w:hAnsi="Noto Sans" w:eastAsia="Noto Sans"/>
                <w:sz w:val="17"/>
              </w:rPr>
              <w:t>Esempio</w:t>
            </w:r>
          </w:p>
        </w:tc>
        <w:tc>
          <w:tcPr>
            <w:tcW w:type="dxa" w:w="2268"/>
            <w:shd w:fill="0B4F6C"/>
            <w:tcMar>
              <w:top w:w="70" w:type="dxa"/>
              <w:start w:w="90" w:type="dxa"/>
              <w:bottom w:w="70" w:type="dxa"/>
              <w:end w:w="90" w:type="dxa"/>
            </w:tcMar>
          </w:tcPr>
          <w:p>
            <w:r>
              <w:rPr>
                <w:rFonts w:ascii="Noto Sans" w:hAnsi="Noto Sans" w:eastAsia="Noto Sans"/>
                <w:sz w:val="17"/>
              </w:rPr>
              <w:t>Regola</w:t>
            </w:r>
          </w:p>
        </w:tc>
      </w:tr>
      <w:tr>
        <w:trPr>
          <w:cantSplit/>
        </w:trPr>
        <w:tc>
          <w:tcPr>
            <w:tcW w:type="dxa" w:w="2268"/>
            <w:tcMar>
              <w:top w:w="70" w:type="dxa"/>
              <w:start w:w="90" w:type="dxa"/>
              <w:bottom w:w="70" w:type="dxa"/>
              <w:end w:w="90" w:type="dxa"/>
            </w:tcMar>
          </w:tcPr>
          <w:p>
            <w:r>
              <w:rPr>
                <w:rFonts w:ascii="Noto Sans" w:hAnsi="Noto Sans" w:eastAsia="Noto Sans"/>
                <w:sz w:val="17"/>
              </w:rPr>
              <w:t>REST/OpenAPI</w:t>
            </w:r>
          </w:p>
        </w:tc>
        <w:tc>
          <w:tcPr>
            <w:tcW w:type="dxa" w:w="2268"/>
            <w:tcMar>
              <w:top w:w="70" w:type="dxa"/>
              <w:start w:w="90" w:type="dxa"/>
              <w:bottom w:w="70" w:type="dxa"/>
              <w:end w:w="90" w:type="dxa"/>
            </w:tcMar>
          </w:tcPr>
          <w:p>
            <w:r>
              <w:rPr>
                <w:rFonts w:ascii="Noto Sans" w:hAnsi="Noto Sans" w:eastAsia="Noto Sans"/>
                <w:sz w:val="17"/>
              </w:rPr>
              <w:t>Frontend, integrazioni</w:t>
            </w:r>
          </w:p>
        </w:tc>
        <w:tc>
          <w:tcPr>
            <w:tcW w:type="dxa" w:w="2268"/>
            <w:tcMar>
              <w:top w:w="70" w:type="dxa"/>
              <w:start w:w="90" w:type="dxa"/>
              <w:bottom w:w="70" w:type="dxa"/>
              <w:end w:w="90" w:type="dxa"/>
            </w:tcMar>
          </w:tcPr>
          <w:p>
            <w:r>
              <w:rPr>
                <w:rFonts w:ascii="Noto Sans" w:hAnsi="Noto Sans" w:eastAsia="Noto Sans"/>
                <w:sz w:val="17"/>
              </w:rPr>
              <w:t>GET /api/v1/data/activities</w:t>
            </w:r>
          </w:p>
        </w:tc>
        <w:tc>
          <w:tcPr>
            <w:tcW w:type="dxa" w:w="2268"/>
            <w:tcMar>
              <w:top w:w="70" w:type="dxa"/>
              <w:start w:w="90" w:type="dxa"/>
              <w:bottom w:w="70" w:type="dxa"/>
              <w:end w:w="90" w:type="dxa"/>
            </w:tcMar>
          </w:tcPr>
          <w:p>
            <w:r>
              <w:rPr>
                <w:rFonts w:ascii="Noto Sans" w:hAnsi="Noto Sans" w:eastAsia="Noto Sans"/>
                <w:sz w:val="17"/>
              </w:rPr>
              <w:t>Passa sempre dal Gateway</w:t>
            </w:r>
          </w:p>
        </w:tc>
      </w:tr>
      <w:tr>
        <w:trPr>
          <w:cantSplit/>
        </w:trPr>
        <w:tc>
          <w:tcPr>
            <w:tcW w:type="dxa" w:w="2268"/>
            <w:shd w:fill="F3F4F6"/>
            <w:tcMar>
              <w:top w:w="70" w:type="dxa"/>
              <w:start w:w="90" w:type="dxa"/>
              <w:bottom w:w="70" w:type="dxa"/>
              <w:end w:w="90" w:type="dxa"/>
            </w:tcMar>
          </w:tcPr>
          <w:p>
            <w:r>
              <w:rPr>
                <w:rFonts w:ascii="Noto Sans" w:hAnsi="Noto Sans" w:eastAsia="Noto Sans"/>
                <w:sz w:val="17"/>
              </w:rPr>
              <w:t>OGC API / WFS</w:t>
            </w:r>
          </w:p>
        </w:tc>
        <w:tc>
          <w:tcPr>
            <w:tcW w:type="dxa" w:w="2268"/>
            <w:shd w:fill="F3F4F6"/>
            <w:tcMar>
              <w:top w:w="70" w:type="dxa"/>
              <w:start w:w="90" w:type="dxa"/>
              <w:bottom w:w="70" w:type="dxa"/>
              <w:end w:w="90" w:type="dxa"/>
            </w:tcMar>
          </w:tcPr>
          <w:p>
            <w:r>
              <w:rPr>
                <w:rFonts w:ascii="Noto Sans" w:hAnsi="Noto Sans" w:eastAsia="Noto Sans"/>
                <w:sz w:val="17"/>
              </w:rPr>
              <w:t>GIS e viewer</w:t>
            </w:r>
          </w:p>
        </w:tc>
        <w:tc>
          <w:tcPr>
            <w:tcW w:type="dxa" w:w="2268"/>
            <w:shd w:fill="F3F4F6"/>
            <w:tcMar>
              <w:top w:w="70" w:type="dxa"/>
              <w:start w:w="90" w:type="dxa"/>
              <w:bottom w:w="70" w:type="dxa"/>
              <w:end w:w="90" w:type="dxa"/>
            </w:tcMar>
          </w:tcPr>
          <w:p>
            <w:r>
              <w:rPr>
                <w:rFonts w:ascii="Noto Sans" w:hAnsi="Noto Sans" w:eastAsia="Noto Sans"/>
                <w:sz w:val="17"/>
              </w:rPr>
              <w:t>collection worksites / WFS feature type</w:t>
            </w:r>
          </w:p>
        </w:tc>
        <w:tc>
          <w:tcPr>
            <w:tcW w:type="dxa" w:w="2268"/>
            <w:shd w:fill="F3F4F6"/>
            <w:tcMar>
              <w:top w:w="70" w:type="dxa"/>
              <w:start w:w="90" w:type="dxa"/>
              <w:bottom w:w="70" w:type="dxa"/>
              <w:end w:w="90" w:type="dxa"/>
            </w:tcMar>
          </w:tcPr>
          <w:p>
            <w:r>
              <w:rPr>
                <w:rFonts w:ascii="Noto Sans" w:hAnsi="Noto Sans" w:eastAsia="Noto Sans"/>
                <w:sz w:val="17"/>
              </w:rPr>
              <w:t>Capability semantica, non passthrough generico</w:t>
            </w:r>
          </w:p>
        </w:tc>
      </w:tr>
      <w:tr>
        <w:trPr>
          <w:cantSplit/>
        </w:trPr>
        <w:tc>
          <w:tcPr>
            <w:tcW w:type="dxa" w:w="2268"/>
            <w:tcMar>
              <w:top w:w="70" w:type="dxa"/>
              <w:start w:w="90" w:type="dxa"/>
              <w:bottom w:w="70" w:type="dxa"/>
              <w:end w:w="90" w:type="dxa"/>
            </w:tcMar>
          </w:tcPr>
          <w:p>
            <w:r>
              <w:rPr>
                <w:rFonts w:ascii="Noto Sans" w:hAnsi="Noto Sans" w:eastAsia="Noto Sans"/>
                <w:sz w:val="17"/>
              </w:rPr>
              <w:t>WMS</w:t>
            </w:r>
          </w:p>
        </w:tc>
        <w:tc>
          <w:tcPr>
            <w:tcW w:type="dxa" w:w="2268"/>
            <w:tcMar>
              <w:top w:w="70" w:type="dxa"/>
              <w:start w:w="90" w:type="dxa"/>
              <w:bottom w:w="70" w:type="dxa"/>
              <w:end w:w="90" w:type="dxa"/>
            </w:tcMar>
          </w:tcPr>
          <w:p>
            <w:r>
              <w:rPr>
                <w:rFonts w:ascii="Noto Sans" w:hAnsi="Noto Sans" w:eastAsia="Noto Sans"/>
                <w:sz w:val="17"/>
              </w:rPr>
              <w:t>Viewer cartografico</w:t>
            </w:r>
          </w:p>
        </w:tc>
        <w:tc>
          <w:tcPr>
            <w:tcW w:type="dxa" w:w="2268"/>
            <w:tcMar>
              <w:top w:w="70" w:type="dxa"/>
              <w:start w:w="90" w:type="dxa"/>
              <w:bottom w:w="70" w:type="dxa"/>
              <w:end w:w="90" w:type="dxa"/>
            </w:tcMar>
          </w:tcPr>
          <w:p>
            <w:r>
              <w:rPr>
                <w:rFonts w:ascii="Noto Sans" w:hAnsi="Noto Sans" w:eastAsia="Noto Sans"/>
                <w:sz w:val="17"/>
              </w:rPr>
              <w:t>GetMap / GetFeatureInfo</w:t>
            </w:r>
          </w:p>
        </w:tc>
        <w:tc>
          <w:tcPr>
            <w:tcW w:type="dxa" w:w="2268"/>
            <w:tcMar>
              <w:top w:w="70" w:type="dxa"/>
              <w:start w:w="90" w:type="dxa"/>
              <w:bottom w:w="70" w:type="dxa"/>
              <w:end w:w="90" w:type="dxa"/>
            </w:tcMar>
          </w:tcPr>
          <w:p>
            <w:r>
              <w:rPr>
                <w:rFonts w:ascii="Noto Sans" w:hAnsi="Noto Sans" w:eastAsia="Noto Sans"/>
                <w:sz w:val="17"/>
              </w:rPr>
              <w:t>Proxy governato; non equivale a Data Product</w:t>
            </w:r>
          </w:p>
        </w:tc>
      </w:tr>
      <w:tr>
        <w:trPr>
          <w:cantSplit/>
        </w:trPr>
        <w:tc>
          <w:tcPr>
            <w:tcW w:type="dxa" w:w="2268"/>
            <w:shd w:fill="F3F4F6"/>
            <w:tcMar>
              <w:top w:w="70" w:type="dxa"/>
              <w:start w:w="90" w:type="dxa"/>
              <w:bottom w:w="70" w:type="dxa"/>
              <w:end w:w="90" w:type="dxa"/>
            </w:tcMar>
          </w:tcPr>
          <w:p>
            <w:r>
              <w:rPr>
                <w:rFonts w:ascii="Noto Sans" w:hAnsi="Noto Sans" w:eastAsia="Noto Sans"/>
                <w:sz w:val="17"/>
              </w:rPr>
              <w:t>MCP</w:t>
            </w:r>
          </w:p>
        </w:tc>
        <w:tc>
          <w:tcPr>
            <w:tcW w:type="dxa" w:w="2268"/>
            <w:shd w:fill="F3F4F6"/>
            <w:tcMar>
              <w:top w:w="70" w:type="dxa"/>
              <w:start w:w="90" w:type="dxa"/>
              <w:bottom w:w="70" w:type="dxa"/>
              <w:end w:w="90" w:type="dxa"/>
            </w:tcMar>
          </w:tcPr>
          <w:p>
            <w:r>
              <w:rPr>
                <w:rFonts w:ascii="Noto Sans" w:hAnsi="Noto Sans" w:eastAsia="Noto Sans"/>
                <w:sz w:val="17"/>
              </w:rPr>
              <w:t>Agent host / copilot</w:t>
            </w:r>
          </w:p>
        </w:tc>
        <w:tc>
          <w:tcPr>
            <w:tcW w:type="dxa" w:w="2268"/>
            <w:shd w:fill="F3F4F6"/>
            <w:tcMar>
              <w:top w:w="70" w:type="dxa"/>
              <w:start w:w="90" w:type="dxa"/>
              <w:bottom w:w="70" w:type="dxa"/>
              <w:end w:w="90" w:type="dxa"/>
            </w:tcMar>
          </w:tcPr>
          <w:p>
            <w:r>
              <w:rPr>
                <w:rFonts w:ascii="Noto Sans" w:hAnsi="Noto Sans" w:eastAsia="Noto Sans"/>
                <w:sz w:val="17"/>
              </w:rPr>
              <w:t>tool search_urban_activities</w:t>
            </w:r>
          </w:p>
        </w:tc>
        <w:tc>
          <w:tcPr>
            <w:tcW w:type="dxa" w:w="2268"/>
            <w:shd w:fill="F3F4F6"/>
            <w:tcMar>
              <w:top w:w="70" w:type="dxa"/>
              <w:start w:w="90" w:type="dxa"/>
              <w:bottom w:w="70" w:type="dxa"/>
              <w:end w:w="90" w:type="dxa"/>
            </w:tcMar>
          </w:tcPr>
          <w:p>
            <w:r>
              <w:rPr>
                <w:rFonts w:ascii="Noto Sans" w:hAnsi="Noto Sans" w:eastAsia="Noto Sans"/>
                <w:sz w:val="17"/>
              </w:rPr>
              <w:t>Solo se toolEligible=true</w:t>
            </w:r>
          </w:p>
        </w:tc>
      </w:tr>
    </w:tbl>
    <w:p>
      <w:pPr>
        <w:pStyle w:val="Heading2"/>
        <w:keepNext/>
        <w:spacing w:before="160"/>
      </w:pPr>
      <w:r>
        <w:rPr>
          <w:rFonts w:ascii="Noto Sans" w:hAnsi="Noto Sans" w:eastAsia="Noto Sans"/>
        </w:rPr>
        <w:t>22.1 Regola per WFS/WMS</w:t>
      </w:r>
    </w:p>
    <w:p>
      <w:pPr>
        <w:pStyle w:val="BodyText"/>
        <w:widowControl/>
      </w:pPr>
      <w:r>
        <w:rPr>
          <w:rFonts w:ascii="Noto Sans" w:hAnsi="Noto Sans" w:eastAsia="Noto Sans"/>
        </w:rPr>
        <w:t>Le route geospaziali non rappresentano la capability in sé. Ad esempio urban.worksites.query può essere esposta tramite OGC API - Features e, per compatibilità, tramite WFS; il Capability Registry conserva l’identità logica e risolve i binding tecnici. WMS resta un binding cartografico separato per il rendering.</w:t>
      </w:r>
    </w:p>
    <w:p>
      <w:pPr>
        <w:pStyle w:val="Heading1"/>
        <w:keepNext/>
        <w:spacing w:before="160"/>
      </w:pPr>
      <w:r>
        <w:rPr>
          <w:rFonts w:ascii="Noto Sans" w:hAnsi="Noto Sans" w:eastAsia="Noto Sans"/>
        </w:rPr>
        <w:t>23. Predisposizione MCP</w:t>
      </w:r>
    </w:p>
    <w:p>
      <w:pPr>
        <w:pStyle w:val="BodyText"/>
        <w:widowControl/>
      </w:pPr>
      <w:r>
        <w:rPr>
          <w:rFonts w:ascii="Noto Sans" w:hAnsi="Noto Sans" w:eastAsia="Noto Sans"/>
        </w:rPr>
        <w:t>Il core iniziale non richiede l’attivazione di MCP. Deve però essere predisposto affinché l’introduzione futura di un MCP Server non richieda nuove API o accessi diretti ai dati. L’MCP Server fungerà da binding agentico di capability già registrate e governate.</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Agent Host</w:t>
              <w:br/>
              <w:t xml:space="preserve">   ↓</w:t>
              <w:br/>
              <w:t>MCP Server</w:t>
              <w:br/>
              <w:t xml:space="preserve">   ↓ capabilityId</w:t>
              <w:br/>
              <w:t>Urban API Gateway</w:t>
              <w:br/>
              <w:t xml:space="preserve">   ↓</w:t>
              <w:br/>
              <w:t>Backend / UDP Data Service</w:t>
            </w:r>
          </w:p>
        </w:tc>
      </w:tr>
    </w:tbl>
    <w:p>
      <w:pPr>
        <w:pStyle w:val="Heading2"/>
        <w:keepNext/>
        <w:spacing w:before="160"/>
      </w:pPr>
      <w:r>
        <w:rPr>
          <w:rFonts w:ascii="Noto Sans" w:hAnsi="Noto Sans" w:eastAsia="Noto Sans"/>
        </w:rPr>
        <w:t>23.1 Regole MCP</w:t>
      </w:r>
    </w:p>
    <w:p>
      <w:pPr>
        <w:pStyle w:val="ListBullet"/>
      </w:pPr>
      <w:r>
        <w:rPr>
          <w:rFonts w:ascii="Noto Sans" w:hAnsi="Noto Sans" w:eastAsia="Noto Sans"/>
        </w:rPr>
        <w:t>Default deny: una capability non è esposta via MCP finché mcp.toolEligible non è esplicitamente true.</w:t>
      </w:r>
    </w:p>
    <w:p>
      <w:pPr>
        <w:pStyle w:val="ListBullet"/>
      </w:pPr>
      <w:r>
        <w:rPr>
          <w:rFonts w:ascii="Noto Sans" w:hAnsi="Noto Sans" w:eastAsia="Noto Sans"/>
        </w:rPr>
        <w:t>Il tool MCP deve riferirsi a un capabilityId stabile, non direttamente a URL, tabelle o feature type fisici.</w:t>
      </w:r>
    </w:p>
    <w:p>
      <w:pPr>
        <w:pStyle w:val="ListBullet"/>
      </w:pPr>
      <w:r>
        <w:rPr>
          <w:rFonts w:ascii="Noto Sans" w:hAnsi="Noto Sans" w:eastAsia="Noto Sans"/>
        </w:rPr>
        <w:t>Gli scope IAM della capability restano validi anche per il consumo MCP.</w:t>
      </w:r>
    </w:p>
    <w:p>
      <w:pPr>
        <w:pStyle w:val="ListBullet"/>
      </w:pPr>
      <w:r>
        <w:rPr>
          <w:rFonts w:ascii="Noto Sans" w:hAnsi="Noto Sans" w:eastAsia="Noto Sans"/>
        </w:rPr>
        <w:t>Le capability di tipo command o propose richiederanno in futuro policy più forti e, quando previsto, Workflow/Human Validation.</w:t>
      </w:r>
    </w:p>
    <w:p>
      <w:pPr>
        <w:pStyle w:val="ListBullet"/>
      </w:pPr>
      <w:r>
        <w:rPr>
          <w:rFonts w:ascii="Noto Sans" w:hAnsi="Noto Sans" w:eastAsia="Noto Sans"/>
        </w:rPr>
        <w:t>MCP non accede direttamente a UDP, Data Lake, database, WFS origin o sistemi verticali.</w:t>
      </w:r>
    </w:p>
    <w:p>
      <w:pPr>
        <w:pStyle w:val="ListBullet"/>
      </w:pPr>
      <w:r>
        <w:rPr>
          <w:rFonts w:ascii="Noto Sans" w:hAnsi="Noto Sans" w:eastAsia="Noto Sans"/>
        </w:rPr>
        <w:t>Audit e correlation ID devono attraversare Agent Host, MCP Server, Gateway e backend.</w:t>
      </w:r>
    </w:p>
    <w:p>
      <w:pPr>
        <w:pStyle w:val="Heading2"/>
        <w:keepNext/>
        <w:spacing w:before="160"/>
      </w:pPr>
      <w:r>
        <w:rPr>
          <w:rFonts w:ascii="Noto Sans" w:hAnsi="Noto Sans" w:eastAsia="Noto Sans"/>
        </w:rPr>
        <w:t>23.2 Capability di ingestion</w:t>
      </w:r>
    </w:p>
    <w:p>
      <w:pPr>
        <w:pStyle w:val="BodyText"/>
        <w:widowControl/>
      </w:pPr>
      <w:r>
        <w:rPr>
          <w:rFonts w:ascii="Noto Sans" w:hAnsi="Noto Sans" w:eastAsia="Noto Sans"/>
        </w:rPr>
        <w:t>Anche le funzioni tecniche di ingestion possono essere registrate come capability interne (es. source.suap.activities.ingest), ma per default non sono eleggibili come tool MCP. Questo permette un modello di governance uniforme senza esporre operazioni tecniche agli agenti.</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capabilityId: source.suap.activities.ingest</w:t>
              <w:br/>
              <w:t>version: 1.0.0</w:t>
              <w:br/>
              <w:t>operationType: command</w:t>
              <w:br/>
              <w:t>bindings:</w:t>
              <w:br/>
              <w:t xml:space="preserve">  rest:</w:t>
              <w:br/>
              <w:t xml:space="preserve">    method: POST</w:t>
              <w:br/>
              <w:t xml:space="preserve">    path: /api/v1/ingestion/suap/economic-activities</w:t>
              <w:br/>
              <w:t xml:space="preserve">  mcp:</w:t>
              <w:br/>
              <w:t xml:space="preserve">    toolEligible: false</w:t>
            </w:r>
          </w:p>
        </w:tc>
      </w:tr>
    </w:tbl>
    <w:p>
      <w:pPr>
        <w:pStyle w:val="BodyText"/>
        <w:widowControl/>
        <w:spacing w:after="80"/>
      </w:pPr>
      <w:r>
        <w:rPr>
          <w:rFonts w:ascii="Noto Sans" w:hAnsi="Noto Sans" w:eastAsia="Noto Sans"/>
        </w:rPr>
        <w:t>Il Gateway deve essere predisposto fin dalla prima release al collegamento con Source Onboarding / Source Configuration, Adapter / Connector Framework, ETL / Ingestion e Urban Data Platform. Il Gateway consuma artefatti runtime approvati; onboarding, classificazione dei campi, semantica e approvazione umana restano esterni al suo perimetro.</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EEF6FA"/>
            <w:tcMar>
              <w:top w:w="70" w:type="dxa"/>
              <w:start w:w="90" w:type="dxa"/>
              <w:bottom w:w="70" w:type="dxa"/>
              <w:end w:w="90" w:type="dxa"/>
            </w:tcMar>
          </w:tcPr>
          <w:p>
            <w:r>
              <w:rPr>
                <w:rFonts w:ascii="Noto Sans" w:hAnsi="Noto Sans" w:eastAsia="Noto Sans"/>
                <w:sz w:val="17"/>
              </w:rPr>
              <w:t>Principio vincolante</w:t>
              <w:br/>
              <w:t>Il Gateway instrada verso capability interne approvate. La risoluzione del binding tecnico verso Connector Framework, ETL o servizi UDP è configurata e versionata; il Gateway non diventa un orchestratore di pipeline e non conosce database, code, tabelle o dettagli implementativi interni.</w:t>
            </w:r>
          </w:p>
        </w:tc>
      </w:tr>
    </w:tbl>
    <w:p>
      <w:pPr>
        <w:pStyle w:val="Heading1"/>
        <w:keepNext/>
        <w:spacing w:before="160"/>
      </w:pPr>
      <w:r>
        <w:rPr>
          <w:rFonts w:ascii="Noto Sans" w:hAnsi="Noto Sans" w:eastAsia="Noto Sans"/>
        </w:rPr>
        <w:t>24. Contratti interni di integrazione</w:t>
      </w:r>
    </w:p>
    <w:p>
      <w:pPr>
        <w:pStyle w:val="Heading2"/>
        <w:keepNext/>
        <w:spacing w:before="160"/>
      </w:pPr>
      <w:r>
        <w:rPr>
          <w:rFonts w:ascii="Noto Sans" w:hAnsi="Noto Sans" w:eastAsia="Noto Sans"/>
        </w:rPr>
        <w:t>24.1 Mappa dei contratti interni</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blHeader w:val="true"/>
          <w:cantSplit/>
        </w:trPr>
        <w:tc>
          <w:tcPr>
            <w:tcW w:type="dxa" w:w="2098"/>
            <w:shd w:fill="0B4F6C"/>
            <w:tcMar>
              <w:top w:w="70" w:type="dxa"/>
              <w:start w:w="90" w:type="dxa"/>
              <w:bottom w:w="70" w:type="dxa"/>
              <w:end w:w="90" w:type="dxa"/>
            </w:tcMar>
          </w:tcPr>
          <w:p>
            <w:r>
              <w:rPr>
                <w:rFonts w:ascii="Noto Sans" w:hAnsi="Noto Sans" w:eastAsia="Noto Sans"/>
                <w:sz w:val="17"/>
              </w:rPr>
              <w:t>Contratto</w:t>
            </w:r>
          </w:p>
        </w:tc>
        <w:tc>
          <w:tcPr>
            <w:tcW w:type="dxa" w:w="3005"/>
            <w:shd w:fill="0B4F6C"/>
            <w:tcMar>
              <w:top w:w="70" w:type="dxa"/>
              <w:start w:w="90" w:type="dxa"/>
              <w:bottom w:w="70" w:type="dxa"/>
              <w:end w:w="90" w:type="dxa"/>
            </w:tcMar>
          </w:tcPr>
          <w:p>
            <w:r>
              <w:rPr>
                <w:rFonts w:ascii="Noto Sans" w:hAnsi="Noto Sans" w:eastAsia="Noto Sans"/>
                <w:sz w:val="17"/>
              </w:rPr>
              <w:t>Responsabilità del chiamante</w:t>
            </w:r>
          </w:p>
        </w:tc>
        <w:tc>
          <w:tcPr>
            <w:tcW w:type="dxa" w:w="3005"/>
            <w:shd w:fill="0B4F6C"/>
            <w:tcMar>
              <w:top w:w="70" w:type="dxa"/>
              <w:start w:w="90" w:type="dxa"/>
              <w:bottom w:w="70" w:type="dxa"/>
              <w:end w:w="90" w:type="dxa"/>
            </w:tcMar>
          </w:tcPr>
          <w:p>
            <w:r>
              <w:rPr>
                <w:rFonts w:ascii="Noto Sans" w:hAnsi="Noto Sans" w:eastAsia="Noto Sans"/>
                <w:sz w:val="17"/>
              </w:rPr>
              <w:t>Responsabilità del ricevente</w:t>
            </w:r>
          </w:p>
        </w:tc>
        <w:tc>
          <w:tcPr>
            <w:tcW w:type="dxa" w:w="3402"/>
            <w:shd w:fill="0B4F6C"/>
            <w:tcMar>
              <w:top w:w="70" w:type="dxa"/>
              <w:start w:w="90" w:type="dxa"/>
              <w:bottom w:w="70" w:type="dxa"/>
              <w:end w:w="90" w:type="dxa"/>
            </w:tcMar>
          </w:tcPr>
          <w:p>
            <w:r>
              <w:rPr>
                <w:rFonts w:ascii="Noto Sans" w:hAnsi="Noto Sans" w:eastAsia="Noto Sans"/>
                <w:sz w:val="17"/>
              </w:rPr>
              <w:t>Informazioni minime</w:t>
            </w:r>
          </w:p>
        </w:tc>
      </w:tr>
      <w:tr>
        <w:trPr>
          <w:cantSplit/>
        </w:trPr>
        <w:tc>
          <w:tcPr>
            <w:tcW w:type="dxa" w:w="2098"/>
            <w:vAlign w:val="top"/>
            <w:tcMar>
              <w:top w:w="70" w:type="dxa"/>
              <w:start w:w="90" w:type="dxa"/>
              <w:bottom w:w="70" w:type="dxa"/>
              <w:end w:w="90" w:type="dxa"/>
            </w:tcMar>
          </w:tcPr>
          <w:p>
            <w:r>
              <w:rPr>
                <w:rFonts w:ascii="Noto Sans" w:hAnsi="Noto Sans" w:eastAsia="Noto Sans"/>
                <w:sz w:val="17"/>
              </w:rPr>
              <w:t>Gateway ← Source Onboarding / Source Configuration</w:t>
            </w:r>
          </w:p>
        </w:tc>
        <w:tc>
          <w:tcPr>
            <w:tcW w:type="dxa" w:w="3005"/>
            <w:vAlign w:val="top"/>
            <w:tcMar>
              <w:top w:w="70" w:type="dxa"/>
              <w:start w:w="90" w:type="dxa"/>
              <w:bottom w:w="70" w:type="dxa"/>
              <w:end w:w="90" w:type="dxa"/>
            </w:tcMar>
          </w:tcPr>
          <w:p>
            <w:r>
              <w:rPr>
                <w:rFonts w:ascii="Noto Sans" w:hAnsi="Noto Sans" w:eastAsia="Noto Sans"/>
                <w:sz w:val="17"/>
              </w:rPr>
              <w:t>Consuma artefatti runtime approvati per route/egress.</w:t>
            </w:r>
          </w:p>
        </w:tc>
        <w:tc>
          <w:tcPr>
            <w:tcW w:type="dxa" w:w="3005"/>
            <w:vAlign w:val="top"/>
            <w:tcMar>
              <w:top w:w="70" w:type="dxa"/>
              <w:start w:w="90" w:type="dxa"/>
              <w:bottom w:w="70" w:type="dxa"/>
              <w:end w:w="90" w:type="dxa"/>
            </w:tcMar>
          </w:tcPr>
          <w:p>
            <w:r>
              <w:rPr>
                <w:rFonts w:ascii="Noto Sans" w:hAnsi="Noto Sans" w:eastAsia="Noto Sans"/>
                <w:sz w:val="17"/>
              </w:rPr>
              <w:t>Pubblica Source Runtime Profile, Extraction Profile runtime e Route Binding; mantiene la configurazione completa di onboarding fuori dal Gateway.</w:t>
            </w:r>
          </w:p>
        </w:tc>
        <w:tc>
          <w:tcPr>
            <w:tcW w:type="dxa" w:w="3402"/>
            <w:vAlign w:val="top"/>
            <w:tcMar>
              <w:top w:w="70" w:type="dxa"/>
              <w:start w:w="90" w:type="dxa"/>
              <w:bottom w:w="70" w:type="dxa"/>
              <w:end w:w="90" w:type="dxa"/>
            </w:tcMar>
          </w:tcPr>
          <w:p>
            <w:r>
              <w:rPr>
                <w:rFonts w:ascii="Noto Sans" w:hAnsi="Noto Sans" w:eastAsia="Noto Sans"/>
                <w:sz w:val="17"/>
              </w:rPr>
              <w:t>sourceId, extractionProfileId/version, routeId, protocollo, endpointRef, fieldProjectionRef/compiled list, delta strategy, stato runtime</w:t>
            </w:r>
          </w:p>
        </w:tc>
      </w:tr>
      <w:tr>
        <w:trPr>
          <w:cantSplit/>
        </w:trPr>
        <w:tc>
          <w:tcPr>
            <w:tcW w:type="dxa" w:w="2098"/>
            <w:shd w:fill="F3F4F6"/>
            <w:vAlign w:val="top"/>
            <w:tcMar>
              <w:top w:w="70" w:type="dxa"/>
              <w:start w:w="90" w:type="dxa"/>
              <w:bottom w:w="70" w:type="dxa"/>
              <w:end w:w="90" w:type="dxa"/>
            </w:tcMar>
          </w:tcPr>
          <w:p>
            <w:r>
              <w:rPr>
                <w:rFonts w:ascii="Noto Sans" w:hAnsi="Noto Sans" w:eastAsia="Noto Sans"/>
                <w:sz w:val="17"/>
              </w:rPr>
              <w:t>Gateway → Adapter / Connector Framework</w:t>
            </w:r>
          </w:p>
        </w:tc>
        <w:tc>
          <w:tcPr>
            <w:tcW w:type="dxa" w:w="3005"/>
            <w:shd w:fill="F3F4F6"/>
            <w:vAlign w:val="top"/>
            <w:tcMar>
              <w:top w:w="70" w:type="dxa"/>
              <w:start w:w="90" w:type="dxa"/>
              <w:bottom w:w="70" w:type="dxa"/>
              <w:end w:w="90" w:type="dxa"/>
            </w:tcMar>
          </w:tcPr>
          <w:p>
            <w:r>
              <w:rPr>
                <w:rFonts w:ascii="Noto Sans" w:hAnsi="Noto Sans" w:eastAsia="Noto Sans"/>
                <w:sz w:val="17"/>
              </w:rPr>
              <w:t>Consegna payload sorgente nativo già autenticato, autorizzato e ammesso dal contratto di bordo.</w:t>
            </w:r>
          </w:p>
        </w:tc>
        <w:tc>
          <w:tcPr>
            <w:tcW w:type="dxa" w:w="3005"/>
            <w:shd w:fill="F3F4F6"/>
            <w:vAlign w:val="top"/>
            <w:tcMar>
              <w:top w:w="70" w:type="dxa"/>
              <w:start w:w="90" w:type="dxa"/>
              <w:bottom w:w="70" w:type="dxa"/>
              <w:end w:w="90" w:type="dxa"/>
            </w:tcMar>
          </w:tcPr>
          <w:p>
            <w:r>
              <w:rPr>
                <w:rFonts w:ascii="Noto Sans" w:hAnsi="Noto Sans" w:eastAsia="Noto Sans"/>
                <w:sz w:val="17"/>
              </w:rPr>
              <w:t>Gestisce protocol adaptation, parsing sorgente, discriminazione tecnica e costruzione dell’OUF Canonical Data Envelope.</w:t>
            </w:r>
          </w:p>
        </w:tc>
        <w:tc>
          <w:tcPr>
            <w:tcW w:type="dxa" w:w="3402"/>
            <w:shd w:fill="F3F4F6"/>
            <w:vAlign w:val="top"/>
            <w:tcMar>
              <w:top w:w="70" w:type="dxa"/>
              <w:start w:w="90" w:type="dxa"/>
              <w:bottom w:w="70" w:type="dxa"/>
              <w:end w:w="90" w:type="dxa"/>
            </w:tcMar>
          </w:tcPr>
          <w:p>
            <w:r>
              <w:rPr>
                <w:rFonts w:ascii="Noto Sans" w:hAnsi="Noto Sans" w:eastAsia="Noto Sans"/>
                <w:sz w:val="17"/>
              </w:rPr>
              <w:t>ingestionId, sourceId, extractionProfileId/version, dataset, correlationId, contentType, sourceSchema/version, payload nativo/reference, principal, route metadata</w:t>
            </w:r>
          </w:p>
        </w:tc>
      </w:tr>
      <w:tr>
        <w:trPr>
          <w:cantSplit/>
        </w:trPr>
        <w:tc>
          <w:tcPr>
            <w:tcW w:type="dxa" w:w="2098"/>
            <w:vAlign w:val="top"/>
            <w:tcMar>
              <w:top w:w="70" w:type="dxa"/>
              <w:start w:w="90" w:type="dxa"/>
              <w:bottom w:w="70" w:type="dxa"/>
              <w:end w:w="90" w:type="dxa"/>
            </w:tcMar>
          </w:tcPr>
          <w:p>
            <w:r>
              <w:rPr>
                <w:rFonts w:ascii="Noto Sans" w:hAnsi="Noto Sans" w:eastAsia="Noto Sans"/>
                <w:sz w:val="17"/>
              </w:rPr>
              <w:t>Adapter → ETL / Ingestion</w:t>
            </w:r>
          </w:p>
        </w:tc>
        <w:tc>
          <w:tcPr>
            <w:tcW w:type="dxa" w:w="3005"/>
            <w:vAlign w:val="top"/>
            <w:tcMar>
              <w:top w:w="70" w:type="dxa"/>
              <w:start w:w="90" w:type="dxa"/>
              <w:bottom w:w="70" w:type="dxa"/>
              <w:end w:w="90" w:type="dxa"/>
            </w:tcMar>
          </w:tcPr>
          <w:p>
            <w:r>
              <w:rPr>
                <w:rFonts w:ascii="Noto Sans" w:hAnsi="Noto Sans" w:eastAsia="Noto Sans"/>
                <w:sz w:val="17"/>
              </w:rPr>
              <w:t>Consegna l’OUF Canonical Data Envelope costruito a partire dal formato sorgente.</w:t>
            </w:r>
          </w:p>
        </w:tc>
        <w:tc>
          <w:tcPr>
            <w:tcW w:type="dxa" w:w="3005"/>
            <w:vAlign w:val="top"/>
            <w:tcMar>
              <w:top w:w="70" w:type="dxa"/>
              <w:start w:w="90" w:type="dxa"/>
              <w:bottom w:w="70" w:type="dxa"/>
              <w:end w:w="90" w:type="dxa"/>
            </w:tcMar>
          </w:tcPr>
          <w:p>
            <w:r>
              <w:rPr>
                <w:rFonts w:ascii="Noto Sans" w:hAnsi="Noto Sans" w:eastAsia="Noto Sans"/>
                <w:sz w:val="17"/>
              </w:rPr>
              <w:t>Valida l’envelope interno, normalizza, applica pipeline e processing semantico, produce output canonico.</w:t>
            </w:r>
          </w:p>
        </w:tc>
        <w:tc>
          <w:tcPr>
            <w:tcW w:type="dxa" w:w="3402"/>
            <w:vAlign w:val="top"/>
            <w:tcMar>
              <w:top w:w="70" w:type="dxa"/>
              <w:start w:w="90" w:type="dxa"/>
              <w:bottom w:w="70" w:type="dxa"/>
              <w:end w:w="90" w:type="dxa"/>
            </w:tcMar>
          </w:tcPr>
          <w:p>
            <w:r>
              <w:rPr>
                <w:rFonts w:ascii="Noto Sans" w:hAnsi="Noto Sans" w:eastAsia="Noto Sans"/>
                <w:sz w:val="17"/>
              </w:rPr>
              <w:t>OUF envelope, sourceObject, sourceSchema, processingProfileId, semanticMappingId/version (da onboarding), provenance</w:t>
            </w:r>
          </w:p>
        </w:tc>
      </w:tr>
      <w:tr>
        <w:trPr>
          <w:cantSplit/>
        </w:trPr>
        <w:tc>
          <w:tcPr>
            <w:tcW w:type="dxa" w:w="2098"/>
            <w:shd w:fill="F3F4F6"/>
            <w:vAlign w:val="top"/>
            <w:tcMar>
              <w:top w:w="70" w:type="dxa"/>
              <w:start w:w="90" w:type="dxa"/>
              <w:bottom w:w="70" w:type="dxa"/>
              <w:end w:w="90" w:type="dxa"/>
            </w:tcMar>
          </w:tcPr>
          <w:p>
            <w:r>
              <w:rPr>
                <w:rFonts w:ascii="Noto Sans" w:hAnsi="Noto Sans" w:eastAsia="Noto Sans"/>
                <w:sz w:val="17"/>
              </w:rPr>
              <w:t>ETL → UDP</w:t>
            </w:r>
          </w:p>
        </w:tc>
        <w:tc>
          <w:tcPr>
            <w:tcW w:type="dxa" w:w="3005"/>
            <w:shd w:fill="F3F4F6"/>
            <w:vAlign w:val="top"/>
            <w:tcMar>
              <w:top w:w="70" w:type="dxa"/>
              <w:start w:w="90" w:type="dxa"/>
              <w:bottom w:w="70" w:type="dxa"/>
              <w:end w:w="90" w:type="dxa"/>
            </w:tcMar>
          </w:tcPr>
          <w:p>
            <w:r>
              <w:rPr>
                <w:rFonts w:ascii="Noto Sans" w:hAnsi="Noto Sans" w:eastAsia="Noto Sans"/>
                <w:sz w:val="17"/>
              </w:rPr>
              <w:t>Consegna dati normalizzati/curated e relative evidenze.</w:t>
            </w:r>
          </w:p>
        </w:tc>
        <w:tc>
          <w:tcPr>
            <w:tcW w:type="dxa" w:w="3005"/>
            <w:shd w:fill="F3F4F6"/>
            <w:vAlign w:val="top"/>
            <w:tcMar>
              <w:top w:w="70" w:type="dxa"/>
              <w:start w:w="90" w:type="dxa"/>
              <w:bottom w:w="70" w:type="dxa"/>
              <w:end w:w="90" w:type="dxa"/>
            </w:tcMar>
          </w:tcPr>
          <w:p>
            <w:r>
              <w:rPr>
                <w:rFonts w:ascii="Noto Sans" w:hAnsi="Noto Sans" w:eastAsia="Noto Sans"/>
                <w:sz w:val="17"/>
              </w:rPr>
              <w:t>Persiste, cataloga e rende disponibili servizi dati e identità/logiche di oggetto.</w:t>
            </w:r>
          </w:p>
        </w:tc>
        <w:tc>
          <w:tcPr>
            <w:tcW w:type="dxa" w:w="3402"/>
            <w:shd w:fill="F3F4F6"/>
            <w:vAlign w:val="top"/>
            <w:tcMar>
              <w:top w:w="70" w:type="dxa"/>
              <w:start w:w="90" w:type="dxa"/>
              <w:bottom w:w="70" w:type="dxa"/>
              <w:end w:w="90" w:type="dxa"/>
            </w:tcMar>
          </w:tcPr>
          <w:p>
            <w:r>
              <w:rPr>
                <w:rFonts w:ascii="Noto Sans" w:hAnsi="Noto Sans" w:eastAsia="Noto Sans"/>
                <w:sz w:val="17"/>
              </w:rPr>
              <w:t>dataProductId, schemaVersion, semanticProfile, qualityStatus, lineage, operation</w:t>
            </w:r>
          </w:p>
        </w:tc>
      </w:tr>
      <w:tr>
        <w:trPr>
          <w:cantSplit/>
        </w:trPr>
        <w:tc>
          <w:tcPr>
            <w:tcW w:type="dxa" w:w="2098"/>
            <w:vAlign w:val="top"/>
            <w:tcMar>
              <w:top w:w="70" w:type="dxa"/>
              <w:start w:w="90" w:type="dxa"/>
              <w:bottom w:w="70" w:type="dxa"/>
              <w:end w:w="90" w:type="dxa"/>
            </w:tcMar>
          </w:tcPr>
          <w:p>
            <w:r>
              <w:rPr>
                <w:rFonts w:ascii="Noto Sans" w:hAnsi="Noto Sans" w:eastAsia="Noto Sans"/>
                <w:sz w:val="17"/>
              </w:rPr>
              <w:t>UDP → Gateway / Exposure</w:t>
            </w:r>
          </w:p>
        </w:tc>
        <w:tc>
          <w:tcPr>
            <w:tcW w:type="dxa" w:w="3005"/>
            <w:vAlign w:val="top"/>
            <w:tcMar>
              <w:top w:w="70" w:type="dxa"/>
              <w:start w:w="90" w:type="dxa"/>
              <w:bottom w:w="70" w:type="dxa"/>
              <w:end w:w="90" w:type="dxa"/>
            </w:tcMar>
          </w:tcPr>
          <w:p>
            <w:r>
              <w:rPr>
                <w:rFonts w:ascii="Noto Sans" w:hAnsi="Noto Sans" w:eastAsia="Noto Sans"/>
                <w:sz w:val="17"/>
              </w:rPr>
              <w:t>Pubblica un servizio dati approvato e associato a capability.</w:t>
            </w:r>
          </w:p>
        </w:tc>
        <w:tc>
          <w:tcPr>
            <w:tcW w:type="dxa" w:w="3005"/>
            <w:vAlign w:val="top"/>
            <w:tcMar>
              <w:top w:w="70" w:type="dxa"/>
              <w:start w:w="90" w:type="dxa"/>
              <w:bottom w:w="70" w:type="dxa"/>
              <w:end w:w="90" w:type="dxa"/>
            </w:tcMar>
          </w:tcPr>
          <w:p>
            <w:r>
              <w:rPr>
                <w:rFonts w:ascii="Noto Sans" w:hAnsi="Noto Sans" w:eastAsia="Noto Sans"/>
                <w:sz w:val="17"/>
              </w:rPr>
              <w:t>Applica policy runtime e rende la capability consumabile ai client autorizzati.</w:t>
            </w:r>
          </w:p>
        </w:tc>
        <w:tc>
          <w:tcPr>
            <w:tcW w:type="dxa" w:w="3402"/>
            <w:vAlign w:val="top"/>
            <w:tcMar>
              <w:top w:w="70" w:type="dxa"/>
              <w:start w:w="90" w:type="dxa"/>
              <w:bottom w:w="70" w:type="dxa"/>
              <w:end w:w="90" w:type="dxa"/>
            </w:tcMar>
          </w:tcPr>
          <w:p>
            <w:r>
              <w:rPr>
                <w:rFonts w:ascii="Noto Sans" w:hAnsi="Noto Sans" w:eastAsia="Noto Sans"/>
                <w:sz w:val="17"/>
              </w:rPr>
              <w:t>capabilityId, serviceBinding, version, scopes, timeout, response schema</w:t>
            </w:r>
          </w:p>
        </w:tc>
      </w:tr>
    </w:tbl>
    <w:p>
      <w:pPr>
        <w:pStyle w:val="Heading2"/>
        <w:keepNext/>
        <w:spacing w:before="160"/>
      </w:pPr>
      <w:r>
        <w:rPr>
          <w:rFonts w:ascii="Noto Sans" w:hAnsi="Noto Sans" w:eastAsia="Noto Sans"/>
        </w:rPr>
        <w:t>24.2 Separazione control plane e data plane</w:t>
      </w:r>
    </w:p>
    <w:p>
      <w:pPr>
        <w:pStyle w:val="BodyText"/>
        <w:widowControl/>
        <w:spacing w:after="80"/>
      </w:pPr>
      <w:r>
        <w:rPr>
          <w:rFonts w:ascii="Noto Sans" w:hAnsi="Noto Sans" w:eastAsia="Noto Sans"/>
        </w:rPr>
        <w:t>Source Onboarding / Source Configuration appartiene al control plane e pubblica artefatti versionati. Non riceve il flusso applicativo dei dati come stadio della pipeline. Il Gateway consuma Route Binding e la proiezione runtime dell’Extraction Profile; Adapter/ETL/Semantic Model consumano gli altri riferimenti di processing e semantica.</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CONTROL PLANE</w:t>
              <w:br/>
              <w:t>Source Configuration / Connector Registry</w:t>
              <w:br/>
              <w:t xml:space="preserve">      ├── route e policy → API Gateway</w:t>
              <w:br/>
              <w:t xml:space="preserve">      ├── source profile → Adapter Framework</w:t>
              <w:br/>
              <w:t xml:space="preserve">      └── processing profile → ETL / Ingestion</w:t>
              <w:br/>
              <w:br/>
              <w:t>DATA PLANE</w:t>
              <w:br/>
              <w:t>Sistema esterno → Gateway → Adapter → ETL → UDP</w:t>
            </w:r>
          </w:p>
        </w:tc>
      </w:tr>
    </w:tbl>
    <w:p>
      <w:pPr>
        <w:pStyle w:val="Heading2"/>
      </w:pPr>
      <w:r>
        <w:rPr>
          <w:rFonts w:ascii="Noto Sans" w:hAnsi="Noto Sans" w:eastAsia="Noto Sans"/>
        </w:rPr>
        <w:t>24.3 Contratto Extraction Profile → runtime Gateway</w:t>
      </w:r>
    </w:p>
    <w:p>
      <w:pPr>
        <w:pStyle w:val="BodyText"/>
      </w:pPr>
      <w:r>
        <w:rPr>
          <w:rFonts w:ascii="Noto Sans" w:hAnsi="Noto Sans" w:eastAsia="Noto Sans"/>
        </w:rPr>
        <w:t>Il Gateway riceve dal control plane un extractionProfileId/version e una proiezione tecnica compilata. Questa contiene esclusivamente gli elementi necessari alla chiamata PULL e alla sua enforcement: endpointRef, query template, filtri sorgente, field projection/allowlist, paging, delta strategy, limiti e credential reference. Il Gateway non riceve né valuta la classificazione dei campi, le ontologie o i vocabolari che hanno determinato tali scelte.</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041"/>
            <w:shd w:fill="0B5D73"/>
            <w:vAlign w:val="center"/>
          </w:tcPr>
          <w:p>
            <w:r>
              <w:rPr>
                <w:rFonts w:ascii="Noto Sans" w:hAnsi="Noto Sans" w:eastAsia="Noto Sans"/>
                <w:sz w:val="17"/>
              </w:rPr>
              <w:t>Informazione</w:t>
            </w:r>
          </w:p>
        </w:tc>
        <w:tc>
          <w:tcPr>
            <w:tcW w:type="dxa" w:w="2494"/>
            <w:shd w:fill="0B5D73"/>
            <w:vAlign w:val="center"/>
          </w:tcPr>
          <w:p>
            <w:r>
              <w:rPr>
                <w:rFonts w:ascii="Noto Sans" w:hAnsi="Noto Sans" w:eastAsia="Noto Sans"/>
                <w:sz w:val="17"/>
              </w:rPr>
              <w:t>Produttore</w:t>
            </w:r>
          </w:p>
        </w:tc>
        <w:tc>
          <w:tcPr>
            <w:tcW w:type="dxa" w:w="2381"/>
            <w:shd w:fill="0B5D73"/>
            <w:vAlign w:val="center"/>
          </w:tcPr>
          <w:p>
            <w:r>
              <w:rPr>
                <w:rFonts w:ascii="Noto Sans" w:hAnsi="Noto Sans" w:eastAsia="Noto Sans"/>
                <w:sz w:val="17"/>
              </w:rPr>
              <w:t>Consumer</w:t>
            </w:r>
          </w:p>
        </w:tc>
        <w:tc>
          <w:tcPr>
            <w:tcW w:type="dxa" w:w="3402"/>
            <w:shd w:fill="0B5D73"/>
            <w:vAlign w:val="center"/>
          </w:tcPr>
          <w:p>
            <w:r>
              <w:rPr>
                <w:rFonts w:ascii="Noto Sans" w:hAnsi="Noto Sans" w:eastAsia="Noto Sans"/>
                <w:sz w:val="17"/>
              </w:rPr>
              <w:t>Regola</w:t>
            </w:r>
          </w:p>
        </w:tc>
      </w:tr>
      <w:tr>
        <w:tc>
          <w:tcPr>
            <w:tcW w:type="dxa" w:w="2041"/>
          </w:tcPr>
          <w:p>
            <w:r>
              <w:rPr>
                <w:rFonts w:ascii="Noto Sans" w:hAnsi="Noto Sans" w:eastAsia="Noto Sans"/>
                <w:sz w:val="17"/>
              </w:rPr>
              <w:t>sourceTypeId</w:t>
            </w:r>
          </w:p>
        </w:tc>
        <w:tc>
          <w:tcPr>
            <w:tcW w:type="dxa" w:w="2494"/>
          </w:tcPr>
          <w:p>
            <w:r>
              <w:rPr>
                <w:rFonts w:ascii="Noto Sans" w:hAnsi="Noto Sans" w:eastAsia="Noto Sans"/>
                <w:sz w:val="17"/>
              </w:rPr>
              <w:t>Adapter sulla base del profilo tecnico pubblicato dall’onboarding</w:t>
            </w:r>
          </w:p>
        </w:tc>
        <w:tc>
          <w:tcPr>
            <w:tcW w:type="dxa" w:w="2381"/>
          </w:tcPr>
          <w:p>
            <w:r>
              <w:rPr>
                <w:rFonts w:ascii="Noto Sans" w:hAnsi="Noto Sans" w:eastAsia="Noto Sans"/>
                <w:sz w:val="17"/>
              </w:rPr>
              <w:t>ETL</w:t>
            </w:r>
          </w:p>
        </w:tc>
        <w:tc>
          <w:tcPr>
            <w:tcW w:type="dxa" w:w="3402"/>
          </w:tcPr>
          <w:p>
            <w:r>
              <w:rPr>
                <w:rFonts w:ascii="Noto Sans" w:hAnsi="Noto Sans" w:eastAsia="Noto Sans"/>
                <w:sz w:val="17"/>
              </w:rPr>
              <w:t>Identificatore tecnico; nessuna semantica canonica implicita</w:t>
            </w:r>
          </w:p>
        </w:tc>
      </w:tr>
      <w:tr>
        <w:tc>
          <w:tcPr>
            <w:tcW w:type="dxa" w:w="2041"/>
          </w:tcPr>
          <w:p>
            <w:r>
              <w:rPr>
                <w:rFonts w:ascii="Noto Sans" w:hAnsi="Noto Sans" w:eastAsia="Noto Sans"/>
                <w:sz w:val="17"/>
              </w:rPr>
              <w:t>sourceInstanceId</w:t>
            </w:r>
          </w:p>
        </w:tc>
        <w:tc>
          <w:tcPr>
            <w:tcW w:type="dxa" w:w="2494"/>
          </w:tcPr>
          <w:p>
            <w:r>
              <w:rPr>
                <w:rFonts w:ascii="Noto Sans" w:hAnsi="Noto Sans" w:eastAsia="Noto Sans"/>
                <w:sz w:val="17"/>
              </w:rPr>
              <w:t>Verticale / Adapter</w:t>
            </w:r>
          </w:p>
        </w:tc>
        <w:tc>
          <w:tcPr>
            <w:tcW w:type="dxa" w:w="2381"/>
          </w:tcPr>
          <w:p>
            <w:r>
              <w:rPr>
                <w:rFonts w:ascii="Noto Sans" w:hAnsi="Noto Sans" w:eastAsia="Noto Sans"/>
                <w:sz w:val="17"/>
              </w:rPr>
              <w:t>ETL / UDP</w:t>
            </w:r>
          </w:p>
        </w:tc>
        <w:tc>
          <w:tcPr>
            <w:tcW w:type="dxa" w:w="3402"/>
          </w:tcPr>
          <w:p>
            <w:r>
              <w:rPr>
                <w:rFonts w:ascii="Noto Sans" w:hAnsi="Noto Sans" w:eastAsia="Noto Sans"/>
                <w:sz w:val="17"/>
              </w:rPr>
              <w:t>Provenance dell'istanza sorgente</w:t>
            </w:r>
          </w:p>
        </w:tc>
      </w:tr>
      <w:tr>
        <w:tc>
          <w:tcPr>
            <w:tcW w:type="dxa" w:w="2041"/>
          </w:tcPr>
          <w:p>
            <w:r>
              <w:rPr>
                <w:rFonts w:ascii="Noto Sans" w:hAnsi="Noto Sans" w:eastAsia="Noto Sans"/>
                <w:sz w:val="17"/>
              </w:rPr>
              <w:t>semanticMappingId/version</w:t>
            </w:r>
          </w:p>
        </w:tc>
        <w:tc>
          <w:tcPr>
            <w:tcW w:type="dxa" w:w="2494"/>
          </w:tcPr>
          <w:p>
            <w:r>
              <w:rPr>
                <w:rFonts w:ascii="Noto Sans" w:hAnsi="Noto Sans" w:eastAsia="Noto Sans"/>
                <w:sz w:val="17"/>
              </w:rPr>
              <w:t>Source Onboarding / Semantic Configuration</w:t>
            </w:r>
          </w:p>
        </w:tc>
        <w:tc>
          <w:tcPr>
            <w:tcW w:type="dxa" w:w="2381"/>
          </w:tcPr>
          <w:p>
            <w:r>
              <w:rPr>
                <w:rFonts w:ascii="Noto Sans" w:hAnsi="Noto Sans" w:eastAsia="Noto Sans"/>
                <w:sz w:val="17"/>
              </w:rPr>
              <w:t>ETL / Semantic Model</w:t>
            </w:r>
          </w:p>
        </w:tc>
        <w:tc>
          <w:tcPr>
            <w:tcW w:type="dxa" w:w="3402"/>
          </w:tcPr>
          <w:p>
            <w:r>
              <w:rPr>
                <w:rFonts w:ascii="Noto Sans" w:hAnsi="Noto Sans" w:eastAsia="Noto Sans"/>
                <w:sz w:val="17"/>
              </w:rPr>
              <w:t>Riferimento approvato; non interpretato dal Gateway</w:t>
            </w:r>
          </w:p>
        </w:tc>
      </w:tr>
      <w:tr>
        <w:tc>
          <w:tcPr>
            <w:tcW w:type="dxa" w:w="2041"/>
          </w:tcPr>
          <w:p>
            <w:r>
              <w:rPr>
                <w:rFonts w:ascii="Noto Sans" w:hAnsi="Noto Sans" w:eastAsia="Noto Sans"/>
                <w:sz w:val="17"/>
              </w:rPr>
              <w:t>canonical classes/concepts</w:t>
            </w:r>
          </w:p>
        </w:tc>
        <w:tc>
          <w:tcPr>
            <w:tcW w:type="dxa" w:w="2494"/>
          </w:tcPr>
          <w:p>
            <w:r>
              <w:rPr>
                <w:rFonts w:ascii="Noto Sans" w:hAnsi="Noto Sans" w:eastAsia="Noto Sans"/>
                <w:sz w:val="17"/>
              </w:rPr>
              <w:t>Semantic Model</w:t>
            </w:r>
          </w:p>
        </w:tc>
        <w:tc>
          <w:tcPr>
            <w:tcW w:type="dxa" w:w="2381"/>
          </w:tcPr>
          <w:p>
            <w:r>
              <w:rPr>
                <w:rFonts w:ascii="Noto Sans" w:hAnsi="Noto Sans" w:eastAsia="Noto Sans"/>
                <w:sz w:val="17"/>
              </w:rPr>
              <w:t>ETL / UDP</w:t>
            </w:r>
          </w:p>
        </w:tc>
        <w:tc>
          <w:tcPr>
            <w:tcW w:type="dxa" w:w="3402"/>
          </w:tcPr>
          <w:p>
            <w:r>
              <w:rPr>
                <w:rFonts w:ascii="Noto Sans" w:hAnsi="Noto Sans" w:eastAsia="Noto Sans"/>
                <w:sz w:val="17"/>
              </w:rPr>
              <w:t>Derivati da ontologie e vocabolari controllati</w:t>
            </w:r>
          </w:p>
        </w:tc>
      </w:tr>
      <w:tr>
        <w:tc>
          <w:tcPr>
            <w:tcW w:type="dxa" w:w="2041"/>
          </w:tcPr>
          <w:p>
            <w:r>
              <w:rPr>
                <w:rFonts w:ascii="Noto Sans" w:hAnsi="Noto Sans" w:eastAsia="Noto Sans"/>
                <w:sz w:val="17"/>
              </w:rPr>
              <w:t>mapping evidence</w:t>
            </w:r>
          </w:p>
        </w:tc>
        <w:tc>
          <w:tcPr>
            <w:tcW w:type="dxa" w:w="2494"/>
          </w:tcPr>
          <w:p>
            <w:r>
              <w:rPr>
                <w:rFonts w:ascii="Noto Sans" w:hAnsi="Noto Sans" w:eastAsia="Noto Sans"/>
                <w:sz w:val="17"/>
              </w:rPr>
              <w:t>ETL / Semantic Model</w:t>
            </w:r>
          </w:p>
        </w:tc>
        <w:tc>
          <w:tcPr>
            <w:tcW w:type="dxa" w:w="2381"/>
          </w:tcPr>
          <w:p>
            <w:r>
              <w:rPr>
                <w:rFonts w:ascii="Noto Sans" w:hAnsi="Noto Sans" w:eastAsia="Noto Sans"/>
                <w:sz w:val="17"/>
              </w:rPr>
              <w:t>UDP / lineage</w:t>
            </w:r>
          </w:p>
        </w:tc>
        <w:tc>
          <w:tcPr>
            <w:tcW w:type="dxa" w:w="3402"/>
          </w:tcPr>
          <w:p>
            <w:r>
              <w:rPr>
                <w:rFonts w:ascii="Noto Sans" w:hAnsi="Noto Sans" w:eastAsia="Noto Sans"/>
                <w:sz w:val="17"/>
              </w:rPr>
              <w:t>Versione e decisione conservate nel lineage</w:t>
            </w:r>
          </w:p>
        </w:tc>
      </w:tr>
    </w:tbl>
    <w:p>
      <w:pPr>
        <w:pStyle w:val="Heading1"/>
        <w:keepNext/>
        <w:spacing w:before="160"/>
      </w:pPr>
      <w:r>
        <w:rPr>
          <w:rFonts w:ascii="Noto Sans" w:hAnsi="Noto Sans" w:eastAsia="Noto Sans"/>
        </w:rPr>
        <w:t>25. Integrazione con Source Onboarding / Source Configuration</w:t>
      </w:r>
    </w:p>
    <w:p>
      <w:pPr>
        <w:pStyle w:val="BodyText"/>
        <w:widowControl/>
        <w:spacing w:after="80"/>
      </w:pPr>
      <w:r>
        <w:rPr>
          <w:rFonts w:ascii="Noto Sans" w:hAnsi="Noto Sans" w:eastAsia="Noto Sans"/>
        </w:rPr>
        <w:t>Il Gateway non deve contenere configurazioni sorgente duplicate o scollegate dal modulo Source Onboarding / Source Configuration. Ogni route o profilo egress deve poter essere ricondotto a sourceId, extractionProfileId/version e Route Binding approvati. Il modulo di onboarding è owner della configurazione completa; il Gateway conserva o materializza solo la vista runtime necessaria.</w:t>
      </w:r>
    </w:p>
    <w:p>
      <w:pPr>
        <w:pStyle w:val="Heading2"/>
        <w:keepNext/>
        <w:spacing w:before="160"/>
      </w:pPr>
      <w:r>
        <w:rPr>
          <w:rFonts w:ascii="Noto Sans" w:hAnsi="Noto Sans" w:eastAsia="Noto Sans"/>
        </w:rPr>
        <w:t>25.1 Oggetti configurativi</w:t>
      </w:r>
    </w:p>
    <w:tbl>
      <w:tblPr>
        <w:tblStyle w:val="TableGrid"/>
        <w:tblW w:type="auto" w:w="0"/>
        <w:jc w:val="center"/>
        <w:tblLook w:firstColumn="1" w:firstRow="1" w:lastColumn="0" w:lastRow="0" w:noHBand="0" w:noVBand="1" w:val="04A0"/>
      </w:tblPr>
      <w:tblGrid>
        <w:gridCol w:w="3024"/>
        <w:gridCol w:w="3024"/>
        <w:gridCol w:w="3024"/>
      </w:tblGrid>
      <w:tr>
        <w:trPr>
          <w:tblHeader w:val="true"/>
          <w:tblHeader w:val="true"/>
          <w:cantSplit/>
        </w:trPr>
        <w:tc>
          <w:tcPr>
            <w:tcW w:type="dxa" w:w="2494"/>
            <w:shd w:fill="0B4F6C"/>
            <w:tcMar>
              <w:top w:w="70" w:type="dxa"/>
              <w:start w:w="90" w:type="dxa"/>
              <w:bottom w:w="70" w:type="dxa"/>
              <w:end w:w="90" w:type="dxa"/>
            </w:tcMar>
          </w:tcPr>
          <w:p>
            <w:r>
              <w:rPr>
                <w:rFonts w:ascii="Noto Sans" w:hAnsi="Noto Sans" w:eastAsia="Noto Sans"/>
                <w:sz w:val="17"/>
              </w:rPr>
              <w:t>Oggetto</w:t>
            </w:r>
          </w:p>
        </w:tc>
        <w:tc>
          <w:tcPr>
            <w:tcW w:type="dxa" w:w="5216"/>
            <w:shd w:fill="0B4F6C"/>
            <w:tcMar>
              <w:top w:w="70" w:type="dxa"/>
              <w:start w:w="90" w:type="dxa"/>
              <w:bottom w:w="70" w:type="dxa"/>
              <w:end w:w="90" w:type="dxa"/>
            </w:tcMar>
          </w:tcPr>
          <w:p>
            <w:r>
              <w:rPr>
                <w:rFonts w:ascii="Noto Sans" w:hAnsi="Noto Sans" w:eastAsia="Noto Sans"/>
                <w:sz w:val="17"/>
              </w:rPr>
              <w:t>Uso nel Gateway</w:t>
            </w:r>
          </w:p>
        </w:tc>
        <w:tc>
          <w:tcPr>
            <w:tcW w:type="dxa" w:w="3118"/>
            <w:shd w:fill="0B4F6C"/>
            <w:tcMar>
              <w:top w:w="70" w:type="dxa"/>
              <w:start w:w="90" w:type="dxa"/>
              <w:bottom w:w="70" w:type="dxa"/>
              <w:end w:w="90" w:type="dxa"/>
            </w:tcMar>
          </w:tcPr>
          <w:p>
            <w:r>
              <w:rPr>
                <w:rFonts w:ascii="Noto Sans" w:hAnsi="Noto Sans" w:eastAsia="Noto Sans"/>
                <w:sz w:val="17"/>
              </w:rPr>
              <w:t>Ownership</w:t>
            </w:r>
          </w:p>
        </w:tc>
      </w:tr>
      <w:tr>
        <w:trPr>
          <w:cantSplit/>
        </w:trPr>
        <w:tc>
          <w:tcPr>
            <w:tcW w:type="dxa" w:w="2494"/>
            <w:vAlign w:val="top"/>
            <w:tcMar>
              <w:top w:w="70" w:type="dxa"/>
              <w:start w:w="90" w:type="dxa"/>
              <w:bottom w:w="70" w:type="dxa"/>
              <w:end w:w="90" w:type="dxa"/>
            </w:tcMar>
          </w:tcPr>
          <w:p>
            <w:r>
              <w:rPr>
                <w:rFonts w:ascii="Noto Sans" w:hAnsi="Noto Sans" w:eastAsia="Noto Sans"/>
                <w:sz w:val="17"/>
              </w:rPr>
              <w:t>Source Runtime Profile</w:t>
            </w:r>
          </w:p>
        </w:tc>
        <w:tc>
          <w:tcPr>
            <w:tcW w:type="dxa" w:w="5216"/>
            <w:vAlign w:val="top"/>
            <w:tcMar>
              <w:top w:w="70" w:type="dxa"/>
              <w:start w:w="90" w:type="dxa"/>
              <w:bottom w:w="70" w:type="dxa"/>
              <w:end w:w="90" w:type="dxa"/>
            </w:tcMar>
          </w:tcPr>
          <w:p>
            <w:r>
              <w:rPr>
                <w:rFonts w:ascii="Noto Sans" w:hAnsi="Noto Sans" w:eastAsia="Noto Sans"/>
                <w:sz w:val="17"/>
              </w:rPr>
              <w:t>Identifica sorgente, endpoint/protocollo, ambiente e riferimenti runtime necessari al Gateway.</w:t>
            </w:r>
          </w:p>
        </w:tc>
        <w:tc>
          <w:tcPr>
            <w:tcW w:type="dxa" w:w="3118"/>
            <w:vAlign w:val="top"/>
            <w:tcMar>
              <w:top w:w="70" w:type="dxa"/>
              <w:start w:w="90" w:type="dxa"/>
              <w:bottom w:w="70" w:type="dxa"/>
              <w:end w:w="90" w:type="dxa"/>
            </w:tcMar>
          </w:tcPr>
          <w:p>
            <w:r>
              <w:rPr>
                <w:rFonts w:ascii="Noto Sans" w:hAnsi="Noto Sans" w:eastAsia="Noto Sans"/>
                <w:sz w:val="17"/>
              </w:rPr>
              <w:t>Source Onboarding / Source Configuration (pubblicazione runtime)</w:t>
            </w:r>
          </w:p>
        </w:tc>
      </w:tr>
      <w:tr>
        <w:trPr>
          <w:cantSplit/>
        </w:trPr>
        <w:tc>
          <w:tcPr>
            <w:tcW w:type="dxa" w:w="2494"/>
            <w:shd w:fill="F3F4F6"/>
            <w:vAlign w:val="top"/>
            <w:tcMar>
              <w:top w:w="70" w:type="dxa"/>
              <w:start w:w="90" w:type="dxa"/>
              <w:bottom w:w="70" w:type="dxa"/>
              <w:end w:w="90" w:type="dxa"/>
            </w:tcMar>
          </w:tcPr>
          <w:p>
            <w:r>
              <w:rPr>
                <w:rFonts w:ascii="Noto Sans" w:hAnsi="Noto Sans" w:eastAsia="Noto Sans"/>
                <w:sz w:val="17"/>
              </w:rPr>
              <w:t>Route Binding</w:t>
            </w:r>
          </w:p>
        </w:tc>
        <w:tc>
          <w:tcPr>
            <w:tcW w:type="dxa" w:w="5216"/>
            <w:shd w:fill="F3F4F6"/>
            <w:vAlign w:val="top"/>
            <w:tcMar>
              <w:top w:w="70" w:type="dxa"/>
              <w:start w:w="90" w:type="dxa"/>
              <w:bottom w:w="70" w:type="dxa"/>
              <w:end w:w="90" w:type="dxa"/>
            </w:tcMar>
          </w:tcPr>
          <w:p>
            <w:r>
              <w:rPr>
                <w:rFonts w:ascii="Noto Sans" w:hAnsi="Noto Sans" w:eastAsia="Noto Sans"/>
                <w:sz w:val="17"/>
              </w:rPr>
              <w:t>Collega route/API o profilo egress a capabilityId, sourceId, extractionProfileId e backend logico.</w:t>
            </w:r>
          </w:p>
        </w:tc>
        <w:tc>
          <w:tcPr>
            <w:tcW w:type="dxa" w:w="3118"/>
            <w:shd w:fill="F3F4F6"/>
            <w:vAlign w:val="top"/>
            <w:tcMar>
              <w:top w:w="70" w:type="dxa"/>
              <w:start w:w="90" w:type="dxa"/>
              <w:bottom w:w="70" w:type="dxa"/>
              <w:end w:w="90" w:type="dxa"/>
            </w:tcMar>
          </w:tcPr>
          <w:p>
            <w:r>
              <w:rPr>
                <w:rFonts w:ascii="Noto Sans" w:hAnsi="Noto Sans" w:eastAsia="Noto Sans"/>
                <w:sz w:val="17"/>
              </w:rPr>
              <w:t>Gateway configuration derivata da artefatti approvati</w:t>
            </w:r>
          </w:p>
        </w:tc>
      </w:tr>
      <w:tr>
        <w:trPr>
          <w:cantSplit/>
        </w:trPr>
        <w:tc>
          <w:tcPr>
            <w:tcW w:type="dxa" w:w="2494"/>
            <w:vAlign w:val="top"/>
            <w:tcMar>
              <w:top w:w="70" w:type="dxa"/>
              <w:start w:w="90" w:type="dxa"/>
              <w:bottom w:w="70" w:type="dxa"/>
              <w:end w:w="90" w:type="dxa"/>
            </w:tcMar>
          </w:tcPr>
          <w:p>
            <w:r>
              <w:rPr>
                <w:rFonts w:ascii="Noto Sans" w:hAnsi="Noto Sans" w:eastAsia="Noto Sans"/>
                <w:sz w:val="17"/>
              </w:rPr>
              <w:t>Client / Credential Binding</w:t>
            </w:r>
          </w:p>
        </w:tc>
        <w:tc>
          <w:tcPr>
            <w:tcW w:type="dxa" w:w="5216"/>
            <w:vAlign w:val="top"/>
            <w:tcMar>
              <w:top w:w="70" w:type="dxa"/>
              <w:start w:w="90" w:type="dxa"/>
              <w:bottom w:w="70" w:type="dxa"/>
              <w:end w:w="90" w:type="dxa"/>
            </w:tcMar>
          </w:tcPr>
          <w:p>
            <w:r>
              <w:rPr>
                <w:rFonts w:ascii="Noto Sans" w:hAnsi="Noto Sans" w:eastAsia="Noto Sans"/>
                <w:sz w:val="17"/>
              </w:rPr>
              <w:t>Collega identità tecnica a sourceId, scope e route ammesse.</w:t>
            </w:r>
          </w:p>
        </w:tc>
        <w:tc>
          <w:tcPr>
            <w:tcW w:type="dxa" w:w="3118"/>
            <w:vAlign w:val="top"/>
            <w:tcMar>
              <w:top w:w="70" w:type="dxa"/>
              <w:start w:w="90" w:type="dxa"/>
              <w:bottom w:w="70" w:type="dxa"/>
              <w:end w:w="90" w:type="dxa"/>
            </w:tcMar>
          </w:tcPr>
          <w:p>
            <w:r>
              <w:rPr>
                <w:rFonts w:ascii="Noto Sans" w:hAnsi="Noto Sans" w:eastAsia="Noto Sans"/>
                <w:sz w:val="17"/>
              </w:rPr>
              <w:t>IAM/Secret Management + Gateway</w:t>
            </w:r>
          </w:p>
        </w:tc>
      </w:tr>
      <w:tr>
        <w:trPr>
          <w:cantSplit/>
        </w:trPr>
        <w:tc>
          <w:tcPr>
            <w:tcW w:type="dxa" w:w="2494"/>
            <w:shd w:fill="F3F4F6"/>
            <w:vAlign w:val="top"/>
            <w:tcMar>
              <w:top w:w="70" w:type="dxa"/>
              <w:start w:w="90" w:type="dxa"/>
              <w:bottom w:w="70" w:type="dxa"/>
              <w:end w:w="90" w:type="dxa"/>
            </w:tcMar>
          </w:tcPr>
          <w:p>
            <w:r>
              <w:rPr>
                <w:rFonts w:ascii="Noto Sans" w:hAnsi="Noto Sans" w:eastAsia="Noto Sans"/>
                <w:sz w:val="17"/>
              </w:rPr>
              <w:t>Source Schema Binding</w:t>
            </w:r>
          </w:p>
        </w:tc>
        <w:tc>
          <w:tcPr>
            <w:tcW w:type="dxa" w:w="5216"/>
            <w:shd w:fill="F3F4F6"/>
            <w:vAlign w:val="top"/>
            <w:tcMar>
              <w:top w:w="70" w:type="dxa"/>
              <w:start w:w="90" w:type="dxa"/>
              <w:bottom w:w="70" w:type="dxa"/>
              <w:end w:w="90" w:type="dxa"/>
            </w:tcMar>
          </w:tcPr>
          <w:p>
            <w:r>
              <w:rPr>
                <w:rFonts w:ascii="Noto Sans" w:hAnsi="Noto Sans" w:eastAsia="Noto Sans"/>
                <w:sz w:val="17"/>
              </w:rPr>
              <w:t>Indica lo schema/protocollo sorgente atteso al bordo; non contiene classificazione semantica OUF.</w:t>
            </w:r>
          </w:p>
        </w:tc>
        <w:tc>
          <w:tcPr>
            <w:tcW w:type="dxa" w:w="3118"/>
            <w:shd w:fill="F3F4F6"/>
            <w:vAlign w:val="top"/>
            <w:tcMar>
              <w:top w:w="70" w:type="dxa"/>
              <w:start w:w="90" w:type="dxa"/>
              <w:bottom w:w="70" w:type="dxa"/>
              <w:end w:w="90" w:type="dxa"/>
            </w:tcMar>
          </w:tcPr>
          <w:p>
            <w:r>
              <w:rPr>
                <w:rFonts w:ascii="Noto Sans" w:hAnsi="Noto Sans" w:eastAsia="Noto Sans"/>
                <w:sz w:val="17"/>
              </w:rPr>
              <w:t>Source Onboarding / API contract</w:t>
            </w:r>
          </w:p>
        </w:tc>
      </w:tr>
      <w:tr>
        <w:trPr>
          <w:cantSplit/>
        </w:trPr>
        <w:tc>
          <w:tcPr>
            <w:tcW w:type="dxa" w:w="2494"/>
            <w:vAlign w:val="top"/>
            <w:tcMar>
              <w:top w:w="70" w:type="dxa"/>
              <w:start w:w="90" w:type="dxa"/>
              <w:bottom w:w="70" w:type="dxa"/>
              <w:end w:w="90" w:type="dxa"/>
            </w:tcMar>
          </w:tcPr>
          <w:p>
            <w:r>
              <w:rPr>
                <w:rFonts w:ascii="Noto Sans" w:hAnsi="Noto Sans" w:eastAsia="Noto Sans"/>
                <w:sz w:val="17"/>
              </w:rPr>
              <w:t>Health State</w:t>
            </w:r>
          </w:p>
        </w:tc>
        <w:tc>
          <w:tcPr>
            <w:tcW w:type="dxa" w:w="5216"/>
            <w:vAlign w:val="top"/>
            <w:tcMar>
              <w:top w:w="70" w:type="dxa"/>
              <w:start w:w="90" w:type="dxa"/>
              <w:bottom w:w="70" w:type="dxa"/>
              <w:end w:w="90" w:type="dxa"/>
            </w:tcMar>
          </w:tcPr>
          <w:p>
            <w:r>
              <w:rPr>
                <w:rFonts w:ascii="Noto Sans" w:hAnsi="Noto Sans" w:eastAsia="Noto Sans"/>
                <w:sz w:val="17"/>
              </w:rPr>
              <w:t>Abilita/disabilita routing verso sorgente/backend in base allo stato operativo.</w:t>
            </w:r>
          </w:p>
        </w:tc>
        <w:tc>
          <w:tcPr>
            <w:tcW w:type="dxa" w:w="3118"/>
            <w:vAlign w:val="top"/>
            <w:tcMar>
              <w:top w:w="70" w:type="dxa"/>
              <w:start w:w="90" w:type="dxa"/>
              <w:bottom w:w="70" w:type="dxa"/>
              <w:end w:w="90" w:type="dxa"/>
            </w:tcMar>
          </w:tcPr>
          <w:p>
            <w:r>
              <w:rPr>
                <w:rFonts w:ascii="Noto Sans" w:hAnsi="Noto Sans" w:eastAsia="Noto Sans"/>
                <w:sz w:val="17"/>
              </w:rPr>
              <w:t>Operations / Source Onboarding</w:t>
            </w:r>
          </w:p>
        </w:tc>
      </w:tr>
      <w:tr>
        <w:tc>
          <w:tcPr>
            <w:tcW w:type="dxa" w:w="3024"/>
          </w:tcPr>
          <w:p>
            <w:r>
              <w:rPr>
                <w:rFonts w:ascii="Noto Sans" w:hAnsi="Noto Sans" w:eastAsia="Noto Sans"/>
                <w:sz w:val="17"/>
              </w:rPr>
              <w:t>Extraction Profile runtime</w:t>
            </w:r>
          </w:p>
        </w:tc>
        <w:tc>
          <w:tcPr>
            <w:tcW w:type="dxa" w:w="3024"/>
          </w:tcPr>
          <w:p>
            <w:r>
              <w:rPr>
                <w:rFonts w:ascii="Noto Sans" w:hAnsi="Noto Sans" w:eastAsia="Noto Sans"/>
                <w:sz w:val="17"/>
              </w:rPr>
              <w:t>Definisce query template, stati sorgente compilati, field projection/allowlist, paging e strategia incrementale da applicare al PULL.</w:t>
            </w:r>
          </w:p>
        </w:tc>
        <w:tc>
          <w:tcPr>
            <w:tcW w:type="dxa" w:w="3024"/>
          </w:tcPr>
          <w:p>
            <w:r>
              <w:rPr>
                <w:rFonts w:ascii="Noto Sans" w:hAnsi="Noto Sans" w:eastAsia="Noto Sans"/>
                <w:sz w:val="17"/>
              </w:rPr>
              <w:t>Source Onboarding / Source Configuration; Gateway ne applica solo la vista runtime</w:t>
            </w:r>
          </w:p>
        </w:tc>
      </w:tr>
    </w:tbl>
    <w:p>
      <w:pPr>
        <w:pStyle w:val="Heading2"/>
        <w:keepNext/>
        <w:spacing w:before="160"/>
      </w:pPr>
      <w:r>
        <w:rPr>
          <w:rFonts w:ascii="Noto Sans" w:hAnsi="Noto Sans" w:eastAsia="Noto Sans"/>
        </w:rPr>
        <w:t>25.2 Regole di sincronizzazione</w:t>
      </w:r>
    </w:p>
    <w:p>
      <w:pPr>
        <w:pStyle w:val="ListBullet"/>
        <w:spacing w:after="40"/>
      </w:pPr>
      <w:r>
        <w:rPr>
          <w:rFonts w:ascii="Noto Sans" w:hAnsi="Noto Sans" w:eastAsia="Noto Sans"/>
        </w:rPr>
        <w:t>Le modifiche a Source Manifest, Extraction Profile e Route Binding sono versionate e promosse per ambiente dal control plane.</w:t>
      </w:r>
    </w:p>
    <w:p>
      <w:pPr>
        <w:pStyle w:val="ListBullet"/>
        <w:spacing w:after="40"/>
      </w:pPr>
      <w:r>
        <w:rPr>
          <w:rFonts w:ascii="Noto Sans" w:hAnsi="Noto Sans" w:eastAsia="Noto Sans"/>
        </w:rPr>
        <w:t>Il Gateway consuma artefatti approvati; non modifica autonomamente Source Onboarding, classificazioni, field allowlist o mapping semantici.</w:t>
      </w:r>
    </w:p>
    <w:p>
      <w:pPr>
        <w:pStyle w:val="ListBullet"/>
        <w:spacing w:after="40"/>
      </w:pPr>
      <w:r>
        <w:rPr>
          <w:rFonts w:ascii="Noto Sans" w:hAnsi="Noto Sans" w:eastAsia="Noto Sans"/>
        </w:rPr>
        <w:t>Una route PULL non può diventare attiva se sourceId, extractionProfileId/version, endpoint/backend binding o credential reference richiesti non sono risolvibili.</w:t>
      </w:r>
    </w:p>
    <w:p>
      <w:pPr>
        <w:pStyle w:val="ListBullet"/>
        <w:spacing w:after="40"/>
      </w:pPr>
      <w:r>
        <w:rPr>
          <w:rFonts w:ascii="Noto Sans" w:hAnsi="Noto Sans" w:eastAsia="Noto Sans"/>
        </w:rPr>
        <w:t>La disabilitazione di una sorgente deve poter disabilitare in modo controllato i relativi binding senza cancellare la configurazione storica.</w:t>
      </w:r>
    </w:p>
    <w:p>
      <w:pPr>
        <w:pStyle w:val="ListBullet"/>
        <w:spacing w:after="40"/>
      </w:pPr>
      <w:r>
        <w:rPr>
          <w:rFonts w:ascii="Noto Sans" w:hAnsi="Noto Sans" w:eastAsia="Noto Sans"/>
        </w:rPr>
        <w:t>Credenziali e secret sono referenziati, non copiati nel manifest.</w:t>
      </w:r>
    </w:p>
    <w:p>
      <w:pPr>
        <w:pStyle w:val="Heading2"/>
        <w:keepNext/>
        <w:spacing w:before="160"/>
      </w:pPr>
      <w:r>
        <w:rPr>
          <w:rFonts w:ascii="Noto Sans" w:hAnsi="Noto Sans" w:eastAsia="Noto Sans"/>
        </w:rPr>
        <w:t>25.3 Esempio di route binding</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routeId: ingest.suap.activities</w:t>
              <w:br/>
              <w:t>capabilityId: source.suap.activities.ingest</w:t>
              <w:br/>
              <w:t>sourceId: suap-prod</w:t>
              <w:br/>
              <w:t>dataset: economic-activities</w:t>
              <w:br/>
              <w:t>direction: northbound</w:t>
              <w:br/>
              <w:t>requestContract:</w:t>
              <w:br/>
              <w:t xml:space="preserve">  mediaType: application/json</w:t>
              <w:br/>
              <w:t xml:space="preserve">  schema: suap.api.economic-activity</w:t>
              <w:br/>
              <w:t xml:space="preserve">  version: 3.2</w:t>
              <w:br/>
              <w:t>backendBinding:</w:t>
              <w:br/>
              <w:t xml:space="preserve">  service: connector-framework</w:t>
              <w:br/>
              <w:t xml:space="preserve">  operation: ingest</w:t>
              <w:br/>
              <w:t xml:space="preserve">  timeout: 10s</w:t>
              <w:br/>
              <w:t>processingProfile:</w:t>
              <w:br/>
              <w:t xml:space="preserve">  adapter: suap-v1</w:t>
              <w:br/>
              <w:t xml:space="preserve">  etlPipeline: suap-activities-v1</w:t>
              <w:br/>
              <w:t xml:space="preserve">  semanticProfile: economic-activity-v1</w:t>
              <w:br/>
              <w:t xml:space="preserve">  targetDataProduct: urban-economic-activities</w:t>
            </w:r>
          </w:p>
        </w:tc>
      </w:tr>
    </w:tbl>
    <w:p>
      <w:pPr>
        <w:pStyle w:val="Heading1"/>
        <w:keepNext/>
        <w:spacing w:before="160"/>
      </w:pPr>
      <w:r>
        <w:rPr>
          <w:rFonts w:ascii="Noto Sans" w:hAnsi="Noto Sans" w:eastAsia="Noto Sans"/>
        </w:rPr>
        <w:t>26. Integrazione con Adapter / Connector Framework</w:t>
      </w:r>
    </w:p>
    <w:p>
      <w:pPr>
        <w:pStyle w:val="BodyText"/>
        <w:widowControl/>
        <w:spacing w:after="80"/>
      </w:pPr>
      <w:r>
        <w:rPr>
          <w:rFonts w:ascii="Noto Sans" w:hAnsi="Noto Sans" w:eastAsia="Noto Sans"/>
        </w:rPr>
        <w:t>Il Connector Framework costituisce il primo backend logico del Gateway per le capability di ingestion e per le integrazioni che richiedono adattamento di protocollo. Il Gateway termina il confine di sicurezza e consegna al Connector il payload sorgente nativo, già autenticato, autorizzato e ammesso dal contratto tecnico di bordo. Il Connector esegue il parsing/adattamento necessario e costruisce l’OUF Canonical Data Envelope prima dell’handoff verso ETL / Ingestion.</w:t>
      </w:r>
    </w:p>
    <w:p>
      <w:pPr>
        <w:pStyle w:val="Heading2"/>
        <w:keepNext/>
        <w:spacing w:before="160"/>
      </w:pPr>
      <w:r>
        <w:rPr>
          <w:rFonts w:ascii="Noto Sans" w:hAnsi="Noto Sans" w:eastAsia="Noto Sans"/>
        </w:rPr>
        <w:t>26.1 Handoff Gateway → Connector</w:t>
      </w:r>
    </w:p>
    <w:tbl>
      <w:tblPr>
        <w:tblStyle w:val="TableGrid"/>
        <w:tblW w:type="auto" w:w="0"/>
        <w:jc w:val="center"/>
        <w:tblLook w:firstColumn="1" w:firstRow="1" w:lastColumn="0" w:lastRow="0" w:noHBand="0" w:noVBand="1" w:val="04A0"/>
      </w:tblPr>
      <w:tblGrid>
        <w:gridCol w:w="3024"/>
        <w:gridCol w:w="3024"/>
        <w:gridCol w:w="3024"/>
      </w:tblGrid>
      <w:tr>
        <w:trPr>
          <w:tblHeader w:val="true"/>
          <w:tblHeader w:val="true"/>
          <w:cantSplit/>
        </w:trPr>
        <w:tc>
          <w:tcPr>
            <w:tcW w:type="dxa" w:w="2721"/>
            <w:shd w:fill="0B4F6C"/>
            <w:tcMar>
              <w:top w:w="70" w:type="dxa"/>
              <w:start w:w="90" w:type="dxa"/>
              <w:bottom w:w="70" w:type="dxa"/>
              <w:end w:w="90" w:type="dxa"/>
            </w:tcMar>
          </w:tcPr>
          <w:p>
            <w:r>
              <w:rPr>
                <w:rFonts w:ascii="Noto Sans" w:hAnsi="Noto Sans" w:eastAsia="Noto Sans"/>
                <w:sz w:val="17"/>
              </w:rPr>
              <w:t>Campo</w:t>
            </w:r>
          </w:p>
        </w:tc>
        <w:tc>
          <w:tcPr>
            <w:tcW w:type="dxa" w:w="1134"/>
            <w:shd w:fill="0B4F6C"/>
            <w:tcMar>
              <w:top w:w="70" w:type="dxa"/>
              <w:start w:w="90" w:type="dxa"/>
              <w:bottom w:w="70" w:type="dxa"/>
              <w:end w:w="90" w:type="dxa"/>
            </w:tcMar>
          </w:tcPr>
          <w:p>
            <w:r>
              <w:rPr>
                <w:rFonts w:ascii="Noto Sans" w:hAnsi="Noto Sans" w:eastAsia="Noto Sans"/>
                <w:sz w:val="17"/>
              </w:rPr>
              <w:t>Obbligo</w:t>
            </w:r>
          </w:p>
        </w:tc>
        <w:tc>
          <w:tcPr>
            <w:tcW w:type="dxa" w:w="6917"/>
            <w:shd w:fill="0B4F6C"/>
            <w:tcMar>
              <w:top w:w="70" w:type="dxa"/>
              <w:start w:w="90" w:type="dxa"/>
              <w:bottom w:w="70" w:type="dxa"/>
              <w:end w:w="90" w:type="dxa"/>
            </w:tcMar>
          </w:tcPr>
          <w:p>
            <w:r>
              <w:rPr>
                <w:rFonts w:ascii="Noto Sans" w:hAnsi="Noto Sans" w:eastAsia="Noto Sans"/>
                <w:sz w:val="17"/>
              </w:rPr>
              <w:t>Descrizione</w:t>
            </w:r>
          </w:p>
        </w:tc>
      </w:tr>
      <w:tr>
        <w:trPr>
          <w:cantSplit/>
        </w:trPr>
        <w:tc>
          <w:tcPr>
            <w:tcW w:type="dxa" w:w="2721"/>
            <w:vAlign w:val="top"/>
            <w:tcMar>
              <w:top w:w="70" w:type="dxa"/>
              <w:start w:w="90" w:type="dxa"/>
              <w:bottom w:w="70" w:type="dxa"/>
              <w:end w:w="90" w:type="dxa"/>
            </w:tcMar>
          </w:tcPr>
          <w:p>
            <w:r>
              <w:rPr>
                <w:rFonts w:ascii="Noto Sans" w:hAnsi="Noto Sans" w:eastAsia="Noto Sans"/>
                <w:sz w:val="17"/>
              </w:rPr>
              <w:t>ingestionId</w:t>
            </w:r>
          </w:p>
        </w:tc>
        <w:tc>
          <w:tcPr>
            <w:tcW w:type="dxa" w:w="1134"/>
            <w:vAlign w:val="top"/>
            <w:tcMar>
              <w:top w:w="70" w:type="dxa"/>
              <w:start w:w="90" w:type="dxa"/>
              <w:bottom w:w="70" w:type="dxa"/>
              <w:end w:w="90" w:type="dxa"/>
            </w:tcMar>
          </w:tcPr>
          <w:p>
            <w:r>
              <w:rPr>
                <w:rFonts w:ascii="Noto Sans" w:hAnsi="Noto Sans" w:eastAsia="Noto Sans"/>
                <w:sz w:val="17"/>
              </w:rPr>
              <w:t>Sì</w:t>
            </w:r>
          </w:p>
        </w:tc>
        <w:tc>
          <w:tcPr>
            <w:tcW w:type="dxa" w:w="6917"/>
            <w:vAlign w:val="top"/>
            <w:tcMar>
              <w:top w:w="70" w:type="dxa"/>
              <w:start w:w="90" w:type="dxa"/>
              <w:bottom w:w="70" w:type="dxa"/>
              <w:end w:w="90" w:type="dxa"/>
            </w:tcMar>
          </w:tcPr>
          <w:p>
            <w:r>
              <w:rPr>
                <w:rFonts w:ascii="Noto Sans" w:hAnsi="Noto Sans" w:eastAsia="Noto Sans"/>
                <w:sz w:val="17"/>
              </w:rPr>
              <w:t>Identificativo dell’operazione di ingestion.</w:t>
            </w:r>
          </w:p>
        </w:tc>
      </w:tr>
      <w:tr>
        <w:trPr>
          <w:cantSplit/>
        </w:trPr>
        <w:tc>
          <w:tcPr>
            <w:tcW w:type="dxa" w:w="2721"/>
            <w:shd w:fill="F3F4F6"/>
            <w:vAlign w:val="top"/>
            <w:tcMar>
              <w:top w:w="70" w:type="dxa"/>
              <w:start w:w="90" w:type="dxa"/>
              <w:bottom w:w="70" w:type="dxa"/>
              <w:end w:w="90" w:type="dxa"/>
            </w:tcMar>
          </w:tcPr>
          <w:p>
            <w:r>
              <w:rPr>
                <w:rFonts w:ascii="Noto Sans" w:hAnsi="Noto Sans" w:eastAsia="Noto Sans"/>
                <w:sz w:val="17"/>
              </w:rPr>
              <w:t>correlationId</w:t>
            </w:r>
          </w:p>
        </w:tc>
        <w:tc>
          <w:tcPr>
            <w:tcW w:type="dxa" w:w="1134"/>
            <w:shd w:fill="F3F4F6"/>
            <w:vAlign w:val="top"/>
            <w:tcMar>
              <w:top w:w="70" w:type="dxa"/>
              <w:start w:w="90" w:type="dxa"/>
              <w:bottom w:w="70" w:type="dxa"/>
              <w:end w:w="90" w:type="dxa"/>
            </w:tcMar>
          </w:tcPr>
          <w:p>
            <w:r>
              <w:rPr>
                <w:rFonts w:ascii="Noto Sans" w:hAnsi="Noto Sans" w:eastAsia="Noto Sans"/>
                <w:sz w:val="17"/>
              </w:rPr>
              <w:t>Sì</w:t>
            </w:r>
          </w:p>
        </w:tc>
        <w:tc>
          <w:tcPr>
            <w:tcW w:type="dxa" w:w="6917"/>
            <w:shd w:fill="F3F4F6"/>
            <w:vAlign w:val="top"/>
            <w:tcMar>
              <w:top w:w="70" w:type="dxa"/>
              <w:start w:w="90" w:type="dxa"/>
              <w:bottom w:w="70" w:type="dxa"/>
              <w:end w:w="90" w:type="dxa"/>
            </w:tcMar>
          </w:tcPr>
          <w:p>
            <w:r>
              <w:rPr>
                <w:rFonts w:ascii="Noto Sans" w:hAnsi="Noto Sans" w:eastAsia="Noto Sans"/>
                <w:sz w:val="17"/>
              </w:rPr>
              <w:t>Identificativo end-to-end propagato in tutta la pipeline.</w:t>
            </w:r>
          </w:p>
        </w:tc>
      </w:tr>
      <w:tr>
        <w:trPr>
          <w:cantSplit/>
        </w:trPr>
        <w:tc>
          <w:tcPr>
            <w:tcW w:type="dxa" w:w="2721"/>
            <w:vAlign w:val="top"/>
            <w:tcMar>
              <w:top w:w="70" w:type="dxa"/>
              <w:start w:w="90" w:type="dxa"/>
              <w:bottom w:w="70" w:type="dxa"/>
              <w:end w:w="90" w:type="dxa"/>
            </w:tcMar>
          </w:tcPr>
          <w:p>
            <w:r>
              <w:rPr>
                <w:rFonts w:ascii="Noto Sans" w:hAnsi="Noto Sans" w:eastAsia="Noto Sans"/>
                <w:sz w:val="17"/>
              </w:rPr>
              <w:t>sourceId</w:t>
            </w:r>
          </w:p>
        </w:tc>
        <w:tc>
          <w:tcPr>
            <w:tcW w:type="dxa" w:w="1134"/>
            <w:vAlign w:val="top"/>
            <w:tcMar>
              <w:top w:w="70" w:type="dxa"/>
              <w:start w:w="90" w:type="dxa"/>
              <w:bottom w:w="70" w:type="dxa"/>
              <w:end w:w="90" w:type="dxa"/>
            </w:tcMar>
          </w:tcPr>
          <w:p>
            <w:r>
              <w:rPr>
                <w:rFonts w:ascii="Noto Sans" w:hAnsi="Noto Sans" w:eastAsia="Noto Sans"/>
                <w:sz w:val="17"/>
              </w:rPr>
              <w:t>Sì</w:t>
            </w:r>
          </w:p>
        </w:tc>
        <w:tc>
          <w:tcPr>
            <w:tcW w:type="dxa" w:w="6917"/>
            <w:vAlign w:val="top"/>
            <w:tcMar>
              <w:top w:w="70" w:type="dxa"/>
              <w:start w:w="90" w:type="dxa"/>
              <w:bottom w:w="70" w:type="dxa"/>
              <w:end w:w="90" w:type="dxa"/>
            </w:tcMar>
          </w:tcPr>
          <w:p>
            <w:r>
              <w:rPr>
                <w:rFonts w:ascii="Noto Sans" w:hAnsi="Noto Sans" w:eastAsia="Noto Sans"/>
                <w:sz w:val="17"/>
              </w:rPr>
              <w:t>Sorgente configurata e autorizzata.</w:t>
            </w:r>
          </w:p>
        </w:tc>
      </w:tr>
      <w:tr>
        <w:trPr>
          <w:cantSplit/>
        </w:trPr>
        <w:tc>
          <w:tcPr>
            <w:tcW w:type="dxa" w:w="2721"/>
            <w:shd w:fill="F3F4F6"/>
            <w:vAlign w:val="top"/>
            <w:tcMar>
              <w:top w:w="70" w:type="dxa"/>
              <w:start w:w="90" w:type="dxa"/>
              <w:bottom w:w="70" w:type="dxa"/>
              <w:end w:w="90" w:type="dxa"/>
            </w:tcMar>
          </w:tcPr>
          <w:p>
            <w:r>
              <w:rPr>
                <w:rFonts w:ascii="Noto Sans" w:hAnsi="Noto Sans" w:eastAsia="Noto Sans"/>
                <w:sz w:val="17"/>
              </w:rPr>
              <w:t>dataset</w:t>
            </w:r>
          </w:p>
        </w:tc>
        <w:tc>
          <w:tcPr>
            <w:tcW w:type="dxa" w:w="1134"/>
            <w:shd w:fill="F3F4F6"/>
            <w:vAlign w:val="top"/>
            <w:tcMar>
              <w:top w:w="70" w:type="dxa"/>
              <w:start w:w="90" w:type="dxa"/>
              <w:bottom w:w="70" w:type="dxa"/>
              <w:end w:w="90" w:type="dxa"/>
            </w:tcMar>
          </w:tcPr>
          <w:p>
            <w:r>
              <w:rPr>
                <w:rFonts w:ascii="Noto Sans" w:hAnsi="Noto Sans" w:eastAsia="Noto Sans"/>
                <w:sz w:val="17"/>
              </w:rPr>
              <w:t>Sì</w:t>
            </w:r>
          </w:p>
        </w:tc>
        <w:tc>
          <w:tcPr>
            <w:tcW w:type="dxa" w:w="6917"/>
            <w:shd w:fill="F3F4F6"/>
            <w:vAlign w:val="top"/>
            <w:tcMar>
              <w:top w:w="70" w:type="dxa"/>
              <w:start w:w="90" w:type="dxa"/>
              <w:bottom w:w="70" w:type="dxa"/>
              <w:end w:w="90" w:type="dxa"/>
            </w:tcMar>
          </w:tcPr>
          <w:p>
            <w:r>
              <w:rPr>
                <w:rFonts w:ascii="Noto Sans" w:hAnsi="Noto Sans" w:eastAsia="Noto Sans"/>
                <w:sz w:val="17"/>
              </w:rPr>
              <w:t>Dataset logico associato alla route.</w:t>
            </w:r>
          </w:p>
        </w:tc>
      </w:tr>
      <w:tr>
        <w:trPr>
          <w:cantSplit/>
        </w:trPr>
        <w:tc>
          <w:tcPr>
            <w:tcW w:type="dxa" w:w="2721"/>
            <w:vAlign w:val="top"/>
            <w:tcMar>
              <w:top w:w="70" w:type="dxa"/>
              <w:start w:w="90" w:type="dxa"/>
              <w:bottom w:w="70" w:type="dxa"/>
              <w:end w:w="90" w:type="dxa"/>
            </w:tcMar>
          </w:tcPr>
          <w:p>
            <w:r>
              <w:rPr>
                <w:rFonts w:ascii="Noto Sans" w:hAnsi="Noto Sans" w:eastAsia="Noto Sans"/>
                <w:sz w:val="17"/>
              </w:rPr>
              <w:t>capabilityId</w:t>
            </w:r>
          </w:p>
        </w:tc>
        <w:tc>
          <w:tcPr>
            <w:tcW w:type="dxa" w:w="1134"/>
            <w:vAlign w:val="top"/>
            <w:tcMar>
              <w:top w:w="70" w:type="dxa"/>
              <w:start w:w="90" w:type="dxa"/>
              <w:bottom w:w="70" w:type="dxa"/>
              <w:end w:w="90" w:type="dxa"/>
            </w:tcMar>
          </w:tcPr>
          <w:p>
            <w:r>
              <w:rPr>
                <w:rFonts w:ascii="Noto Sans" w:hAnsi="Noto Sans" w:eastAsia="Noto Sans"/>
                <w:sz w:val="17"/>
              </w:rPr>
              <w:t>Sì</w:t>
            </w:r>
          </w:p>
        </w:tc>
        <w:tc>
          <w:tcPr>
            <w:tcW w:type="dxa" w:w="6917"/>
            <w:vAlign w:val="top"/>
            <w:tcMar>
              <w:top w:w="70" w:type="dxa"/>
              <w:start w:w="90" w:type="dxa"/>
              <w:bottom w:w="70" w:type="dxa"/>
              <w:end w:w="90" w:type="dxa"/>
            </w:tcMar>
          </w:tcPr>
          <w:p>
            <w:r>
              <w:rPr>
                <w:rFonts w:ascii="Noto Sans" w:hAnsi="Noto Sans" w:eastAsia="Noto Sans"/>
                <w:sz w:val="17"/>
              </w:rPr>
              <w:t>Capability interna che ha autorizzato il binding.</w:t>
            </w:r>
          </w:p>
        </w:tc>
      </w:tr>
      <w:tr>
        <w:trPr>
          <w:cantSplit/>
        </w:trPr>
        <w:tc>
          <w:tcPr>
            <w:tcW w:type="dxa" w:w="2721"/>
            <w:shd w:fill="F3F4F6"/>
            <w:vAlign w:val="top"/>
            <w:tcMar>
              <w:top w:w="70" w:type="dxa"/>
              <w:start w:w="90" w:type="dxa"/>
              <w:bottom w:w="70" w:type="dxa"/>
              <w:end w:w="90" w:type="dxa"/>
            </w:tcMar>
          </w:tcPr>
          <w:p>
            <w:r>
              <w:rPr>
                <w:rFonts w:ascii="Noto Sans" w:hAnsi="Noto Sans" w:eastAsia="Noto Sans"/>
                <w:sz w:val="17"/>
              </w:rPr>
              <w:t>operation</w:t>
            </w:r>
          </w:p>
        </w:tc>
        <w:tc>
          <w:tcPr>
            <w:tcW w:type="dxa" w:w="1134"/>
            <w:shd w:fill="F3F4F6"/>
            <w:vAlign w:val="top"/>
            <w:tcMar>
              <w:top w:w="70" w:type="dxa"/>
              <w:start w:w="90" w:type="dxa"/>
              <w:bottom w:w="70" w:type="dxa"/>
              <w:end w:w="90" w:type="dxa"/>
            </w:tcMar>
          </w:tcPr>
          <w:p>
            <w:r>
              <w:rPr>
                <w:rFonts w:ascii="Noto Sans" w:hAnsi="Noto Sans" w:eastAsia="Noto Sans"/>
                <w:sz w:val="17"/>
              </w:rPr>
              <w:t>Sì</w:t>
            </w:r>
          </w:p>
        </w:tc>
        <w:tc>
          <w:tcPr>
            <w:tcW w:type="dxa" w:w="6917"/>
            <w:shd w:fill="F3F4F6"/>
            <w:vAlign w:val="top"/>
            <w:tcMar>
              <w:top w:w="70" w:type="dxa"/>
              <w:start w:w="90" w:type="dxa"/>
              <w:bottom w:w="70" w:type="dxa"/>
              <w:end w:w="90" w:type="dxa"/>
            </w:tcMar>
          </w:tcPr>
          <w:p>
            <w:r>
              <w:rPr>
                <w:rFonts w:ascii="Noto Sans" w:hAnsi="Noto Sans" w:eastAsia="Noto Sans"/>
                <w:sz w:val="17"/>
              </w:rPr>
              <w:t>SNAPSHOT, UPSERT, DELETE/TOMBSTONE o operazione specifica ammessa.</w:t>
            </w:r>
          </w:p>
        </w:tc>
      </w:tr>
      <w:tr>
        <w:trPr>
          <w:cantSplit/>
        </w:trPr>
        <w:tc>
          <w:tcPr>
            <w:tcW w:type="dxa" w:w="2721"/>
            <w:vAlign w:val="top"/>
            <w:tcMar>
              <w:top w:w="70" w:type="dxa"/>
              <w:start w:w="90" w:type="dxa"/>
              <w:bottom w:w="70" w:type="dxa"/>
              <w:end w:w="90" w:type="dxa"/>
            </w:tcMar>
          </w:tcPr>
          <w:p>
            <w:r>
              <w:rPr>
                <w:rFonts w:ascii="Noto Sans" w:hAnsi="Noto Sans" w:eastAsia="Noto Sans"/>
                <w:sz w:val="17"/>
              </w:rPr>
              <w:t>contentType</w:t>
            </w:r>
          </w:p>
        </w:tc>
        <w:tc>
          <w:tcPr>
            <w:tcW w:type="dxa" w:w="1134"/>
            <w:vAlign w:val="top"/>
            <w:tcMar>
              <w:top w:w="70" w:type="dxa"/>
              <w:start w:w="90" w:type="dxa"/>
              <w:bottom w:w="70" w:type="dxa"/>
              <w:end w:w="90" w:type="dxa"/>
            </w:tcMar>
          </w:tcPr>
          <w:p>
            <w:r>
              <w:rPr>
                <w:rFonts w:ascii="Noto Sans" w:hAnsi="Noto Sans" w:eastAsia="Noto Sans"/>
                <w:sz w:val="17"/>
              </w:rPr>
              <w:t>Sì</w:t>
            </w:r>
          </w:p>
        </w:tc>
        <w:tc>
          <w:tcPr>
            <w:tcW w:type="dxa" w:w="6917"/>
            <w:vAlign w:val="top"/>
            <w:tcMar>
              <w:top w:w="70" w:type="dxa"/>
              <w:start w:w="90" w:type="dxa"/>
              <w:bottom w:w="70" w:type="dxa"/>
              <w:end w:w="90" w:type="dxa"/>
            </w:tcMar>
          </w:tcPr>
          <w:p>
            <w:r>
              <w:rPr>
                <w:rFonts w:ascii="Noto Sans" w:hAnsi="Noto Sans" w:eastAsia="Noto Sans"/>
                <w:sz w:val="17"/>
              </w:rPr>
              <w:t>Formato ricevuto al bordo.</w:t>
            </w:r>
          </w:p>
        </w:tc>
      </w:tr>
      <w:tr>
        <w:trPr>
          <w:cantSplit/>
        </w:trPr>
        <w:tc>
          <w:tcPr>
            <w:tcW w:type="dxa" w:w="2721"/>
            <w:shd w:fill="F3F4F6"/>
            <w:vAlign w:val="top"/>
            <w:tcMar>
              <w:top w:w="70" w:type="dxa"/>
              <w:start w:w="90" w:type="dxa"/>
              <w:bottom w:w="70" w:type="dxa"/>
              <w:end w:w="90" w:type="dxa"/>
            </w:tcMar>
          </w:tcPr>
          <w:p>
            <w:r>
              <w:rPr>
                <w:rFonts w:ascii="Noto Sans" w:hAnsi="Noto Sans" w:eastAsia="Noto Sans"/>
                <w:sz w:val="17"/>
              </w:rPr>
              <w:t>sourceSchemaName/sourceSchemaVersion</w:t>
            </w:r>
          </w:p>
        </w:tc>
        <w:tc>
          <w:tcPr>
            <w:tcW w:type="dxa" w:w="1134"/>
            <w:shd w:fill="F3F4F6"/>
            <w:vAlign w:val="top"/>
            <w:tcMar>
              <w:top w:w="70" w:type="dxa"/>
              <w:start w:w="90" w:type="dxa"/>
              <w:bottom w:w="70" w:type="dxa"/>
              <w:end w:w="90" w:type="dxa"/>
            </w:tcMar>
          </w:tcPr>
          <w:p>
            <w:r>
              <w:rPr>
                <w:rFonts w:ascii="Noto Sans" w:hAnsi="Noto Sans" w:eastAsia="Noto Sans"/>
                <w:sz w:val="17"/>
              </w:rPr>
              <w:t>Sì</w:t>
            </w:r>
          </w:p>
        </w:tc>
        <w:tc>
          <w:tcPr>
            <w:tcW w:type="dxa" w:w="6917"/>
            <w:shd w:fill="F3F4F6"/>
            <w:vAlign w:val="top"/>
            <w:tcMar>
              <w:top w:w="70" w:type="dxa"/>
              <w:start w:w="90" w:type="dxa"/>
              <w:bottom w:w="70" w:type="dxa"/>
              <w:end w:w="90" w:type="dxa"/>
            </w:tcMar>
          </w:tcPr>
          <w:p>
            <w:r>
              <w:rPr>
                <w:rFonts w:ascii="Noto Sans" w:hAnsi="Noto Sans" w:eastAsia="Noto Sans"/>
                <w:sz w:val="17"/>
              </w:rPr>
              <w:t>Contratto/schema del formato sorgente dichiarato o risolto dal Source Runtime Profile.</w:t>
            </w:r>
          </w:p>
        </w:tc>
      </w:tr>
      <w:tr>
        <w:trPr>
          <w:cantSplit/>
        </w:trPr>
        <w:tc>
          <w:tcPr>
            <w:tcW w:type="dxa" w:w="2721"/>
            <w:vAlign w:val="top"/>
            <w:tcMar>
              <w:top w:w="70" w:type="dxa"/>
              <w:start w:w="90" w:type="dxa"/>
              <w:bottom w:w="70" w:type="dxa"/>
              <w:end w:w="90" w:type="dxa"/>
            </w:tcMar>
          </w:tcPr>
          <w:p>
            <w:r>
              <w:rPr>
                <w:rFonts w:ascii="Noto Sans" w:hAnsi="Noto Sans" w:eastAsia="Noto Sans"/>
                <w:sz w:val="17"/>
              </w:rPr>
              <w:t>extractionProfileId/version</w:t>
            </w:r>
          </w:p>
        </w:tc>
        <w:tc>
          <w:tcPr>
            <w:tcW w:type="dxa" w:w="1134"/>
            <w:vAlign w:val="top"/>
            <w:tcMar>
              <w:top w:w="70" w:type="dxa"/>
              <w:start w:w="90" w:type="dxa"/>
              <w:bottom w:w="70" w:type="dxa"/>
              <w:end w:w="90" w:type="dxa"/>
            </w:tcMar>
          </w:tcPr>
          <w:p>
            <w:r>
              <w:rPr>
                <w:rFonts w:ascii="Noto Sans" w:hAnsi="Noto Sans" w:eastAsia="Noto Sans"/>
                <w:sz w:val="17"/>
              </w:rPr>
              <w:t>Sì</w:t>
            </w:r>
          </w:p>
        </w:tc>
        <w:tc>
          <w:tcPr>
            <w:tcW w:type="dxa" w:w="6917"/>
            <w:vAlign w:val="top"/>
            <w:tcMar>
              <w:top w:w="70" w:type="dxa"/>
              <w:start w:w="90" w:type="dxa"/>
              <w:bottom w:w="70" w:type="dxa"/>
              <w:end w:w="90" w:type="dxa"/>
            </w:tcMar>
          </w:tcPr>
          <w:p>
            <w:r>
              <w:rPr>
                <w:rFonts w:ascii="Noto Sans" w:hAnsi="Noto Sans" w:eastAsia="Noto Sans"/>
                <w:sz w:val="17"/>
              </w:rPr>
              <w:t>Profilo runtime approvato che vincola filtri, field projection, paging e strategia incrementale; il Gateway non ne interpreta la semantica.</w:t>
            </w:r>
          </w:p>
        </w:tc>
      </w:tr>
      <w:tr>
        <w:trPr>
          <w:cantSplit/>
        </w:trPr>
        <w:tc>
          <w:tcPr>
            <w:tcW w:type="dxa" w:w="2721"/>
            <w:shd w:fill="F3F4F6"/>
            <w:vAlign w:val="top"/>
            <w:tcMar>
              <w:top w:w="70" w:type="dxa"/>
              <w:start w:w="90" w:type="dxa"/>
              <w:bottom w:w="70" w:type="dxa"/>
              <w:end w:w="90" w:type="dxa"/>
            </w:tcMar>
          </w:tcPr>
          <w:p>
            <w:r>
              <w:rPr>
                <w:rFonts w:ascii="Noto Sans" w:hAnsi="Noto Sans" w:eastAsia="Noto Sans"/>
                <w:sz w:val="17"/>
              </w:rPr>
              <w:t>payload / objectReference</w:t>
            </w:r>
          </w:p>
        </w:tc>
        <w:tc>
          <w:tcPr>
            <w:tcW w:type="dxa" w:w="1134"/>
            <w:shd w:fill="F3F4F6"/>
            <w:vAlign w:val="top"/>
            <w:tcMar>
              <w:top w:w="70" w:type="dxa"/>
              <w:start w:w="90" w:type="dxa"/>
              <w:bottom w:w="70" w:type="dxa"/>
              <w:end w:w="90" w:type="dxa"/>
            </w:tcMar>
          </w:tcPr>
          <w:p>
            <w:r>
              <w:rPr>
                <w:rFonts w:ascii="Noto Sans" w:hAnsi="Noto Sans" w:eastAsia="Noto Sans"/>
                <w:sz w:val="17"/>
              </w:rPr>
              <w:t>Sì</w:t>
            </w:r>
          </w:p>
        </w:tc>
        <w:tc>
          <w:tcPr>
            <w:tcW w:type="dxa" w:w="6917"/>
            <w:shd w:fill="F3F4F6"/>
            <w:vAlign w:val="top"/>
            <w:tcMar>
              <w:top w:w="70" w:type="dxa"/>
              <w:start w:w="90" w:type="dxa"/>
              <w:bottom w:w="70" w:type="dxa"/>
              <w:end w:w="90" w:type="dxa"/>
            </w:tcMar>
          </w:tcPr>
          <w:p>
            <w:r>
              <w:rPr>
                <w:rFonts w:ascii="Noto Sans" w:hAnsi="Noto Sans" w:eastAsia="Noto Sans"/>
                <w:sz w:val="17"/>
              </w:rPr>
              <w:t>Payload sorgente nativo inline per volumi ammessi o riferimento a oggetto/file per bulk.</w:t>
            </w:r>
          </w:p>
        </w:tc>
      </w:tr>
      <w:tr>
        <w:trPr>
          <w:cantSplit/>
        </w:trPr>
        <w:tc>
          <w:tcPr>
            <w:tcW w:type="dxa" w:w="2721"/>
            <w:vAlign w:val="top"/>
            <w:tcMar>
              <w:top w:w="70" w:type="dxa"/>
              <w:start w:w="90" w:type="dxa"/>
              <w:bottom w:w="70" w:type="dxa"/>
              <w:end w:w="90" w:type="dxa"/>
            </w:tcMar>
          </w:tcPr>
          <w:p>
            <w:r>
              <w:rPr>
                <w:rFonts w:ascii="Noto Sans" w:hAnsi="Noto Sans" w:eastAsia="Noto Sans"/>
                <w:sz w:val="17"/>
              </w:rPr>
              <w:t>authenticatedPrincipal</w:t>
            </w:r>
          </w:p>
        </w:tc>
        <w:tc>
          <w:tcPr>
            <w:tcW w:type="dxa" w:w="1134"/>
            <w:vAlign w:val="top"/>
            <w:tcMar>
              <w:top w:w="70" w:type="dxa"/>
              <w:start w:w="90" w:type="dxa"/>
              <w:bottom w:w="70" w:type="dxa"/>
              <w:end w:w="90" w:type="dxa"/>
            </w:tcMar>
          </w:tcPr>
          <w:p>
            <w:r>
              <w:rPr>
                <w:rFonts w:ascii="Noto Sans" w:hAnsi="Noto Sans" w:eastAsia="Noto Sans"/>
                <w:sz w:val="17"/>
              </w:rPr>
              <w:t>Sì</w:t>
            </w:r>
          </w:p>
        </w:tc>
        <w:tc>
          <w:tcPr>
            <w:tcW w:type="dxa" w:w="6917"/>
            <w:vAlign w:val="top"/>
            <w:tcMar>
              <w:top w:w="70" w:type="dxa"/>
              <w:start w:w="90" w:type="dxa"/>
              <w:bottom w:w="70" w:type="dxa"/>
              <w:end w:w="90" w:type="dxa"/>
            </w:tcMar>
          </w:tcPr>
          <w:p>
            <w:r>
              <w:rPr>
                <w:rFonts w:ascii="Noto Sans" w:hAnsi="Noto Sans" w:eastAsia="Noto Sans"/>
                <w:sz w:val="17"/>
              </w:rPr>
              <w:t>Identità tecnica già autenticata dal Gateway.</w:t>
            </w:r>
          </w:p>
        </w:tc>
      </w:tr>
    </w:tbl>
    <w:p>
      <w:pPr>
        <w:pStyle w:val="Heading2"/>
        <w:keepNext/>
        <w:spacing w:before="160"/>
      </w:pPr>
      <w:r>
        <w:rPr>
          <w:rFonts w:ascii="Noto Sans" w:hAnsi="Noto Sans" w:eastAsia="Noto Sans"/>
        </w:rPr>
        <w:t>26.2 Responsabilità escluse dal Gateway</w:t>
      </w:r>
    </w:p>
    <w:p>
      <w:pPr>
        <w:pStyle w:val="ListBullet"/>
        <w:spacing w:after="40"/>
      </w:pPr>
      <w:r>
        <w:rPr>
          <w:rFonts w:ascii="Noto Sans" w:hAnsi="Noto Sans" w:eastAsia="Noto Sans"/>
        </w:rPr>
        <w:t>Parsing specifico dei formati applicativi sorgente e costruzione dell’OUF Canonical Data Envelope: sono responsabilità dell’Adapter / Connector Framework, non del Gateway.</w:t>
      </w:r>
    </w:p>
    <w:p>
      <w:pPr>
        <w:pStyle w:val="ListBullet"/>
        <w:spacing w:after="40"/>
      </w:pPr>
      <w:r>
        <w:rPr>
          <w:rFonts w:ascii="Noto Sans" w:hAnsi="Noto Sans" w:eastAsia="Noto Sans"/>
        </w:rPr>
        <w:t>Conversione XML→JSON, GML→GeoJSON/JSON-FG o trasformazioni equivalenti.</w:t>
      </w:r>
    </w:p>
    <w:p>
      <w:pPr>
        <w:pStyle w:val="ListBullet"/>
        <w:spacing w:after="40"/>
      </w:pPr>
      <w:r>
        <w:rPr>
          <w:rFonts w:ascii="Noto Sans" w:hAnsi="Noto Sans" w:eastAsia="Noto Sans"/>
        </w:rPr>
        <w:t>Mapping di codici sorgente e normalizzazione semantica.</w:t>
      </w:r>
    </w:p>
    <w:p>
      <w:pPr>
        <w:pStyle w:val="ListBullet"/>
        <w:spacing w:after="40"/>
      </w:pPr>
      <w:r>
        <w:rPr>
          <w:rFonts w:ascii="Noto Sans" w:hAnsi="Noto Sans" w:eastAsia="Noto Sans"/>
        </w:rPr>
        <w:t>Gestione della logica incrementale specifica del verticale.</w:t>
      </w:r>
    </w:p>
    <w:p>
      <w:pPr>
        <w:pStyle w:val="ListBullet"/>
        <w:spacing w:after="40"/>
      </w:pPr>
      <w:r>
        <w:rPr>
          <w:rFonts w:ascii="Noto Sans" w:hAnsi="Noto Sans" w:eastAsia="Noto Sans"/>
        </w:rPr>
        <w:t>Deduplicazione semantica e object resolution.</w:t>
      </w:r>
    </w:p>
    <w:p>
      <w:pPr>
        <w:pStyle w:val="ListBullet"/>
        <w:spacing w:after="40"/>
      </w:pPr>
      <w:r>
        <w:rPr>
          <w:rFonts w:ascii="Noto Sans" w:hAnsi="Noto Sans" w:eastAsia="Noto Sans"/>
        </w:rPr>
        <w:t>Persistenza nel Data Lake o nella UDP.</w:t>
      </w:r>
    </w:p>
    <w:p>
      <w:pPr>
        <w:pStyle w:val="Heading1"/>
        <w:keepNext/>
        <w:spacing w:before="160"/>
      </w:pPr>
      <w:r>
        <w:rPr>
          <w:rFonts w:ascii="Noto Sans" w:hAnsi="Noto Sans" w:eastAsia="Noto Sans"/>
        </w:rPr>
        <w:t>27. Integrazione con ETL / Ingestion</w:t>
      </w:r>
    </w:p>
    <w:p>
      <w:pPr>
        <w:pStyle w:val="BodyText"/>
        <w:widowControl/>
        <w:spacing w:after="80"/>
      </w:pPr>
      <w:r>
        <w:rPr>
          <w:rFonts w:ascii="Noto Sans" w:hAnsi="Noto Sans" w:eastAsia="Noto Sans"/>
        </w:rPr>
        <w:t>Il Gateway non invoca direttamente singoli job ETL né orchestra le fasi della pipeline. Il processingProfile risolto dalla configurazione indica al Connector/servizio di ingestion quale pipeline utilizzare. L’ETL resta proprietario di parsing, pulizia, normalizzazione, conversioni geospaziali, mapping e tracciamento di run e lineage.</w:t>
      </w:r>
    </w:p>
    <w:p>
      <w:pPr>
        <w:pStyle w:val="Heading2"/>
        <w:keepNext/>
        <w:spacing w:before="160"/>
      </w:pPr>
      <w:r>
        <w:rPr>
          <w:rFonts w:ascii="Noto Sans" w:hAnsi="Noto Sans" w:eastAsia="Noto Sans"/>
        </w:rPr>
        <w:t>27.1 Contratto logico verso ingestion</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ingestionId: ING-20260824-00123</w:t>
              <w:br/>
              <w:t>sourceId: sue-prod</w:t>
              <w:br/>
              <w:t>dataset: building-interventions</w:t>
              <w:br/>
              <w:t>capabilityId: source.sue.building_interventions.ingest</w:t>
              <w:br/>
              <w:t>correlationId: 01JXYZ...</w:t>
              <w:br/>
              <w:t>envelope:</w:t>
              <w:br/>
              <w:t xml:space="preserve">  schema: ouf.canonical-data-envelope</w:t>
              <w:br/>
              <w:t xml:space="preserve">  version: 1.0</w:t>
              <w:br/>
              <w:t>sourceObject:</w:t>
              <w:br/>
              <w:t xml:space="preserve">  type: SUE_PROC_EXAMPLE</w:t>
              <w:br/>
              <w:t xml:space="preserve">  instanceId: SUE-2026-00123</w:t>
              <w:br/>
              <w:t>sourceSchema:</w:t>
              <w:br/>
              <w:t xml:space="preserve">  name: sue.api.building-intervention</w:t>
              <w:br/>
              <w:t xml:space="preserve">  version: 1.0.0</w:t>
              <w:br/>
              <w:t>processingProfile:</w:t>
              <w:br/>
              <w:t xml:space="preserve">  adapter: sue-v1</w:t>
              <w:br/>
              <w:t xml:space="preserve">  etlPipeline: sue-building-interventions-v1</w:t>
              <w:br/>
              <w:t xml:space="preserve">  semanticProfile: urban-building-intervention-v1</w:t>
              <w:br/>
              <w:t>target:</w:t>
              <w:br/>
              <w:t xml:space="preserve">  dataProductId: urban-building-interventions</w:t>
              <w:br/>
              <w:t xml:space="preserve">  zone: normalized</w:t>
            </w:r>
          </w:p>
        </w:tc>
      </w:tr>
    </w:tbl>
    <w:p>
      <w:pPr>
        <w:pStyle w:val="Heading2"/>
        <w:keepNext/>
        <w:spacing w:before="160"/>
      </w:pPr>
      <w:r>
        <w:rPr>
          <w:rFonts w:ascii="Noto Sans" w:hAnsi="Noto Sans" w:eastAsia="Noto Sans"/>
        </w:rPr>
        <w:t>27.2 Stati dell’operazione</w:t>
      </w:r>
    </w:p>
    <w:tbl>
      <w:tblPr>
        <w:tblStyle w:val="TableGrid"/>
        <w:tblW w:type="auto" w:w="0"/>
        <w:jc w:val="center"/>
        <w:tblLook w:firstColumn="1" w:firstRow="1" w:lastColumn="0" w:lastRow="0" w:noHBand="0" w:noVBand="1" w:val="04A0"/>
      </w:tblPr>
      <w:tblGrid>
        <w:gridCol w:w="3024"/>
        <w:gridCol w:w="3024"/>
        <w:gridCol w:w="3024"/>
      </w:tblGrid>
      <w:tr>
        <w:trPr>
          <w:tblHeader w:val="true"/>
          <w:tblHeader w:val="true"/>
          <w:cantSplit/>
        </w:trPr>
        <w:tc>
          <w:tcPr>
            <w:tcW w:type="dxa" w:w="1984"/>
            <w:shd w:fill="0B4F6C"/>
            <w:tcMar>
              <w:top w:w="70" w:type="dxa"/>
              <w:start w:w="90" w:type="dxa"/>
              <w:bottom w:w="70" w:type="dxa"/>
              <w:end w:w="90" w:type="dxa"/>
            </w:tcMar>
          </w:tcPr>
          <w:p>
            <w:r>
              <w:rPr>
                <w:rFonts w:ascii="Noto Sans" w:hAnsi="Noto Sans" w:eastAsia="Noto Sans"/>
                <w:sz w:val="17"/>
              </w:rPr>
              <w:t>Stato</w:t>
            </w:r>
          </w:p>
        </w:tc>
        <w:tc>
          <w:tcPr>
            <w:tcW w:type="dxa" w:w="5669"/>
            <w:shd w:fill="0B4F6C"/>
            <w:tcMar>
              <w:top w:w="70" w:type="dxa"/>
              <w:start w:w="90" w:type="dxa"/>
              <w:bottom w:w="70" w:type="dxa"/>
              <w:end w:w="90" w:type="dxa"/>
            </w:tcMar>
          </w:tcPr>
          <w:p>
            <w:r>
              <w:rPr>
                <w:rFonts w:ascii="Noto Sans" w:hAnsi="Noto Sans" w:eastAsia="Noto Sans"/>
                <w:sz w:val="17"/>
              </w:rPr>
              <w:t>Significato</w:t>
            </w:r>
          </w:p>
        </w:tc>
        <w:tc>
          <w:tcPr>
            <w:tcW w:type="dxa" w:w="3118"/>
            <w:shd w:fill="0B4F6C"/>
            <w:tcMar>
              <w:top w:w="70" w:type="dxa"/>
              <w:start w:w="90" w:type="dxa"/>
              <w:bottom w:w="70" w:type="dxa"/>
              <w:end w:w="90" w:type="dxa"/>
            </w:tcMar>
          </w:tcPr>
          <w:p>
            <w:r>
              <w:rPr>
                <w:rFonts w:ascii="Noto Sans" w:hAnsi="Noto Sans" w:eastAsia="Noto Sans"/>
                <w:sz w:val="17"/>
              </w:rPr>
              <w:t>Visibilità Gateway</w:t>
            </w:r>
          </w:p>
        </w:tc>
      </w:tr>
      <w:tr>
        <w:trPr>
          <w:cantSplit/>
        </w:trPr>
        <w:tc>
          <w:tcPr>
            <w:tcW w:type="dxa" w:w="1984"/>
            <w:vAlign w:val="top"/>
            <w:tcMar>
              <w:top w:w="70" w:type="dxa"/>
              <w:start w:w="90" w:type="dxa"/>
              <w:bottom w:w="70" w:type="dxa"/>
              <w:end w:w="90" w:type="dxa"/>
            </w:tcMar>
          </w:tcPr>
          <w:p>
            <w:r>
              <w:rPr>
                <w:rFonts w:ascii="Noto Sans" w:hAnsi="Noto Sans" w:eastAsia="Noto Sans"/>
                <w:sz w:val="17"/>
              </w:rPr>
              <w:t>ACCEPTED</w:t>
            </w:r>
          </w:p>
        </w:tc>
        <w:tc>
          <w:tcPr>
            <w:tcW w:type="dxa" w:w="5669"/>
            <w:vAlign w:val="top"/>
            <w:tcMar>
              <w:top w:w="70" w:type="dxa"/>
              <w:start w:w="90" w:type="dxa"/>
              <w:bottom w:w="70" w:type="dxa"/>
              <w:end w:w="90" w:type="dxa"/>
            </w:tcMar>
          </w:tcPr>
          <w:p>
            <w:r>
              <w:rPr>
                <w:rFonts w:ascii="Noto Sans" w:hAnsi="Noto Sans" w:eastAsia="Noto Sans"/>
                <w:sz w:val="17"/>
              </w:rPr>
              <w:t>Richiesta tecnicamente accettata dal Gateway/ingestion endpoint.</w:t>
            </w:r>
          </w:p>
        </w:tc>
        <w:tc>
          <w:tcPr>
            <w:tcW w:type="dxa" w:w="3118"/>
            <w:vAlign w:val="top"/>
            <w:tcMar>
              <w:top w:w="70" w:type="dxa"/>
              <w:start w:w="90" w:type="dxa"/>
              <w:bottom w:w="70" w:type="dxa"/>
              <w:end w:w="90" w:type="dxa"/>
            </w:tcMar>
          </w:tcPr>
          <w:p>
            <w:r>
              <w:rPr>
                <w:rFonts w:ascii="Noto Sans" w:hAnsi="Noto Sans" w:eastAsia="Noto Sans"/>
                <w:sz w:val="17"/>
              </w:rPr>
              <w:t>Sì</w:t>
            </w:r>
          </w:p>
        </w:tc>
      </w:tr>
      <w:tr>
        <w:trPr>
          <w:cantSplit/>
        </w:trPr>
        <w:tc>
          <w:tcPr>
            <w:tcW w:type="dxa" w:w="1984"/>
            <w:shd w:fill="F3F4F6"/>
            <w:vAlign w:val="top"/>
            <w:tcMar>
              <w:top w:w="70" w:type="dxa"/>
              <w:start w:w="90" w:type="dxa"/>
              <w:bottom w:w="70" w:type="dxa"/>
              <w:end w:w="90" w:type="dxa"/>
            </w:tcMar>
          </w:tcPr>
          <w:p>
            <w:r>
              <w:rPr>
                <w:rFonts w:ascii="Noto Sans" w:hAnsi="Noto Sans" w:eastAsia="Noto Sans"/>
                <w:sz w:val="17"/>
              </w:rPr>
              <w:t>RECEIVED</w:t>
            </w:r>
          </w:p>
        </w:tc>
        <w:tc>
          <w:tcPr>
            <w:tcW w:type="dxa" w:w="5669"/>
            <w:shd w:fill="F3F4F6"/>
            <w:vAlign w:val="top"/>
            <w:tcMar>
              <w:top w:w="70" w:type="dxa"/>
              <w:start w:w="90" w:type="dxa"/>
              <w:bottom w:w="70" w:type="dxa"/>
              <w:end w:w="90" w:type="dxa"/>
            </w:tcMar>
          </w:tcPr>
          <w:p>
            <w:r>
              <w:rPr>
                <w:rFonts w:ascii="Noto Sans" w:hAnsi="Noto Sans" w:eastAsia="Noto Sans"/>
                <w:sz w:val="17"/>
              </w:rPr>
              <w:t>Connector ha preso in carico il messaggio.</w:t>
            </w:r>
          </w:p>
        </w:tc>
        <w:tc>
          <w:tcPr>
            <w:tcW w:type="dxa" w:w="3118"/>
            <w:shd w:fill="F3F4F6"/>
            <w:vAlign w:val="top"/>
            <w:tcMar>
              <w:top w:w="70" w:type="dxa"/>
              <w:start w:w="90" w:type="dxa"/>
              <w:bottom w:w="70" w:type="dxa"/>
              <w:end w:w="90" w:type="dxa"/>
            </w:tcMar>
          </w:tcPr>
          <w:p>
            <w:r>
              <w:rPr>
                <w:rFonts w:ascii="Noto Sans" w:hAnsi="Noto Sans" w:eastAsia="Noto Sans"/>
                <w:sz w:val="17"/>
              </w:rPr>
              <w:t>Sì, tramite status API</w:t>
            </w:r>
          </w:p>
        </w:tc>
      </w:tr>
      <w:tr>
        <w:trPr>
          <w:cantSplit/>
        </w:trPr>
        <w:tc>
          <w:tcPr>
            <w:tcW w:type="dxa" w:w="1984"/>
            <w:vAlign w:val="top"/>
            <w:tcMar>
              <w:top w:w="70" w:type="dxa"/>
              <w:start w:w="90" w:type="dxa"/>
              <w:bottom w:w="70" w:type="dxa"/>
              <w:end w:w="90" w:type="dxa"/>
            </w:tcMar>
          </w:tcPr>
          <w:p>
            <w:r>
              <w:rPr>
                <w:rFonts w:ascii="Noto Sans" w:hAnsi="Noto Sans" w:eastAsia="Noto Sans"/>
                <w:sz w:val="17"/>
              </w:rPr>
              <w:t>PROCESSING</w:t>
            </w:r>
          </w:p>
        </w:tc>
        <w:tc>
          <w:tcPr>
            <w:tcW w:type="dxa" w:w="5669"/>
            <w:vAlign w:val="top"/>
            <w:tcMar>
              <w:top w:w="70" w:type="dxa"/>
              <w:start w:w="90" w:type="dxa"/>
              <w:bottom w:w="70" w:type="dxa"/>
              <w:end w:w="90" w:type="dxa"/>
            </w:tcMar>
          </w:tcPr>
          <w:p>
            <w:r>
              <w:rPr>
                <w:rFonts w:ascii="Noto Sans" w:hAnsi="Noto Sans" w:eastAsia="Noto Sans"/>
                <w:sz w:val="17"/>
              </w:rPr>
              <w:t>ETL in esecuzione.</w:t>
            </w:r>
          </w:p>
        </w:tc>
        <w:tc>
          <w:tcPr>
            <w:tcW w:type="dxa" w:w="3118"/>
            <w:vAlign w:val="top"/>
            <w:tcMar>
              <w:top w:w="70" w:type="dxa"/>
              <w:start w:w="90" w:type="dxa"/>
              <w:bottom w:w="70" w:type="dxa"/>
              <w:end w:w="90" w:type="dxa"/>
            </w:tcMar>
          </w:tcPr>
          <w:p>
            <w:r>
              <w:rPr>
                <w:rFonts w:ascii="Noto Sans" w:hAnsi="Noto Sans" w:eastAsia="Noto Sans"/>
                <w:sz w:val="17"/>
              </w:rPr>
              <w:t>Sì, sintetico</w:t>
            </w:r>
          </w:p>
        </w:tc>
      </w:tr>
      <w:tr>
        <w:trPr>
          <w:cantSplit/>
        </w:trPr>
        <w:tc>
          <w:tcPr>
            <w:tcW w:type="dxa" w:w="1984"/>
            <w:shd w:fill="F3F4F6"/>
            <w:vAlign w:val="top"/>
            <w:tcMar>
              <w:top w:w="70" w:type="dxa"/>
              <w:start w:w="90" w:type="dxa"/>
              <w:bottom w:w="70" w:type="dxa"/>
              <w:end w:w="90" w:type="dxa"/>
            </w:tcMar>
          </w:tcPr>
          <w:p>
            <w:r>
              <w:rPr>
                <w:rFonts w:ascii="Noto Sans" w:hAnsi="Noto Sans" w:eastAsia="Noto Sans"/>
                <w:sz w:val="17"/>
              </w:rPr>
              <w:t>QUARANTINED</w:t>
            </w:r>
          </w:p>
        </w:tc>
        <w:tc>
          <w:tcPr>
            <w:tcW w:type="dxa" w:w="5669"/>
            <w:shd w:fill="F3F4F6"/>
            <w:vAlign w:val="top"/>
            <w:tcMar>
              <w:top w:w="70" w:type="dxa"/>
              <w:start w:w="90" w:type="dxa"/>
              <w:bottom w:w="70" w:type="dxa"/>
              <w:end w:w="90" w:type="dxa"/>
            </w:tcMar>
          </w:tcPr>
          <w:p>
            <w:r>
              <w:rPr>
                <w:rFonts w:ascii="Noto Sans" w:hAnsi="Noto Sans" w:eastAsia="Noto Sans"/>
                <w:sz w:val="17"/>
              </w:rPr>
              <w:t>Dato non promuovibile per errore tecnico/semantico/qualitativo.</w:t>
            </w:r>
          </w:p>
        </w:tc>
        <w:tc>
          <w:tcPr>
            <w:tcW w:type="dxa" w:w="3118"/>
            <w:shd w:fill="F3F4F6"/>
            <w:vAlign w:val="top"/>
            <w:tcMar>
              <w:top w:w="70" w:type="dxa"/>
              <w:start w:w="90" w:type="dxa"/>
              <w:bottom w:w="70" w:type="dxa"/>
              <w:end w:w="90" w:type="dxa"/>
            </w:tcMar>
          </w:tcPr>
          <w:p>
            <w:r>
              <w:rPr>
                <w:rFonts w:ascii="Noto Sans" w:hAnsi="Noto Sans" w:eastAsia="Noto Sans"/>
                <w:sz w:val="17"/>
              </w:rPr>
              <w:t>Sì, senza dettagli sensibili nei log Gateway</w:t>
            </w:r>
          </w:p>
        </w:tc>
      </w:tr>
      <w:tr>
        <w:trPr>
          <w:cantSplit/>
        </w:trPr>
        <w:tc>
          <w:tcPr>
            <w:tcW w:type="dxa" w:w="1984"/>
            <w:vAlign w:val="top"/>
            <w:tcMar>
              <w:top w:w="70" w:type="dxa"/>
              <w:start w:w="90" w:type="dxa"/>
              <w:bottom w:w="70" w:type="dxa"/>
              <w:end w:w="90" w:type="dxa"/>
            </w:tcMar>
          </w:tcPr>
          <w:p>
            <w:r>
              <w:rPr>
                <w:rFonts w:ascii="Noto Sans" w:hAnsi="Noto Sans" w:eastAsia="Noto Sans"/>
                <w:sz w:val="17"/>
              </w:rPr>
              <w:t>COMPLETED</w:t>
            </w:r>
          </w:p>
        </w:tc>
        <w:tc>
          <w:tcPr>
            <w:tcW w:type="dxa" w:w="5669"/>
            <w:vAlign w:val="top"/>
            <w:tcMar>
              <w:top w:w="70" w:type="dxa"/>
              <w:start w:w="90" w:type="dxa"/>
              <w:bottom w:w="70" w:type="dxa"/>
              <w:end w:w="90" w:type="dxa"/>
            </w:tcMar>
          </w:tcPr>
          <w:p>
            <w:r>
              <w:rPr>
                <w:rFonts w:ascii="Noto Sans" w:hAnsi="Noto Sans" w:eastAsia="Noto Sans"/>
                <w:sz w:val="17"/>
              </w:rPr>
              <w:t>Output prodotto e consegnato alla destinazione prevista.</w:t>
            </w:r>
          </w:p>
        </w:tc>
        <w:tc>
          <w:tcPr>
            <w:tcW w:type="dxa" w:w="3118"/>
            <w:vAlign w:val="top"/>
            <w:tcMar>
              <w:top w:w="70" w:type="dxa"/>
              <w:start w:w="90" w:type="dxa"/>
              <w:bottom w:w="70" w:type="dxa"/>
              <w:end w:w="90" w:type="dxa"/>
            </w:tcMar>
          </w:tcPr>
          <w:p>
            <w:r>
              <w:rPr>
                <w:rFonts w:ascii="Noto Sans" w:hAnsi="Noto Sans" w:eastAsia="Noto Sans"/>
                <w:sz w:val="17"/>
              </w:rPr>
              <w:t>Sì</w:t>
            </w:r>
          </w:p>
        </w:tc>
      </w:tr>
      <w:tr>
        <w:trPr>
          <w:cantSplit/>
        </w:trPr>
        <w:tc>
          <w:tcPr>
            <w:tcW w:type="dxa" w:w="1984"/>
            <w:shd w:fill="F3F4F6"/>
            <w:vAlign w:val="top"/>
            <w:tcMar>
              <w:top w:w="70" w:type="dxa"/>
              <w:start w:w="90" w:type="dxa"/>
              <w:bottom w:w="70" w:type="dxa"/>
              <w:end w:w="90" w:type="dxa"/>
            </w:tcMar>
          </w:tcPr>
          <w:p>
            <w:r>
              <w:rPr>
                <w:rFonts w:ascii="Noto Sans" w:hAnsi="Noto Sans" w:eastAsia="Noto Sans"/>
                <w:sz w:val="17"/>
              </w:rPr>
              <w:t>FAILED</w:t>
            </w:r>
          </w:p>
        </w:tc>
        <w:tc>
          <w:tcPr>
            <w:tcW w:type="dxa" w:w="5669"/>
            <w:shd w:fill="F3F4F6"/>
            <w:vAlign w:val="top"/>
            <w:tcMar>
              <w:top w:w="70" w:type="dxa"/>
              <w:start w:w="90" w:type="dxa"/>
              <w:bottom w:w="70" w:type="dxa"/>
              <w:end w:w="90" w:type="dxa"/>
            </w:tcMar>
          </w:tcPr>
          <w:p>
            <w:r>
              <w:rPr>
                <w:rFonts w:ascii="Noto Sans" w:hAnsi="Noto Sans" w:eastAsia="Noto Sans"/>
                <w:sz w:val="17"/>
              </w:rPr>
              <w:t>Errore non recuperabile.</w:t>
            </w:r>
          </w:p>
        </w:tc>
        <w:tc>
          <w:tcPr>
            <w:tcW w:type="dxa" w:w="3118"/>
            <w:shd w:fill="F3F4F6"/>
            <w:vAlign w:val="top"/>
            <w:tcMar>
              <w:top w:w="70" w:type="dxa"/>
              <w:start w:w="90" w:type="dxa"/>
              <w:bottom w:w="70" w:type="dxa"/>
              <w:end w:w="90" w:type="dxa"/>
            </w:tcMar>
          </w:tcPr>
          <w:p>
            <w:r>
              <w:rPr>
                <w:rFonts w:ascii="Noto Sans" w:hAnsi="Noto Sans" w:eastAsia="Noto Sans"/>
                <w:sz w:val="17"/>
              </w:rPr>
              <w:t>Sì con codice standard</w:t>
            </w:r>
          </w:p>
        </w:tc>
      </w:tr>
    </w:tbl>
    <w:p>
      <w:pPr>
        <w:pStyle w:val="Heading2"/>
        <w:keepNext/>
        <w:spacing w:before="160"/>
      </w:pPr>
      <w:r>
        <w:rPr>
          <w:rFonts w:ascii="Noto Sans" w:hAnsi="Noto Sans" w:eastAsia="Noto Sans"/>
        </w:rPr>
        <w:t>27.3 Callback e polling di stato</w:t>
      </w:r>
    </w:p>
    <w:p>
      <w:pPr>
        <w:pStyle w:val="BodyText"/>
        <w:widowControl/>
        <w:spacing w:after="80"/>
      </w:pPr>
      <w:r>
        <w:rPr>
          <w:rFonts w:ascii="Noto Sans" w:hAnsi="Noto Sans" w:eastAsia="Noto Sans"/>
        </w:rPr>
        <w:t>Lo stato di una ingestion asincrona deve essere interrogabile tramite capability dedicata. Eventuali callback verso sistemi esterni rientrano nuovamente nel perimetro Gateway e non vengono emesse direttamente dall’ETL.</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GET /api/v1/ingestion/jobs/{ingestionId}</w:t>
              <w:br/>
              <w:br/>
              <w:t>Capability: ingestion.job.status.read</w:t>
              <w:br/>
              <w:t>Binding: REST tramite Urban API Gateway</w:t>
            </w:r>
          </w:p>
        </w:tc>
      </w:tr>
    </w:tbl>
    <w:p>
      <w:pPr>
        <w:pStyle w:val="Heading2"/>
      </w:pPr>
      <w:r>
        <w:rPr>
          <w:rFonts w:ascii="Noto Sans" w:hAnsi="Noto Sans" w:eastAsia="Noto Sans"/>
        </w:rPr>
        <w:t>27.4 Tipi sconosciuti, mapping mancanti e quarantena</w:t>
      </w:r>
    </w:p>
    <w:p>
      <w:pPr>
        <w:pStyle w:val="BodyText"/>
      </w:pPr>
      <w:r>
        <w:rPr>
          <w:rFonts w:ascii="Noto Sans" w:hAnsi="Noto Sans" w:eastAsia="Noto Sans"/>
        </w:rPr>
        <w:t>La pipeline distingue tra errore tecnico di discriminazione e assenza di mapping semantico. Il Gateway espone l'esito tramite la status API ma non tenta classificazioni euristiche.</w:t>
      </w:r>
    </w:p>
    <w:p>
      <w:pPr>
        <w:pStyle w:val="ListBullet"/>
      </w:pPr>
      <w:r>
        <w:rPr>
          <w:rFonts w:ascii="Noto Sans" w:hAnsi="Noto Sans" w:eastAsia="Noto Sans"/>
        </w:rPr>
        <w:t>UNKNOWN_SOURCE_TYPE: il tipo sorgente non è riconosciuto dal profilo tecnico prodotto dall’onboarding. Il record non viene promosso e viene segnalato al modulo Source Onboarding / Source Configuration per revisione.</w:t>
      </w:r>
    </w:p>
    <w:p>
      <w:pPr>
        <w:pStyle w:val="ListBullet"/>
      </w:pPr>
      <w:r>
        <w:rPr>
          <w:rFonts w:ascii="Noto Sans" w:hAnsi="Noto Sans" w:eastAsia="Noto Sans"/>
        </w:rPr>
        <w:t>UNMAPPED_SEMANTIC_CONCEPT: il tipo sorgente è riconosciuto, ma manca un mapping semantico approvato prodotto dall’onboarding/semantic governance. Il record è posto in quarantena semantica; il Gateway non interviene nella risoluzione.</w:t>
      </w:r>
    </w:p>
    <w:p>
      <w:pPr>
        <w:pStyle w:val="ListBullet"/>
      </w:pPr>
      <w:r>
        <w:rPr>
          <w:rFonts w:ascii="Noto Sans" w:hAnsi="Noto Sans" w:eastAsia="Noto Sans"/>
        </w:rPr>
        <w:t>SEMANTIC_MAPPING_INVALID: mapping presente ma non valido o incompatibile con lo schema/versione semantica attiva. La gestione appartiene a ETL/Semantic Model/Onboarding, non al Gateway.</w:t>
      </w:r>
    </w:p>
    <w:p>
      <w:pPr>
        <w:pStyle w:val="ListBullet"/>
      </w:pPr>
      <w:r>
        <w:rPr>
          <w:rFonts w:ascii="Noto Sans" w:hAnsi="Noto Sans" w:eastAsia="Noto Sans"/>
        </w:rPr>
        <w:t>Solo gli stati semanticamente validati possono proseguire verso la promozione UDP; l'eventuale raw landing resta responsabilità della pipeline/UDP e non del Gateway.</w:t>
      </w:r>
    </w:p>
    <w:p>
      <w:pPr>
        <w:pStyle w:val="Heading1"/>
        <w:keepNext/>
        <w:spacing w:before="160"/>
      </w:pPr>
      <w:r>
        <w:rPr>
          <w:rFonts w:ascii="Noto Sans" w:hAnsi="Noto Sans" w:eastAsia="Noto Sans"/>
        </w:rPr>
        <w:t>28. Integrazione con Urban Data Platform</w:t>
      </w:r>
    </w:p>
    <w:p>
      <w:pPr>
        <w:pStyle w:val="BodyText"/>
        <w:widowControl/>
        <w:spacing w:after="80"/>
      </w:pPr>
      <w:r>
        <w:rPr>
          <w:rFonts w:ascii="Noto Sans" w:hAnsi="Noto Sans" w:eastAsia="Noto Sans"/>
        </w:rPr>
        <w:t>La UDP costituisce il patrimonio integrato e governato e mette a disposizione persistenza, ricerca, storico, catalogo, lineage e servizi dati. Il Gateway non accede allo storage fisico della UDP: instrada soltanto verso data service e capability approvate.</w:t>
      </w:r>
    </w:p>
    <w:p>
      <w:pPr>
        <w:pStyle w:val="Heading2"/>
        <w:keepNext/>
        <w:spacing w:before="160"/>
      </w:pPr>
      <w:r>
        <w:rPr>
          <w:rFonts w:ascii="Noto Sans" w:hAnsi="Noto Sans" w:eastAsia="Noto Sans"/>
        </w:rPr>
        <w:t>28.1 Scrittura verso UDP</w:t>
      </w:r>
    </w:p>
    <w:p>
      <w:pPr>
        <w:pStyle w:val="BodyText"/>
        <w:widowControl/>
        <w:spacing w:after="80"/>
      </w:pPr>
      <w:r>
        <w:rPr>
          <w:rFonts w:ascii="Noto Sans" w:hAnsi="Noto Sans" w:eastAsia="Noto Sans"/>
        </w:rPr>
        <w:t>La scrittura nella UDP è responsabilità della pipeline ETL/ingestion o di un servizio backend dedicato. Il Gateway non effettua persistenza diretta.</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Sistema esterno</w:t>
              <w:br/>
              <w:t xml:space="preserve">   ↓</w:t>
              <w:br/>
              <w:t>API Gateway</w:t>
              <w:br/>
              <w:t xml:space="preserve">   ↓</w:t>
              <w:br/>
              <w:t>Connector / Adapter</w:t>
              <w:br/>
              <w:t xml:space="preserve">   ↓</w:t>
              <w:br/>
              <w:t>ETL / Semantic Processing</w:t>
              <w:br/>
              <w:t xml:space="preserve">   ↓</w:t>
              <w:br/>
              <w:t>UDP ingestion/data service</w:t>
              <w:br/>
              <w:t xml:space="preserve">   ↓</w:t>
              <w:br/>
              <w:t>Storage / Catalog / Registry interni alla UDP</w:t>
            </w:r>
          </w:p>
        </w:tc>
      </w:tr>
    </w:tbl>
    <w:p>
      <w:pPr>
        <w:pStyle w:val="Heading2"/>
        <w:keepNext/>
        <w:spacing w:before="160"/>
      </w:pPr>
      <w:r>
        <w:rPr>
          <w:rFonts w:ascii="Noto Sans" w:hAnsi="Noto Sans" w:eastAsia="Noto Sans"/>
        </w:rPr>
        <w:t>28.2 Lettura ed esposizione dei dati UDP</w:t>
      </w:r>
    </w:p>
    <w:p>
      <w:pPr>
        <w:pStyle w:val="BodyText"/>
        <w:widowControl/>
        <w:spacing w:after="80"/>
      </w:pPr>
      <w:r>
        <w:rPr>
          <w:rFonts w:ascii="Noto Sans" w:hAnsi="Noto Sans" w:eastAsia="Noto Sans"/>
        </w:rPr>
        <w:t>Quando un Data Product o un servizio dati UDP viene pubblicato, il percorso inverso di consumo resta governato dal Gateway. Il consumer non conosce lo storage né le porte interne della UDP.</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Consumer / futuro MCP</w:t>
              <w:br/>
              <w:t xml:space="preserve">   ↓ capabilityId</w:t>
              <w:br/>
              <w:t>API Gateway</w:t>
              <w:br/>
              <w:t xml:space="preserve">   ↓ service binding</w:t>
              <w:br/>
              <w:t>UDP Data Service</w:t>
              <w:br/>
              <w:t xml:space="preserve">   ↓</w:t>
              <w:br/>
              <w:t>Data Product / vista / query governata</w:t>
            </w:r>
          </w:p>
        </w:tc>
      </w:tr>
    </w:tbl>
    <w:p>
      <w:pPr>
        <w:pStyle w:val="Heading2"/>
        <w:keepNext/>
        <w:spacing w:before="160"/>
      </w:pPr>
      <w:r>
        <w:rPr>
          <w:rFonts w:ascii="Noto Sans" w:hAnsi="Noto Sans" w:eastAsia="Noto Sans"/>
        </w:rPr>
        <w:t>28.3 Contratto di pubblicazione di un servizio UDP</w:t>
      </w:r>
    </w:p>
    <w:tbl>
      <w:tblPr>
        <w:tblStyle w:val="TableGrid"/>
        <w:tblW w:type="auto" w:w="0"/>
        <w:jc w:val="center"/>
        <w:tblLook w:firstColumn="1" w:firstRow="1" w:lastColumn="0" w:lastRow="0" w:noHBand="0" w:noVBand="1" w:val="04A0"/>
      </w:tblPr>
      <w:tblGrid>
        <w:gridCol w:w="3024"/>
        <w:gridCol w:w="3024"/>
        <w:gridCol w:w="3024"/>
      </w:tblGrid>
      <w:tr>
        <w:trPr>
          <w:tblHeader w:val="true"/>
          <w:tblHeader w:val="true"/>
          <w:cantSplit/>
        </w:trPr>
        <w:tc>
          <w:tcPr>
            <w:tcW w:type="dxa" w:w="2268"/>
            <w:shd w:fill="0B4F6C"/>
            <w:tcMar>
              <w:top w:w="70" w:type="dxa"/>
              <w:start w:w="90" w:type="dxa"/>
              <w:bottom w:w="70" w:type="dxa"/>
              <w:end w:w="90" w:type="dxa"/>
            </w:tcMar>
          </w:tcPr>
          <w:p>
            <w:r>
              <w:rPr>
                <w:rFonts w:ascii="Noto Sans" w:hAnsi="Noto Sans" w:eastAsia="Noto Sans"/>
                <w:sz w:val="17"/>
              </w:rPr>
              <w:t>Elemento</w:t>
            </w:r>
          </w:p>
        </w:tc>
        <w:tc>
          <w:tcPr>
            <w:tcW w:type="dxa" w:w="3572"/>
            <w:shd w:fill="0B4F6C"/>
            <w:tcMar>
              <w:top w:w="70" w:type="dxa"/>
              <w:start w:w="90" w:type="dxa"/>
              <w:bottom w:w="70" w:type="dxa"/>
              <w:end w:w="90" w:type="dxa"/>
            </w:tcMar>
          </w:tcPr>
          <w:p>
            <w:r>
              <w:rPr>
                <w:rFonts w:ascii="Noto Sans" w:hAnsi="Noto Sans" w:eastAsia="Noto Sans"/>
                <w:sz w:val="17"/>
              </w:rPr>
              <w:t>Esempio</w:t>
            </w:r>
          </w:p>
        </w:tc>
        <w:tc>
          <w:tcPr>
            <w:tcW w:type="dxa" w:w="4932"/>
            <w:shd w:fill="0B4F6C"/>
            <w:tcMar>
              <w:top w:w="70" w:type="dxa"/>
              <w:start w:w="90" w:type="dxa"/>
              <w:bottom w:w="70" w:type="dxa"/>
              <w:end w:w="90" w:type="dxa"/>
            </w:tcMar>
          </w:tcPr>
          <w:p>
            <w:r>
              <w:rPr>
                <w:rFonts w:ascii="Noto Sans" w:hAnsi="Noto Sans" w:eastAsia="Noto Sans"/>
                <w:sz w:val="17"/>
              </w:rPr>
              <w:t>Uso</w:t>
            </w:r>
          </w:p>
        </w:tc>
      </w:tr>
      <w:tr>
        <w:trPr>
          <w:cantSplit/>
        </w:trPr>
        <w:tc>
          <w:tcPr>
            <w:tcW w:type="dxa" w:w="2268"/>
            <w:vAlign w:val="top"/>
            <w:tcMar>
              <w:top w:w="70" w:type="dxa"/>
              <w:start w:w="90" w:type="dxa"/>
              <w:bottom w:w="70" w:type="dxa"/>
              <w:end w:w="90" w:type="dxa"/>
            </w:tcMar>
          </w:tcPr>
          <w:p>
            <w:r>
              <w:rPr>
                <w:rFonts w:ascii="Noto Sans" w:hAnsi="Noto Sans" w:eastAsia="Noto Sans"/>
                <w:sz w:val="17"/>
              </w:rPr>
              <w:t>capabilityId</w:t>
            </w:r>
          </w:p>
        </w:tc>
        <w:tc>
          <w:tcPr>
            <w:tcW w:type="dxa" w:w="3572"/>
            <w:vAlign w:val="top"/>
            <w:tcMar>
              <w:top w:w="70" w:type="dxa"/>
              <w:start w:w="90" w:type="dxa"/>
              <w:bottom w:w="70" w:type="dxa"/>
              <w:end w:w="90" w:type="dxa"/>
            </w:tcMar>
          </w:tcPr>
          <w:p>
            <w:r>
              <w:rPr>
                <w:rFonts w:ascii="Noto Sans" w:hAnsi="Noto Sans" w:eastAsia="Noto Sans"/>
                <w:sz w:val="17"/>
              </w:rPr>
              <w:t>urban.activities.search</w:t>
            </w:r>
          </w:p>
        </w:tc>
        <w:tc>
          <w:tcPr>
            <w:tcW w:type="dxa" w:w="4932"/>
            <w:vAlign w:val="top"/>
            <w:tcMar>
              <w:top w:w="70" w:type="dxa"/>
              <w:start w:w="90" w:type="dxa"/>
              <w:bottom w:w="70" w:type="dxa"/>
              <w:end w:w="90" w:type="dxa"/>
            </w:tcMar>
          </w:tcPr>
          <w:p>
            <w:r>
              <w:rPr>
                <w:rFonts w:ascii="Noto Sans" w:hAnsi="Noto Sans" w:eastAsia="Noto Sans"/>
                <w:sz w:val="17"/>
              </w:rPr>
              <w:t>Identità logica stabile della capability.</w:t>
            </w:r>
          </w:p>
        </w:tc>
      </w:tr>
      <w:tr>
        <w:trPr>
          <w:cantSplit/>
        </w:trPr>
        <w:tc>
          <w:tcPr>
            <w:tcW w:type="dxa" w:w="2268"/>
            <w:shd w:fill="F3F4F6"/>
            <w:vAlign w:val="top"/>
            <w:tcMar>
              <w:top w:w="70" w:type="dxa"/>
              <w:start w:w="90" w:type="dxa"/>
              <w:bottom w:w="70" w:type="dxa"/>
              <w:end w:w="90" w:type="dxa"/>
            </w:tcMar>
          </w:tcPr>
          <w:p>
            <w:r>
              <w:rPr>
                <w:rFonts w:ascii="Noto Sans" w:hAnsi="Noto Sans" w:eastAsia="Noto Sans"/>
                <w:sz w:val="17"/>
              </w:rPr>
              <w:t>provider</w:t>
            </w:r>
          </w:p>
        </w:tc>
        <w:tc>
          <w:tcPr>
            <w:tcW w:type="dxa" w:w="3572"/>
            <w:shd w:fill="F3F4F6"/>
            <w:vAlign w:val="top"/>
            <w:tcMar>
              <w:top w:w="70" w:type="dxa"/>
              <w:start w:w="90" w:type="dxa"/>
              <w:bottom w:w="70" w:type="dxa"/>
              <w:end w:w="90" w:type="dxa"/>
            </w:tcMar>
          </w:tcPr>
          <w:p>
            <w:r>
              <w:rPr>
                <w:rFonts w:ascii="Noto Sans" w:hAnsi="Noto Sans" w:eastAsia="Noto Sans"/>
                <w:sz w:val="17"/>
              </w:rPr>
              <w:t>urban-data-platform</w:t>
            </w:r>
          </w:p>
        </w:tc>
        <w:tc>
          <w:tcPr>
            <w:tcW w:type="dxa" w:w="4932"/>
            <w:shd w:fill="F3F4F6"/>
            <w:vAlign w:val="top"/>
            <w:tcMar>
              <w:top w:w="70" w:type="dxa"/>
              <w:start w:w="90" w:type="dxa"/>
              <w:bottom w:w="70" w:type="dxa"/>
              <w:end w:w="90" w:type="dxa"/>
            </w:tcMar>
          </w:tcPr>
          <w:p>
            <w:r>
              <w:rPr>
                <w:rFonts w:ascii="Noto Sans" w:hAnsi="Noto Sans" w:eastAsia="Noto Sans"/>
                <w:sz w:val="17"/>
              </w:rPr>
              <w:t>Provider logico.</w:t>
            </w:r>
          </w:p>
        </w:tc>
      </w:tr>
      <w:tr>
        <w:trPr>
          <w:cantSplit/>
        </w:trPr>
        <w:tc>
          <w:tcPr>
            <w:tcW w:type="dxa" w:w="2268"/>
            <w:vAlign w:val="top"/>
            <w:tcMar>
              <w:top w:w="70" w:type="dxa"/>
              <w:start w:w="90" w:type="dxa"/>
              <w:bottom w:w="70" w:type="dxa"/>
              <w:end w:w="90" w:type="dxa"/>
            </w:tcMar>
          </w:tcPr>
          <w:p>
            <w:r>
              <w:rPr>
                <w:rFonts w:ascii="Noto Sans" w:hAnsi="Noto Sans" w:eastAsia="Noto Sans"/>
                <w:sz w:val="17"/>
              </w:rPr>
              <w:t>serviceBinding</w:t>
            </w:r>
          </w:p>
        </w:tc>
        <w:tc>
          <w:tcPr>
            <w:tcW w:type="dxa" w:w="3572"/>
            <w:vAlign w:val="top"/>
            <w:tcMar>
              <w:top w:w="70" w:type="dxa"/>
              <w:start w:w="90" w:type="dxa"/>
              <w:bottom w:w="70" w:type="dxa"/>
              <w:end w:w="90" w:type="dxa"/>
            </w:tcMar>
          </w:tcPr>
          <w:p>
            <w:r>
              <w:rPr>
                <w:rFonts w:ascii="Noto Sans" w:hAnsi="Noto Sans" w:eastAsia="Noto Sans"/>
                <w:sz w:val="17"/>
              </w:rPr>
              <w:t>udp-data-service/activities</w:t>
            </w:r>
          </w:p>
        </w:tc>
        <w:tc>
          <w:tcPr>
            <w:tcW w:type="dxa" w:w="4932"/>
            <w:vAlign w:val="top"/>
            <w:tcMar>
              <w:top w:w="70" w:type="dxa"/>
              <w:start w:w="90" w:type="dxa"/>
              <w:bottom w:w="70" w:type="dxa"/>
              <w:end w:w="90" w:type="dxa"/>
            </w:tcMar>
          </w:tcPr>
          <w:p>
            <w:r>
              <w:rPr>
                <w:rFonts w:ascii="Noto Sans" w:hAnsi="Noto Sans" w:eastAsia="Noto Sans"/>
                <w:sz w:val="17"/>
              </w:rPr>
              <w:t>Binding interno risolto dal Gateway.</w:t>
            </w:r>
          </w:p>
        </w:tc>
      </w:tr>
      <w:tr>
        <w:trPr>
          <w:cantSplit/>
        </w:trPr>
        <w:tc>
          <w:tcPr>
            <w:tcW w:type="dxa" w:w="2268"/>
            <w:shd w:fill="F3F4F6"/>
            <w:vAlign w:val="top"/>
            <w:tcMar>
              <w:top w:w="70" w:type="dxa"/>
              <w:start w:w="90" w:type="dxa"/>
              <w:bottom w:w="70" w:type="dxa"/>
              <w:end w:w="90" w:type="dxa"/>
            </w:tcMar>
          </w:tcPr>
          <w:p>
            <w:r>
              <w:rPr>
                <w:rFonts w:ascii="Noto Sans" w:hAnsi="Noto Sans" w:eastAsia="Noto Sans"/>
                <w:sz w:val="17"/>
              </w:rPr>
              <w:t>responseSchema</w:t>
            </w:r>
          </w:p>
        </w:tc>
        <w:tc>
          <w:tcPr>
            <w:tcW w:type="dxa" w:w="3572"/>
            <w:shd w:fill="F3F4F6"/>
            <w:vAlign w:val="top"/>
            <w:tcMar>
              <w:top w:w="70" w:type="dxa"/>
              <w:start w:w="90" w:type="dxa"/>
              <w:bottom w:w="70" w:type="dxa"/>
              <w:end w:w="90" w:type="dxa"/>
            </w:tcMar>
          </w:tcPr>
          <w:p>
            <w:r>
              <w:rPr>
                <w:rFonts w:ascii="Noto Sans" w:hAnsi="Noto Sans" w:eastAsia="Noto Sans"/>
                <w:sz w:val="17"/>
              </w:rPr>
              <w:t>UrbanEconomicActivityCollection 1.0</w:t>
            </w:r>
          </w:p>
        </w:tc>
        <w:tc>
          <w:tcPr>
            <w:tcW w:type="dxa" w:w="4932"/>
            <w:shd w:fill="F3F4F6"/>
            <w:vAlign w:val="top"/>
            <w:tcMar>
              <w:top w:w="70" w:type="dxa"/>
              <w:start w:w="90" w:type="dxa"/>
              <w:bottom w:w="70" w:type="dxa"/>
              <w:end w:w="90" w:type="dxa"/>
            </w:tcMar>
          </w:tcPr>
          <w:p>
            <w:r>
              <w:rPr>
                <w:rFonts w:ascii="Noto Sans" w:hAnsi="Noto Sans" w:eastAsia="Noto Sans"/>
                <w:sz w:val="17"/>
              </w:rPr>
              <w:t>Contratto dell’output.</w:t>
            </w:r>
          </w:p>
        </w:tc>
      </w:tr>
      <w:tr>
        <w:trPr>
          <w:cantSplit/>
        </w:trPr>
        <w:tc>
          <w:tcPr>
            <w:tcW w:type="dxa" w:w="2268"/>
            <w:vAlign w:val="top"/>
            <w:tcMar>
              <w:top w:w="70" w:type="dxa"/>
              <w:start w:w="90" w:type="dxa"/>
              <w:bottom w:w="70" w:type="dxa"/>
              <w:end w:w="90" w:type="dxa"/>
            </w:tcMar>
          </w:tcPr>
          <w:p>
            <w:r>
              <w:rPr>
                <w:rFonts w:ascii="Noto Sans" w:hAnsi="Noto Sans" w:eastAsia="Noto Sans"/>
                <w:sz w:val="17"/>
              </w:rPr>
              <w:t>semanticProfile</w:t>
            </w:r>
          </w:p>
        </w:tc>
        <w:tc>
          <w:tcPr>
            <w:tcW w:type="dxa" w:w="3572"/>
            <w:vAlign w:val="top"/>
            <w:tcMar>
              <w:top w:w="70" w:type="dxa"/>
              <w:start w:w="90" w:type="dxa"/>
              <w:bottom w:w="70" w:type="dxa"/>
              <w:end w:w="90" w:type="dxa"/>
            </w:tcMar>
          </w:tcPr>
          <w:p>
            <w:r>
              <w:rPr>
                <w:rFonts w:ascii="Noto Sans" w:hAnsi="Noto Sans" w:eastAsia="Noto Sans"/>
                <w:sz w:val="17"/>
              </w:rPr>
              <w:t>economic-activity-v1</w:t>
            </w:r>
          </w:p>
        </w:tc>
        <w:tc>
          <w:tcPr>
            <w:tcW w:type="dxa" w:w="4932"/>
            <w:vAlign w:val="top"/>
            <w:tcMar>
              <w:top w:w="70" w:type="dxa"/>
              <w:start w:w="90" w:type="dxa"/>
              <w:bottom w:w="70" w:type="dxa"/>
              <w:end w:w="90" w:type="dxa"/>
            </w:tcMar>
          </w:tcPr>
          <w:p>
            <w:r>
              <w:rPr>
                <w:rFonts w:ascii="Noto Sans" w:hAnsi="Noto Sans" w:eastAsia="Noto Sans"/>
                <w:sz w:val="17"/>
              </w:rPr>
              <w:t>Profilo semantico applicato.</w:t>
            </w:r>
          </w:p>
        </w:tc>
      </w:tr>
      <w:tr>
        <w:trPr>
          <w:cantSplit/>
        </w:trPr>
        <w:tc>
          <w:tcPr>
            <w:tcW w:type="dxa" w:w="2268"/>
            <w:shd w:fill="F3F4F6"/>
            <w:vAlign w:val="top"/>
            <w:tcMar>
              <w:top w:w="70" w:type="dxa"/>
              <w:start w:w="90" w:type="dxa"/>
              <w:bottom w:w="70" w:type="dxa"/>
              <w:end w:w="90" w:type="dxa"/>
            </w:tcMar>
          </w:tcPr>
          <w:p>
            <w:r>
              <w:rPr>
                <w:rFonts w:ascii="Noto Sans" w:hAnsi="Noto Sans" w:eastAsia="Noto Sans"/>
                <w:sz w:val="17"/>
              </w:rPr>
              <w:t>scopes</w:t>
            </w:r>
          </w:p>
        </w:tc>
        <w:tc>
          <w:tcPr>
            <w:tcW w:type="dxa" w:w="3572"/>
            <w:shd w:fill="F3F4F6"/>
            <w:vAlign w:val="top"/>
            <w:tcMar>
              <w:top w:w="70" w:type="dxa"/>
              <w:start w:w="90" w:type="dxa"/>
              <w:bottom w:w="70" w:type="dxa"/>
              <w:end w:w="90" w:type="dxa"/>
            </w:tcMar>
          </w:tcPr>
          <w:p>
            <w:r>
              <w:rPr>
                <w:rFonts w:ascii="Noto Sans" w:hAnsi="Noto Sans" w:eastAsia="Noto Sans"/>
                <w:sz w:val="17"/>
              </w:rPr>
              <w:t>ouf.read.activities</w:t>
            </w:r>
          </w:p>
        </w:tc>
        <w:tc>
          <w:tcPr>
            <w:tcW w:type="dxa" w:w="4932"/>
            <w:shd w:fill="F3F4F6"/>
            <w:vAlign w:val="top"/>
            <w:tcMar>
              <w:top w:w="70" w:type="dxa"/>
              <w:start w:w="90" w:type="dxa"/>
              <w:bottom w:w="70" w:type="dxa"/>
              <w:end w:w="90" w:type="dxa"/>
            </w:tcMar>
          </w:tcPr>
          <w:p>
            <w:r>
              <w:rPr>
                <w:rFonts w:ascii="Noto Sans" w:hAnsi="Noto Sans" w:eastAsia="Noto Sans"/>
                <w:sz w:val="17"/>
              </w:rPr>
              <w:t>Autorizzazione runtime.</w:t>
            </w:r>
          </w:p>
        </w:tc>
      </w:tr>
      <w:tr>
        <w:trPr>
          <w:cantSplit/>
        </w:trPr>
        <w:tc>
          <w:tcPr>
            <w:tcW w:type="dxa" w:w="2268"/>
            <w:vAlign w:val="top"/>
            <w:tcMar>
              <w:top w:w="70" w:type="dxa"/>
              <w:start w:w="90" w:type="dxa"/>
              <w:bottom w:w="70" w:type="dxa"/>
              <w:end w:w="90" w:type="dxa"/>
            </w:tcMar>
          </w:tcPr>
          <w:p>
            <w:r>
              <w:rPr>
                <w:rFonts w:ascii="Noto Sans" w:hAnsi="Noto Sans" w:eastAsia="Noto Sans"/>
                <w:sz w:val="17"/>
              </w:rPr>
              <w:t>mcp.toolEligible</w:t>
            </w:r>
          </w:p>
        </w:tc>
        <w:tc>
          <w:tcPr>
            <w:tcW w:type="dxa" w:w="3572"/>
            <w:vAlign w:val="top"/>
            <w:tcMar>
              <w:top w:w="70" w:type="dxa"/>
              <w:start w:w="90" w:type="dxa"/>
              <w:bottom w:w="70" w:type="dxa"/>
              <w:end w:w="90" w:type="dxa"/>
            </w:tcMar>
          </w:tcPr>
          <w:p>
            <w:r>
              <w:rPr>
                <w:rFonts w:ascii="Noto Sans" w:hAnsi="Noto Sans" w:eastAsia="Noto Sans"/>
                <w:sz w:val="17"/>
              </w:rPr>
              <w:t>true/false</w:t>
            </w:r>
          </w:p>
        </w:tc>
        <w:tc>
          <w:tcPr>
            <w:tcW w:type="dxa" w:w="4932"/>
            <w:vAlign w:val="top"/>
            <w:tcMar>
              <w:top w:w="70" w:type="dxa"/>
              <w:start w:w="90" w:type="dxa"/>
              <w:bottom w:w="70" w:type="dxa"/>
              <w:end w:w="90" w:type="dxa"/>
            </w:tcMar>
          </w:tcPr>
          <w:p>
            <w:r>
              <w:rPr>
                <w:rFonts w:ascii="Noto Sans" w:hAnsi="Noto Sans" w:eastAsia="Noto Sans"/>
                <w:sz w:val="17"/>
              </w:rPr>
              <w:t>Predisposizione opzionale MCP.</w:t>
            </w:r>
          </w:p>
        </w:tc>
      </w:tr>
    </w:tbl>
    <w:p>
      <w:pPr>
        <w:pStyle w:val="Heading2"/>
        <w:keepNext/>
        <w:spacing w:before="160"/>
      </w:pPr>
      <w:r>
        <w:rPr>
          <w:rFonts w:ascii="Noto Sans" w:hAnsi="Noto Sans" w:eastAsia="Noto Sans"/>
        </w:rPr>
        <w:t>28.4 Invarianti di integrazione interna</w:t>
      </w:r>
    </w:p>
    <w:p>
      <w:pPr>
        <w:pStyle w:val="ListBullet"/>
        <w:spacing w:after="40"/>
      </w:pPr>
      <w:r>
        <w:rPr>
          <w:rFonts w:ascii="Noto Sans" w:hAnsi="Noto Sans" w:eastAsia="Noto Sans"/>
        </w:rPr>
        <w:t>Il Gateway non scrive direttamente nel Data Lake o nello storage UDP.</w:t>
      </w:r>
    </w:p>
    <w:p>
      <w:pPr>
        <w:pStyle w:val="ListBullet"/>
        <w:spacing w:after="40"/>
      </w:pPr>
      <w:r>
        <w:rPr>
          <w:rFonts w:ascii="Noto Sans" w:hAnsi="Noto Sans" w:eastAsia="Noto Sans"/>
        </w:rPr>
        <w:t>Il Gateway non effettua query SQL/SPARQL o accessi fisici a database come binding consumer-facing.</w:t>
      </w:r>
    </w:p>
    <w:p>
      <w:pPr>
        <w:pStyle w:val="ListBullet"/>
        <w:spacing w:after="40"/>
      </w:pPr>
      <w:r>
        <w:rPr>
          <w:rFonts w:ascii="Noto Sans" w:hAnsi="Noto Sans" w:eastAsia="Noto Sans"/>
        </w:rPr>
        <w:t>Il Connector Framework non è esposto direttamente ai sistemi esterni.</w:t>
      </w:r>
    </w:p>
    <w:p>
      <w:pPr>
        <w:pStyle w:val="ListBullet"/>
        <w:spacing w:after="40"/>
      </w:pPr>
      <w:r>
        <w:rPr>
          <w:rFonts w:ascii="Noto Sans" w:hAnsi="Noto Sans" w:eastAsia="Noto Sans"/>
        </w:rPr>
        <w:t>L’ETL non espone direttamente API pubbliche.</w:t>
      </w:r>
    </w:p>
    <w:p>
      <w:pPr>
        <w:pStyle w:val="ListBullet"/>
        <w:spacing w:after="40"/>
      </w:pPr>
      <w:r>
        <w:rPr>
          <w:rFonts w:ascii="Noto Sans" w:hAnsi="Noto Sans" w:eastAsia="Noto Sans"/>
        </w:rPr>
        <w:t>Gli endpoint consumer-facing verso la UDP sono capability registrate e versionate.</w:t>
      </w:r>
    </w:p>
    <w:p>
      <w:pPr>
        <w:pStyle w:val="ListBullet"/>
        <w:spacing w:after="40"/>
      </w:pPr>
      <w:r>
        <w:rPr>
          <w:rFonts w:ascii="Noto Sans" w:hAnsi="Noto Sans" w:eastAsia="Noto Sans"/>
        </w:rPr>
        <w:t>Il correlationId deve poter essere propagato dal Gateway fino al run ETL e alla produzione del lineage.</w:t>
      </w:r>
    </w:p>
    <w:p>
      <w:pPr>
        <w:pStyle w:val="ListBullet"/>
        <w:spacing w:after="40"/>
      </w:pPr>
      <w:r>
        <w:rPr>
          <w:rFonts w:ascii="Noto Sans" w:hAnsi="Noto Sans" w:eastAsia="Noto Sans"/>
        </w:rPr>
        <w:t>La sostituzione tecnologica di Connector, ETL o UDP non deve richiedere modifica dei contratti esterni, finché capability e binding logici restano compatibili.</w:t>
      </w:r>
    </w:p>
    <w:p>
      <w:pPr>
        <w:pStyle w:val="Heading1"/>
        <w:keepNext/>
        <w:spacing w:before="160"/>
      </w:pPr>
      <w:r>
        <w:rPr>
          <w:rFonts w:ascii="Noto Sans" w:hAnsi="Noto Sans" w:eastAsia="Noto Sans"/>
        </w:rPr>
        <w:t>29. Contratti tecnici</w:t>
      </w:r>
    </w:p>
    <w:tbl>
      <w:tblPr>
        <w:tblStyle w:val="TableGrid"/>
        <w:tblW w:type="auto" w:w="0"/>
        <w:jc w:val="center"/>
        <w:tblLook w:firstColumn="1" w:firstRow="1" w:lastColumn="0" w:lastRow="0" w:noHBand="0" w:noVBand="1" w:val="04A0"/>
      </w:tblPr>
      <w:tblGrid>
        <w:gridCol w:w="4536"/>
        <w:gridCol w:w="4536"/>
      </w:tblGrid>
      <w:tr>
        <w:trPr>
          <w:tblHeader w:val="true"/>
          <w:cantSplit/>
        </w:trPr>
        <w:tc>
          <w:tcPr>
            <w:tcW w:type="dxa" w:w="3969"/>
            <w:vAlign w:val="top"/>
            <w:shd w:fill="0B4F6C"/>
            <w:tcMar>
              <w:top w:w="70" w:type="dxa"/>
              <w:start w:w="90" w:type="dxa"/>
              <w:bottom w:w="70" w:type="dxa"/>
              <w:end w:w="90" w:type="dxa"/>
            </w:tcMar>
          </w:tcPr>
          <w:p>
            <w:r>
              <w:rPr>
                <w:rFonts w:ascii="Noto Sans" w:hAnsi="Noto Sans" w:eastAsia="Noto Sans"/>
                <w:sz w:val="17"/>
              </w:rPr>
              <w:t>Ambito</w:t>
            </w:r>
          </w:p>
        </w:tc>
        <w:tc>
          <w:tcPr>
            <w:tcW w:type="dxa" w:w="6350"/>
            <w:vAlign w:val="top"/>
            <w:shd w:fill="0B4F6C"/>
            <w:tcMar>
              <w:top w:w="70" w:type="dxa"/>
              <w:start w:w="90" w:type="dxa"/>
              <w:bottom w:w="70" w:type="dxa"/>
              <w:end w:w="90" w:type="dxa"/>
            </w:tcMar>
          </w:tcPr>
          <w:p>
            <w:r>
              <w:rPr>
                <w:rFonts w:ascii="Noto Sans" w:hAnsi="Noto Sans" w:eastAsia="Noto Sans"/>
                <w:sz w:val="17"/>
              </w:rPr>
              <w:t>Standard / strumento</w:t>
            </w:r>
          </w:p>
        </w:tc>
      </w:tr>
      <w:tr>
        <w:trPr>
          <w:cantSplit/>
        </w:trPr>
        <w:tc>
          <w:tcPr>
            <w:tcW w:type="dxa" w:w="3969"/>
            <w:vAlign w:val="top"/>
            <w:tcMar>
              <w:top w:w="70" w:type="dxa"/>
              <w:start w:w="90" w:type="dxa"/>
              <w:bottom w:w="70" w:type="dxa"/>
              <w:end w:w="90" w:type="dxa"/>
            </w:tcMar>
          </w:tcPr>
          <w:p>
            <w:r>
              <w:rPr>
                <w:rFonts w:ascii="Noto Sans" w:hAnsi="Noto Sans" w:eastAsia="Noto Sans"/>
                <w:sz w:val="17"/>
              </w:rPr>
              <w:t>API REST</w:t>
            </w:r>
          </w:p>
        </w:tc>
        <w:tc>
          <w:tcPr>
            <w:tcW w:type="dxa" w:w="6350"/>
            <w:vAlign w:val="top"/>
            <w:tcMar>
              <w:top w:w="70" w:type="dxa"/>
              <w:start w:w="90" w:type="dxa"/>
              <w:bottom w:w="70" w:type="dxa"/>
              <w:end w:w="90" w:type="dxa"/>
            </w:tcMar>
          </w:tcPr>
          <w:p>
            <w:r>
              <w:rPr>
                <w:rFonts w:ascii="Noto Sans" w:hAnsi="Noto Sans" w:eastAsia="Noto Sans"/>
                <w:sz w:val="17"/>
              </w:rPr>
              <w:t>OpenAPI 3.x</w:t>
            </w:r>
          </w:p>
        </w:tc>
      </w:tr>
      <w:tr>
        <w:trPr>
          <w:cantSplit/>
        </w:trPr>
        <w:tc>
          <w:tcPr>
            <w:tcW w:type="dxa" w:w="3969"/>
            <w:vAlign w:val="top"/>
            <w:shd w:fill="F3F4F6"/>
            <w:tcMar>
              <w:top w:w="70" w:type="dxa"/>
              <w:start w:w="90" w:type="dxa"/>
              <w:bottom w:w="70" w:type="dxa"/>
              <w:end w:w="90" w:type="dxa"/>
            </w:tcMar>
          </w:tcPr>
          <w:p>
            <w:r>
              <w:rPr>
                <w:rFonts w:ascii="Noto Sans" w:hAnsi="Noto Sans" w:eastAsia="Noto Sans"/>
                <w:sz w:val="17"/>
              </w:rPr>
              <w:t>Schema payload</w:t>
            </w:r>
          </w:p>
        </w:tc>
        <w:tc>
          <w:tcPr>
            <w:tcW w:type="dxa" w:w="6350"/>
            <w:vAlign w:val="top"/>
            <w:shd w:fill="F3F4F6"/>
            <w:tcMar>
              <w:top w:w="70" w:type="dxa"/>
              <w:start w:w="90" w:type="dxa"/>
              <w:bottom w:w="70" w:type="dxa"/>
              <w:end w:w="90" w:type="dxa"/>
            </w:tcMar>
          </w:tcPr>
          <w:p>
            <w:r>
              <w:rPr>
                <w:rFonts w:ascii="Noto Sans" w:hAnsi="Noto Sans" w:eastAsia="Noto Sans"/>
                <w:sz w:val="17"/>
              </w:rPr>
              <w:t>JSON Schema</w:t>
            </w:r>
          </w:p>
        </w:tc>
      </w:tr>
      <w:tr>
        <w:trPr>
          <w:cantSplit/>
        </w:trPr>
        <w:tc>
          <w:tcPr>
            <w:tcW w:type="dxa" w:w="3969"/>
            <w:vAlign w:val="top"/>
            <w:tcMar>
              <w:top w:w="70" w:type="dxa"/>
              <w:start w:w="90" w:type="dxa"/>
              <w:bottom w:w="70" w:type="dxa"/>
              <w:end w:w="90" w:type="dxa"/>
            </w:tcMar>
          </w:tcPr>
          <w:p>
            <w:r>
              <w:rPr>
                <w:rFonts w:ascii="Noto Sans" w:hAnsi="Noto Sans" w:eastAsia="Noto Sans"/>
                <w:sz w:val="17"/>
              </w:rPr>
              <w:t>Sorgenti WFS/WMS</w:t>
            </w:r>
          </w:p>
        </w:tc>
        <w:tc>
          <w:tcPr>
            <w:tcW w:type="dxa" w:w="6350"/>
            <w:vAlign w:val="top"/>
            <w:tcMar>
              <w:top w:w="70" w:type="dxa"/>
              <w:start w:w="90" w:type="dxa"/>
              <w:bottom w:w="70" w:type="dxa"/>
              <w:end w:w="90" w:type="dxa"/>
            </w:tcMar>
          </w:tcPr>
          <w:p>
            <w:r>
              <w:rPr>
                <w:rFonts w:ascii="Noto Sans" w:hAnsi="Noto Sans" w:eastAsia="Noto Sans"/>
                <w:sz w:val="17"/>
              </w:rPr>
              <w:t>Standard OGC di compatibilità</w:t>
            </w:r>
          </w:p>
        </w:tc>
      </w:tr>
      <w:tr>
        <w:trPr>
          <w:cantSplit/>
        </w:trPr>
        <w:tc>
          <w:tcPr>
            <w:tcW w:type="dxa" w:w="3969"/>
            <w:vAlign w:val="top"/>
            <w:shd w:fill="F3F4F6"/>
            <w:tcMar>
              <w:top w:w="70" w:type="dxa"/>
              <w:start w:w="90" w:type="dxa"/>
              <w:bottom w:w="70" w:type="dxa"/>
              <w:end w:w="90" w:type="dxa"/>
            </w:tcMar>
          </w:tcPr>
          <w:p>
            <w:r>
              <w:rPr>
                <w:rFonts w:ascii="Noto Sans" w:hAnsi="Noto Sans" w:eastAsia="Noto Sans"/>
                <w:sz w:val="17"/>
              </w:rPr>
              <w:t>Nuove API geospaziali OUF</w:t>
            </w:r>
          </w:p>
        </w:tc>
        <w:tc>
          <w:tcPr>
            <w:tcW w:type="dxa" w:w="6350"/>
            <w:vAlign w:val="top"/>
            <w:shd w:fill="F3F4F6"/>
            <w:tcMar>
              <w:top w:w="70" w:type="dxa"/>
              <w:start w:w="90" w:type="dxa"/>
              <w:bottom w:w="70" w:type="dxa"/>
              <w:end w:w="90" w:type="dxa"/>
            </w:tcMar>
          </w:tcPr>
          <w:p>
            <w:r>
              <w:rPr>
                <w:rFonts w:ascii="Noto Sans" w:hAnsi="Noto Sans" w:eastAsia="Noto Sans"/>
                <w:sz w:val="17"/>
              </w:rPr>
              <w:t>OGC API - Features</w:t>
            </w:r>
          </w:p>
        </w:tc>
      </w:tr>
      <w:tr>
        <w:trPr>
          <w:cantSplit/>
        </w:trPr>
        <w:tc>
          <w:tcPr>
            <w:tcW w:type="dxa" w:w="3969"/>
            <w:vAlign w:val="top"/>
            <w:tcMar>
              <w:top w:w="70" w:type="dxa"/>
              <w:start w:w="90" w:type="dxa"/>
              <w:bottom w:w="70" w:type="dxa"/>
              <w:end w:w="90" w:type="dxa"/>
            </w:tcMar>
          </w:tcPr>
          <w:p>
            <w:r>
              <w:rPr>
                <w:rFonts w:ascii="Noto Sans" w:hAnsi="Noto Sans" w:eastAsia="Noto Sans"/>
                <w:sz w:val="17"/>
              </w:rPr>
              <w:t>Feature canoniche</w:t>
            </w:r>
          </w:p>
        </w:tc>
        <w:tc>
          <w:tcPr>
            <w:tcW w:type="dxa" w:w="6350"/>
            <w:vAlign w:val="top"/>
            <w:tcMar>
              <w:top w:w="70" w:type="dxa"/>
              <w:start w:w="90" w:type="dxa"/>
              <w:bottom w:w="70" w:type="dxa"/>
              <w:end w:w="90" w:type="dxa"/>
            </w:tcMar>
          </w:tcPr>
          <w:p>
            <w:r>
              <w:rPr>
                <w:rFonts w:ascii="Noto Sans" w:hAnsi="Noto Sans" w:eastAsia="Noto Sans"/>
                <w:sz w:val="17"/>
              </w:rPr>
              <w:t>GeoJSON / JSON-FG</w:t>
            </w:r>
          </w:p>
        </w:tc>
      </w:tr>
      <w:tr>
        <w:trPr>
          <w:cantSplit/>
        </w:trPr>
        <w:tc>
          <w:tcPr>
            <w:tcW w:type="dxa" w:w="3969"/>
            <w:vAlign w:val="top"/>
            <w:shd w:fill="F3F4F6"/>
            <w:tcMar>
              <w:top w:w="70" w:type="dxa"/>
              <w:start w:w="90" w:type="dxa"/>
              <w:bottom w:w="70" w:type="dxa"/>
              <w:end w:w="90" w:type="dxa"/>
            </w:tcMar>
          </w:tcPr>
          <w:p>
            <w:r>
              <w:rPr>
                <w:rFonts w:ascii="Noto Sans" w:hAnsi="Noto Sans" w:eastAsia="Noto Sans"/>
                <w:sz w:val="17"/>
              </w:rPr>
              <w:t>Error model</w:t>
            </w:r>
          </w:p>
        </w:tc>
        <w:tc>
          <w:tcPr>
            <w:tcW w:type="dxa" w:w="6350"/>
            <w:vAlign w:val="top"/>
            <w:shd w:fill="F3F4F6"/>
            <w:tcMar>
              <w:top w:w="70" w:type="dxa"/>
              <w:start w:w="90" w:type="dxa"/>
              <w:bottom w:w="70" w:type="dxa"/>
              <w:end w:w="90" w:type="dxa"/>
            </w:tcMar>
          </w:tcPr>
          <w:p>
            <w:r>
              <w:rPr>
                <w:rFonts w:ascii="Noto Sans" w:hAnsi="Noto Sans" w:eastAsia="Noto Sans"/>
                <w:sz w:val="17"/>
              </w:rPr>
              <w:t>Problem Details HTTP + codice OUF</w:t>
            </w:r>
          </w:p>
        </w:tc>
      </w:tr>
      <w:tr>
        <w:trPr>
          <w:cantSplit/>
        </w:trPr>
        <w:tc>
          <w:tcPr>
            <w:tcW w:type="dxa" w:w="3969"/>
            <w:vAlign w:val="top"/>
            <w:tcMar>
              <w:top w:w="70" w:type="dxa"/>
              <w:start w:w="90" w:type="dxa"/>
              <w:bottom w:w="70" w:type="dxa"/>
              <w:end w:w="90" w:type="dxa"/>
            </w:tcMar>
          </w:tcPr>
          <w:p>
            <w:r>
              <w:rPr>
                <w:rFonts w:ascii="Noto Sans" w:hAnsi="Noto Sans" w:eastAsia="Noto Sans"/>
                <w:sz w:val="17"/>
              </w:rPr>
              <w:t>Source manifest</w:t>
            </w:r>
          </w:p>
        </w:tc>
        <w:tc>
          <w:tcPr>
            <w:tcW w:type="dxa" w:w="6350"/>
            <w:vAlign w:val="top"/>
            <w:tcMar>
              <w:top w:w="70" w:type="dxa"/>
              <w:start w:w="90" w:type="dxa"/>
              <w:bottom w:w="70" w:type="dxa"/>
              <w:end w:w="90" w:type="dxa"/>
            </w:tcMar>
          </w:tcPr>
          <w:p>
            <w:r>
              <w:rPr>
                <w:rFonts w:ascii="Noto Sans" w:hAnsi="Noto Sans" w:eastAsia="Noto Sans"/>
                <w:sz w:val="17"/>
              </w:rPr>
              <w:t>YAML/JSON versionato</w:t>
            </w:r>
          </w:p>
        </w:tc>
      </w:tr>
    </w:tbl>
    <w:p>
      <w:pPr>
        <w:spacing w:after="40"/>
      </w:pPr>
    </w:p>
    <w:p>
      <w:pPr>
        <w:pStyle w:val="Heading1"/>
        <w:keepNext/>
        <w:spacing w:before="160"/>
      </w:pPr>
      <w:r>
        <w:rPr>
          <w:rFonts w:ascii="Noto Sans" w:hAnsi="Noto Sans" w:eastAsia="Noto Sans"/>
        </w:rPr>
        <w:t>30. Flussi principali</w:t>
      </w:r>
    </w:p>
    <w:p>
      <w:pPr>
        <w:pStyle w:val="Heading2"/>
        <w:keepNext/>
        <w:spacing w:before="160"/>
      </w:pPr>
      <w:r>
        <w:rPr>
          <w:rFonts w:ascii="Noto Sans" w:hAnsi="Noto Sans" w:eastAsia="Noto Sans"/>
        </w:rPr>
        <w:t>30.1 SUAP/SUO/SUE - bootstrap e sincronizzazione PULL</w:t>
      </w:r>
    </w:p>
    <w:p>
      <w:pPr>
        <w:pStyle w:val="BodyText"/>
      </w:pPr>
      <w:r>
        <w:rPr>
          <w:rFonts w:ascii="Noto Sans" w:hAnsi="Noto Sans" w:eastAsia="Noto Sans"/>
        </w:rPr>
        <w:t>Source Sync / Scheduler -&gt; Connector -&gt; Gateway southbound -&gt; SUAP/SUO/SUE -&gt; risposta nativa -&gt; Gateway -&gt; Adapter -&gt; OUF Canonical Envelope -&gt; ETL -&gt; Semantic Mapping -&gt; UDP. Al bootstrap si esegue uno snapshot completo e poi un catch-up delta; a regime si usa il watermark/change token configurato.</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Verticale</w:t>
              <w:br/>
              <w:t xml:space="preserve">   ↓ HTTPS / payload nativo (JSON/XML/altro)</w:t>
              <w:br/>
              <w:t>API Gateway</w:t>
              <w:br/>
              <w:t xml:space="preserve">   ↓</w:t>
              <w:br/>
              <w:t>Ingestion API</w:t>
              <w:br/>
              <w:t xml:space="preserve">   ↓</w:t>
              <w:br/>
              <w:t>Adapter / Connector</w:t>
              <w:br/>
              <w:t xml:space="preserve">   ↓ costruzione OUF Canonical Data Envelope</w:t>
              <w:br/>
              <w:t>ETL / Ingestion</w:t>
              <w:br/>
              <w:t xml:space="preserve">   ↓</w:t>
              <w:br/>
              <w:t>Semantic Enrichment</w:t>
              <w:br/>
              <w:t xml:space="preserve">   ↓</w:t>
              <w:br/>
              <w:t>UDP / Data Lake</w:t>
            </w:r>
          </w:p>
        </w:tc>
      </w:tr>
    </w:tbl>
    <w:p>
      <w:pPr>
        <w:spacing w:after="40"/>
      </w:pPr>
    </w:p>
    <w:p>
      <w:pPr>
        <w:pStyle w:val="Heading2"/>
        <w:keepNext/>
        <w:spacing w:before="160"/>
      </w:pPr>
      <w:r>
        <w:rPr>
          <w:rFonts w:ascii="Noto Sans" w:hAnsi="Noto Sans" w:eastAsia="Noto Sans"/>
        </w:rPr>
        <w:t>30.2 Ingress PUSH opzionale / compatibilità futura</w:t>
      </w:r>
    </w:p>
    <w:p>
      <w:pPr>
        <w:pStyle w:val="BodyText"/>
      </w:pPr>
      <w:r>
        <w:rPr>
          <w:rFonts w:ascii="Noto Sans" w:hAnsi="Noto Sans" w:eastAsia="Noto Sans"/>
        </w:rPr>
        <w:t>Sistema esterno -&gt; Gateway northbound -&gt; Adapter/Connector -&gt; OUF Canonical Envelope -&gt; ETL -&gt; Semantic Mapping -&gt; UDP. Questo percorso è supportato ma non è il default per SUAP/SUO/SUE.</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Scheduler / Connector</w:t>
              <w:br/>
              <w:t xml:space="preserve">   ↓</w:t>
              <w:br/>
              <w:t>Gateway southbound</w:t>
              <w:br/>
              <w:t xml:space="preserve">   ↓</w:t>
              <w:br/>
              <w:t>API verticale</w:t>
              <w:br/>
              <w:t xml:space="preserve">   ↓</w:t>
              <w:br/>
              <w:t>Gateway</w:t>
              <w:br/>
              <w:t xml:space="preserve">   ↓</w:t>
              <w:br/>
              <w:t>Adapter / ETL</w:t>
            </w:r>
          </w:p>
        </w:tc>
      </w:tr>
    </w:tbl>
    <w:p>
      <w:pPr>
        <w:spacing w:after="40"/>
      </w:pPr>
    </w:p>
    <w:p>
      <w:pPr>
        <w:pStyle w:val="Heading2"/>
        <w:keepNext/>
        <w:spacing w:before="160"/>
      </w:pPr>
      <w:r>
        <w:rPr>
          <w:rFonts w:ascii="Noto Sans" w:hAnsi="Noto Sans" w:eastAsia="Noto Sans"/>
        </w:rPr>
        <w:t>30.3 WebGIS WFS</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OGC Connector</w:t>
              <w:br/>
              <w:t xml:space="preserve">   ↓</w:t>
              <w:br/>
              <w:t>Gateway southbound</w:t>
              <w:br/>
              <w:t xml:space="preserve">   ↓</w:t>
              <w:br/>
              <w:t>WFS</w:t>
              <w:br/>
              <w:t xml:space="preserve">   ↓ GML / GeoJSON</w:t>
              <w:br/>
              <w:t>Adapter OGC</w:t>
              <w:br/>
              <w:t xml:space="preserve">   ↓ JSON-FG</w:t>
              <w:br/>
              <w:t>ETL</w:t>
              <w:br/>
              <w:t xml:space="preserve">   ↓</w:t>
              <w:br/>
              <w:t>Semantic Enrichment</w:t>
              <w:br/>
              <w:t xml:space="preserve">   ↓</w:t>
              <w:br/>
              <w:t>UDP</w:t>
            </w:r>
          </w:p>
        </w:tc>
      </w:tr>
    </w:tbl>
    <w:p>
      <w:pPr>
        <w:spacing w:after="40"/>
      </w:pPr>
    </w:p>
    <w:p>
      <w:pPr>
        <w:pStyle w:val="Heading2"/>
        <w:keepNext/>
        <w:spacing w:before="160"/>
      </w:pPr>
      <w:r>
        <w:rPr>
          <w:rFonts w:ascii="Noto Sans" w:hAnsi="Noto Sans" w:eastAsia="Noto Sans"/>
        </w:rPr>
        <w:t>30.4 WebGIS WMS</w:t>
      </w:r>
    </w:p>
    <w:tbl>
      <w:tblPr>
        <w:tblStyle w:val="TableGrid"/>
        <w:tblW w:type="auto" w:w="0"/>
        <w:tblLook w:firstColumn="1" w:firstRow="1" w:lastColumn="0" w:lastRow="0" w:noHBand="0" w:noVBand="1" w:val="04A0"/>
      </w:tblPr>
      <w:tblGrid>
        <w:gridCol w:w="9072"/>
      </w:tblGrid>
      <w:tr>
        <w:trPr>
          <w:tblHeader w:val="true"/>
          <w:cantSplit/>
        </w:trPr>
        <w:tc>
          <w:tcPr>
            <w:tcW w:type="dxa" w:w="9072"/>
            <w:shd w:fill="F7F9FB"/>
            <w:tcMar>
              <w:top w:w="70" w:type="dxa"/>
              <w:start w:w="90" w:type="dxa"/>
              <w:bottom w:w="70" w:type="dxa"/>
              <w:end w:w="90" w:type="dxa"/>
            </w:tcMar>
          </w:tcPr>
          <w:p>
            <w:r>
              <w:rPr>
                <w:rFonts w:ascii="Noto Sans" w:hAnsi="Noto Sans" w:eastAsia="Noto Sans"/>
                <w:sz w:val="17"/>
              </w:rPr>
              <w:t>Viewer</w:t>
              <w:br/>
              <w:t xml:space="preserve">   ↓</w:t>
              <w:br/>
              <w:t>API Gateway</w:t>
              <w:br/>
              <w:t xml:space="preserve">   ↓</w:t>
              <w:br/>
              <w:t>WMS origin</w:t>
              <w:br/>
              <w:t xml:space="preserve">   ↓</w:t>
              <w:br/>
              <w:t>PNG/JPEG</w:t>
              <w:br/>
              <w:t xml:space="preserve">   ↓</w:t>
              <w:br/>
              <w:t>API Gateway</w:t>
              <w:br/>
              <w:t xml:space="preserve">   ↓</w:t>
              <w:br/>
              <w:t>Viewer</w:t>
            </w:r>
          </w:p>
        </w:tc>
      </w:tr>
    </w:tbl>
    <w:p>
      <w:pPr>
        <w:spacing w:after="40"/>
      </w:pPr>
    </w:p>
    <w:p>
      <w:pPr>
        <w:pStyle w:val="Heading2"/>
      </w:pPr>
      <w:r>
        <w:rPr>
          <w:rFonts w:ascii="Noto Sans" w:hAnsi="Noto Sans" w:eastAsia="Noto Sans"/>
        </w:rPr>
        <w:t>30.5 Dashboard / frontend realtime e MCP</w:t>
      </w:r>
    </w:p>
    <w:p>
      <w:pPr>
        <w:pStyle w:val="BodyText"/>
      </w:pPr>
      <w:r>
        <w:rPr>
          <w:rFonts w:ascii="Noto Sans" w:hAnsi="Noto Sans" w:eastAsia="Noto Sans"/>
        </w:rPr>
        <w:t>Consumer -&gt; Gateway northbound -&gt; capability service. Le query iniziali restano REST/OGC; gli aggiornamenti live possono essere consegnati tramite SSE/WebSocket/event subscription. MCP usa le stesse capability governate e può ricevere progress/notifiche per operazioni long-running. Event Mesh è opzionale e viene introdotto solo quando serve distribuzione asincrona durevole.</w:t>
      </w:r>
    </w:p>
    <w:p>
      <w:pPr>
        <w:pStyle w:val="Heading1"/>
        <w:keepNext/>
        <w:spacing w:before="160"/>
      </w:pPr>
      <w:r>
        <w:rPr>
          <w:rFonts w:ascii="Noto Sans" w:hAnsi="Noto Sans" w:eastAsia="Noto Sans"/>
        </w:rPr>
        <w:t>31. Criteri di collaudo</w:t>
      </w:r>
    </w:p>
    <w:p>
      <w:pPr>
        <w:pStyle w:val="ListBullet"/>
        <w:spacing w:after="40"/>
      </w:pPr>
      <w:r>
        <w:rPr>
          <w:rFonts w:ascii="Noto Sans" w:hAnsi="Noto Sans" w:eastAsia="Noto Sans"/>
        </w:rPr>
        <w:t>Il Source Sync può eseguire un bootstrap PULL completo da SUAP, SUO e SUE attraverso il Gateway southbound.</w:t>
      </w:r>
    </w:p>
    <w:p>
      <w:pPr>
        <w:pStyle w:val="ListBullet"/>
        <w:spacing w:after="40"/>
      </w:pPr>
      <w:r>
        <w:rPr>
          <w:rFonts w:ascii="Noto Sans" w:hAnsi="Noto Sans" w:eastAsia="Noto Sans"/>
        </w:rPr>
        <w:t>Ogni ciclo PULL usa esclusivamente route, credenziali e sourceId della sorgente configurata; una sorgente non può essere risolta sul binding di un’altra.</w:t>
      </w:r>
    </w:p>
    <w:p>
      <w:pPr>
        <w:pStyle w:val="ListBullet"/>
        <w:spacing w:after="40"/>
      </w:pPr>
      <w:r>
        <w:rPr>
          <w:rFonts w:ascii="Noto Sans" w:hAnsi="Noto Sans" w:eastAsia="Noto Sans"/>
        </w:rPr>
        <w:t>Un payload non conforme viene respinto con errore standard.</w:t>
      </w:r>
    </w:p>
    <w:p>
      <w:pPr>
        <w:pStyle w:val="ListBullet"/>
        <w:spacing w:after="40"/>
      </w:pPr>
      <w:r>
        <w:rPr>
          <w:rFonts w:ascii="Noto Sans" w:hAnsi="Noto Sans" w:eastAsia="Noto Sans"/>
        </w:rPr>
        <w:t>Una classificazione diversa da OPEN/ANONYMOUS viene respinta nel profilo iniziale.</w:t>
      </w:r>
    </w:p>
    <w:p>
      <w:pPr>
        <w:pStyle w:val="ListBullet"/>
        <w:spacing w:after="40"/>
      </w:pPr>
      <w:r>
        <w:rPr>
          <w:rFonts w:ascii="Noto Sans" w:hAnsi="Noto Sans" w:eastAsia="Noto Sans"/>
        </w:rPr>
        <w:t>Una stessa Idempotency-Key non produce due elaborazioni.</w:t>
      </w:r>
    </w:p>
    <w:p>
      <w:pPr>
        <w:pStyle w:val="ListBullet"/>
        <w:spacing w:after="40"/>
      </w:pPr>
      <w:r>
        <w:rPr>
          <w:rFonts w:ascii="Noto Sans" w:hAnsi="Noto Sans" w:eastAsia="Noto Sans"/>
        </w:rPr>
        <w:t>Tutte le chiamate generano o propagano un correlation ID.</w:t>
      </w:r>
    </w:p>
    <w:p>
      <w:pPr>
        <w:pStyle w:val="ListBullet"/>
        <w:spacing w:after="40"/>
      </w:pPr>
      <w:r>
        <w:rPr>
          <w:rFonts w:ascii="Noto Sans" w:hAnsi="Noto Sans" w:eastAsia="Noto Sans"/>
        </w:rPr>
        <w:t>Nessuna sorgente esterna può raggiungere direttamente Adapter o ETL.</w:t>
      </w:r>
    </w:p>
    <w:p>
      <w:pPr>
        <w:pStyle w:val="ListBullet"/>
        <w:spacing w:after="40"/>
      </w:pPr>
      <w:r>
        <w:rPr>
          <w:rFonts w:ascii="Noto Sans" w:hAnsi="Noto Sans" w:eastAsia="Noto Sans"/>
        </w:rPr>
        <w:t>WFS GetCapabilities, DescribeFeatureType e GetFeature funzionano tramite Gateway.</w:t>
      </w:r>
    </w:p>
    <w:p>
      <w:pPr>
        <w:pStyle w:val="ListBullet"/>
        <w:spacing w:after="40"/>
      </w:pPr>
      <w:r>
        <w:rPr>
          <w:rFonts w:ascii="Noto Sans" w:hAnsi="Noto Sans" w:eastAsia="Noto Sans"/>
        </w:rPr>
        <w:t>Il risultato WFS può essere convertito nel formato geografico canonico.</w:t>
      </w:r>
    </w:p>
    <w:p>
      <w:pPr>
        <w:pStyle w:val="ListBullet"/>
        <w:spacing w:after="40"/>
      </w:pPr>
      <w:r>
        <w:rPr>
          <w:rFonts w:ascii="Noto Sans" w:hAnsi="Noto Sans" w:eastAsia="Noto Sans"/>
        </w:rPr>
        <w:t>WMS GetCapabilities, GetMap e GetFeatureInfo funzionano tramite Gateway quando supportati.</w:t>
      </w:r>
    </w:p>
    <w:p>
      <w:pPr>
        <w:pStyle w:val="ListBullet"/>
        <w:spacing w:after="40"/>
      </w:pPr>
      <w:r>
        <w:rPr>
          <w:rFonts w:ascii="Noto Sans" w:hAnsi="Noto Sans" w:eastAsia="Noto Sans"/>
        </w:rPr>
        <w:t>Il rate limit viene applicato per client e route.</w:t>
      </w:r>
    </w:p>
    <w:p>
      <w:pPr>
        <w:pStyle w:val="ListBullet"/>
        <w:spacing w:after="40"/>
      </w:pPr>
      <w:r>
        <w:rPr>
          <w:rFonts w:ascii="Noto Sans" w:hAnsi="Noto Sans" w:eastAsia="Noto Sans"/>
        </w:rPr>
        <w:t>Una sorgente esterna indisponibile produce un errore standard 502/504.</w:t>
      </w:r>
    </w:p>
    <w:p>
      <w:pPr>
        <w:pStyle w:val="ListBullet"/>
        <w:spacing w:after="40"/>
      </w:pPr>
      <w:r>
        <w:rPr>
          <w:rFonts w:ascii="Noto Sans" w:hAnsi="Noto Sans" w:eastAsia="Noto Sans"/>
        </w:rPr>
        <w:t>Le configurazioni sono riproducibili dal repository.</w:t>
      </w:r>
    </w:p>
    <w:p>
      <w:pPr>
        <w:pStyle w:val="ListBullet"/>
      </w:pPr>
      <w:r>
        <w:rPr>
          <w:rFonts w:ascii="Noto Sans" w:hAnsi="Noto Sans" w:eastAsia="Noto Sans"/>
        </w:rPr>
        <w:t>Un bootstrap interrotto può riprendere da checkpoint senza duplicare record già processati.</w:t>
      </w:r>
    </w:p>
    <w:p>
      <w:pPr>
        <w:pStyle w:val="ListBullet"/>
      </w:pPr>
      <w:r>
        <w:rPr>
          <w:rFonts w:ascii="Noto Sans" w:hAnsi="Noto Sans" w:eastAsia="Noto Sans"/>
        </w:rPr>
        <w:t>Il watermark/change token viene avanzato solo a completamento coerente del batch o checkpoint previsto.</w:t>
      </w:r>
    </w:p>
    <w:p>
      <w:pPr>
        <w:pStyle w:val="ListBullet"/>
      </w:pPr>
      <w:r>
        <w:rPr>
          <w:rFonts w:ascii="Noto Sans" w:hAnsi="Noto Sans" w:eastAsia="Noto Sans"/>
        </w:rPr>
        <w:t>Il passaggio FULL_SNAPSHOT -&gt; catch-up delta -&gt; INCREMENTAL non richiede modifiche ai verticali.</w:t>
      </w:r>
    </w:p>
    <w:p>
      <w:pPr>
        <w:pStyle w:val="ListBullet"/>
      </w:pPr>
      <w:r>
        <w:rPr>
          <w:rFonts w:ascii="Noto Sans" w:hAnsi="Noto Sans" w:eastAsia="Noto Sans"/>
        </w:rPr>
        <w:t>Una dashboard può ricevere aggiornamenti live tramite un binding governato senza accedere direttamente alla UDP.</w:t>
      </w:r>
    </w:p>
    <w:p>
      <w:pPr>
        <w:pStyle w:val="Heading2"/>
        <w:keepNext/>
        <w:spacing w:before="160"/>
      </w:pPr>
      <w:r>
        <w:rPr>
          <w:rFonts w:ascii="Noto Sans" w:hAnsi="Noto Sans" w:eastAsia="Noto Sans"/>
        </w:rPr>
        <w:t>31.1 Collaudi capability e predisposizione MCP</w:t>
      </w:r>
    </w:p>
    <w:p>
      <w:pPr>
        <w:pStyle w:val="ListBullet"/>
      </w:pPr>
      <w:r>
        <w:rPr>
          <w:rFonts w:ascii="Noto Sans" w:hAnsi="Noto Sans" w:eastAsia="Noto Sans"/>
        </w:rPr>
        <w:t>Ogni route consumer-facing è associata a un capabilityId valido e versionato.</w:t>
      </w:r>
    </w:p>
    <w:p>
      <w:pPr>
        <w:pStyle w:val="ListBullet"/>
      </w:pPr>
      <w:r>
        <w:rPr>
          <w:rFonts w:ascii="Noto Sans" w:hAnsi="Noto Sans" w:eastAsia="Noto Sans"/>
        </w:rPr>
        <w:t>Una capability con mcp.toolEligible=false non può essere pubblicata dal futuro MCP Server.</w:t>
      </w:r>
    </w:p>
    <w:p>
      <w:pPr>
        <w:pStyle w:val="ListBullet"/>
      </w:pPr>
      <w:r>
        <w:rPr>
          <w:rFonts w:ascii="Noto Sans" w:hAnsi="Noto Sans" w:eastAsia="Noto Sans"/>
        </w:rPr>
        <w:t>La stessa capability può essere risolta su binding REST e OGC senza cambiare capabilityId.</w:t>
      </w:r>
    </w:p>
    <w:p>
      <w:pPr>
        <w:pStyle w:val="ListBullet"/>
      </w:pPr>
      <w:r>
        <w:rPr>
          <w:rFonts w:ascii="Noto Sans" w:hAnsi="Noto Sans" w:eastAsia="Noto Sans"/>
        </w:rPr>
        <w:t>La disattivazione o deprecazione di un binding non modifica l’identità logica della capability.</w:t>
      </w:r>
    </w:p>
    <w:p>
      <w:pPr>
        <w:pStyle w:val="ListBullet"/>
      </w:pPr>
      <w:r>
        <w:rPr>
          <w:rFonts w:ascii="Noto Sans" w:hAnsi="Noto Sans" w:eastAsia="Noto Sans"/>
        </w:rPr>
        <w:t>Gli scope IAM dichiarati nel manifest sono applicati dal Gateway indipendentemente dal tipo di consumer.</w:t>
      </w:r>
    </w:p>
    <w:p>
      <w:pPr>
        <w:pStyle w:val="ListBullet"/>
      </w:pPr>
      <w:r>
        <w:rPr>
          <w:rFonts w:ascii="Noto Sans" w:hAnsi="Noto Sans" w:eastAsia="Noto Sans"/>
        </w:rPr>
        <w:t>Non esiste alcun binding MCP diretto verso UDP, Data Lake o sistemi verticali.</w:t>
      </w:r>
    </w:p>
    <w:p>
      <w:pPr>
        <w:pStyle w:val="ListBullet"/>
        <w:spacing w:after="40"/>
      </w:pPr>
      <w:r>
        <w:rPr>
          <w:rFonts w:ascii="Noto Sans" w:hAnsi="Noto Sans" w:eastAsia="Noto Sans"/>
        </w:rPr>
        <w:t>Una route attiva è sempre risolvibile a sourceId, capabilityId e backendBinding validi.</w:t>
      </w:r>
    </w:p>
    <w:p>
      <w:pPr>
        <w:pStyle w:val="ListBullet"/>
        <w:spacing w:after="40"/>
      </w:pPr>
      <w:r>
        <w:rPr>
          <w:rFonts w:ascii="Noto Sans" w:hAnsi="Noto Sans" w:eastAsia="Noto Sans"/>
        </w:rPr>
        <w:t>La disabilitazione del Source Manifest impedisce nuove invocazioni senza cancellare storico e audit.</w:t>
      </w:r>
    </w:p>
    <w:p>
      <w:pPr>
        <w:pStyle w:val="ListBullet"/>
        <w:spacing w:after="40"/>
      </w:pPr>
      <w:r>
        <w:rPr>
          <w:rFonts w:ascii="Noto Sans" w:hAnsi="Noto Sans" w:eastAsia="Noto Sans"/>
        </w:rPr>
        <w:t>Il Gateway consegna al Connector ingestionId, correlationId, sourceId, dataset e schemaVersion.</w:t>
      </w:r>
    </w:p>
    <w:p>
      <w:pPr>
        <w:pStyle w:val="ListBullet"/>
        <w:spacing w:after="40"/>
      </w:pPr>
      <w:r>
        <w:rPr>
          <w:rFonts w:ascii="Noto Sans" w:hAnsi="Noto Sans" w:eastAsia="Noto Sans"/>
        </w:rPr>
        <w:t>La stessa richiesta può essere tracciata dal Gateway al run ETL e al lineage registrato nella UDP.</w:t>
      </w:r>
    </w:p>
    <w:p>
      <w:pPr>
        <w:pStyle w:val="ListBullet"/>
        <w:spacing w:after="40"/>
      </w:pPr>
      <w:r>
        <w:rPr>
          <w:rFonts w:ascii="Noto Sans" w:hAnsi="Noto Sans" w:eastAsia="Noto Sans"/>
        </w:rPr>
        <w:t>Nessun client esterno può raggiungere direttamente Connector Framework, ETL o UDP.</w:t>
      </w:r>
    </w:p>
    <w:p>
      <w:pPr>
        <w:pStyle w:val="ListBullet"/>
        <w:spacing w:after="40"/>
      </w:pPr>
      <w:r>
        <w:rPr>
          <w:rFonts w:ascii="Noto Sans" w:hAnsi="Noto Sans" w:eastAsia="Noto Sans"/>
        </w:rPr>
        <w:t>Un servizio dati UDP può essere sostituito o riallocato modificando il binding interno senza cambiare capabilityId o contratto esterno.</w:t>
      </w:r>
    </w:p>
    <w:p>
      <w:pPr>
        <w:pStyle w:val="ListBullet"/>
        <w:spacing w:after="40"/>
      </w:pPr>
      <w:r>
        <w:rPr>
          <w:rFonts w:ascii="Noto Sans" w:hAnsi="Noto Sans" w:eastAsia="Noto Sans"/>
        </w:rPr>
        <w:t>Un errore ETL o una quarantena sono esposti tramite status API standard e non tramite endpoint interni.</w:t>
      </w:r>
    </w:p>
    <w:p>
      <w:pPr>
        <w:pStyle w:val="Heading2"/>
        <w:keepNext/>
        <w:spacing w:before="160"/>
      </w:pPr>
      <w:r>
        <w:rPr>
          <w:rFonts w:ascii="Noto Sans" w:hAnsi="Noto Sans" w:eastAsia="Noto Sans"/>
        </w:rPr>
        <w:t>31.2 Collaudi dei contratti interni</w:t>
      </w:r>
    </w:p>
    <w:p>
      <w:pPr>
        <w:pStyle w:val="Heading1"/>
        <w:keepNext/>
        <w:spacing w:before="160"/>
      </w:pPr>
      <w:r>
        <w:rPr>
          <w:rFonts w:ascii="Noto Sans" w:hAnsi="Noto Sans" w:eastAsia="Noto Sans"/>
        </w:rPr>
        <w:t>32. Decisioni progettuali della prima release</w:t>
      </w:r>
    </w:p>
    <w:p>
      <w:pPr>
        <w:pStyle w:val="ListNumber"/>
        <w:spacing w:after="40"/>
      </w:pPr>
      <w:r>
        <w:rPr>
          <w:rFonts w:ascii="Noto Sans" w:hAnsi="Noto Sans" w:eastAsia="Noto Sans"/>
        </w:rPr>
        <w:t>JSON è il formato canonico dei dati amministrativi OUF.</w:t>
      </w:r>
    </w:p>
    <w:p>
      <w:pPr>
        <w:pStyle w:val="ListNumber"/>
        <w:spacing w:after="40"/>
      </w:pPr>
      <w:r>
        <w:rPr>
          <w:rFonts w:ascii="Noto Sans" w:hAnsi="Noto Sans" w:eastAsia="Noto Sans"/>
        </w:rPr>
        <w:t>XML è supportato esclusivamente tramite Adapter di compatibilità.</w:t>
      </w:r>
    </w:p>
    <w:p>
      <w:pPr>
        <w:pStyle w:val="ListNumber"/>
        <w:spacing w:after="40"/>
      </w:pPr>
      <w:r>
        <w:rPr>
          <w:rFonts w:ascii="Noto Sans" w:hAnsi="Noto Sans" w:eastAsia="Noto Sans"/>
        </w:rPr>
        <w:t>GeoJSON/JSON-FG è il formato canonico per feature geografiche normalizzate.</w:t>
      </w:r>
    </w:p>
    <w:p>
      <w:pPr>
        <w:pStyle w:val="ListNumber"/>
        <w:spacing w:after="40"/>
      </w:pPr>
      <w:r>
        <w:rPr>
          <w:rFonts w:ascii="Noto Sans" w:hAnsi="Noto Sans" w:eastAsia="Noto Sans"/>
        </w:rPr>
        <w:t>WFS viene supportato come protocollo sorgente.</w:t>
      </w:r>
    </w:p>
    <w:p>
      <w:pPr>
        <w:pStyle w:val="ListNumber"/>
        <w:spacing w:after="40"/>
      </w:pPr>
      <w:r>
        <w:rPr>
          <w:rFonts w:ascii="Noto Sans" w:hAnsi="Noto Sans" w:eastAsia="Noto Sans"/>
        </w:rPr>
        <w:t>Per nuove esposizioni OUF viene preferito OGC API - Features.</w:t>
      </w:r>
    </w:p>
    <w:p>
      <w:pPr>
        <w:pStyle w:val="ListNumber"/>
        <w:spacing w:after="40"/>
      </w:pPr>
      <w:r>
        <w:rPr>
          <w:rFonts w:ascii="Noto Sans" w:hAnsi="Noto Sans" w:eastAsia="Noto Sans"/>
        </w:rPr>
        <w:t>WMS viene trattato principalmente come servizio cartografico proxy, non come dataset da riversare sistematicamente nel Data Lake.</w:t>
      </w:r>
    </w:p>
    <w:p>
      <w:pPr>
        <w:pStyle w:val="ListNumber"/>
        <w:spacing w:after="40"/>
      </w:pPr>
      <w:r>
        <w:rPr>
          <w:rFonts w:ascii="Noto Sans" w:hAnsi="Noto Sans" w:eastAsia="Noto Sans"/>
        </w:rPr>
        <w:t>Tutte le comunicazioni con sistemi esterni attraversano il Gateway.</w:t>
      </w:r>
    </w:p>
    <w:p>
      <w:pPr>
        <w:pStyle w:val="ListNumber"/>
        <w:spacing w:after="40"/>
      </w:pPr>
      <w:r>
        <w:rPr>
          <w:rFonts w:ascii="Noto Sans" w:hAnsi="Noto Sans" w:eastAsia="Noto Sans"/>
        </w:rPr>
        <w:t>Il Gateway dispone logicamente di un profilo northbound e southbound; per SUAP/SUO/SUE il southbound PULL è il percorso di acquisizione prevalente.</w:t>
      </w:r>
    </w:p>
    <w:p>
      <w:pPr>
        <w:pStyle w:val="ListNumber"/>
        <w:spacing w:after="40"/>
      </w:pPr>
      <w:r>
        <w:rPr>
          <w:rFonts w:ascii="Noto Sans" w:hAnsi="Noto Sans" w:eastAsia="Noto Sans"/>
        </w:rPr>
        <w:t>ETL, Semantic Enrichment e Object Resolution rimangono esterni al Gateway.</w:t>
      </w:r>
    </w:p>
    <w:p>
      <w:pPr>
        <w:pStyle w:val="ListNumber"/>
        <w:spacing w:after="40"/>
      </w:pPr>
      <w:r>
        <w:rPr>
          <w:rFonts w:ascii="Noto Sans" w:hAnsi="Noto Sans" w:eastAsia="Noto Sans"/>
        </w:rPr>
        <w:t>Il profilo iniziale ammette esclusivamente dati OPEN o ANONYMOUS.</w:t>
      </w:r>
    </w:p>
    <w:p>
      <w:pPr>
        <w:pStyle w:val="ListNumber"/>
        <w:spacing w:after="40"/>
      </w:pPr>
      <w:r>
        <w:rPr>
          <w:rFonts w:ascii="Noto Sans" w:hAnsi="Noto Sans" w:eastAsia="Noto Sans"/>
        </w:rPr>
        <w:t>Le policy restano estendibili a futuri dataset personali o soggetti a restrizioni.</w:t>
      </w:r>
    </w:p>
    <w:p>
      <w:pPr>
        <w:pStyle w:val="ListNumber"/>
        <w:spacing w:after="40"/>
      </w:pPr>
      <w:r>
        <w:rPr>
          <w:rFonts w:ascii="Noto Sans" w:hAnsi="Noto Sans" w:eastAsia="Noto Sans"/>
        </w:rPr>
        <w:t>API, route, policy, schema e source manifest sono versionati e gestiti come codice.</w:t>
      </w:r>
    </w:p>
    <w:p>
      <w:pPr>
        <w:pStyle w:val="ListNumber"/>
      </w:pPr>
      <w:r>
        <w:rPr>
          <w:rFonts w:ascii="Noto Sans" w:hAnsi="Noto Sans" w:eastAsia="Noto Sans"/>
        </w:rPr>
        <w:t>Ogni endpoint consumer-facing deve essere associato a una capability registrata.</w:t>
      </w:r>
    </w:p>
    <w:p>
      <w:pPr>
        <w:pStyle w:val="ListNumber"/>
      </w:pPr>
      <w:r>
        <w:rPr>
          <w:rFonts w:ascii="Noto Sans" w:hAnsi="Noto Sans" w:eastAsia="Noto Sans"/>
        </w:rPr>
        <w:t>Capability e binding tecnico sono entità distinte: REST, OGC e MCP possono riferirsi alla stessa capability.</w:t>
      </w:r>
    </w:p>
    <w:p>
      <w:pPr>
        <w:pStyle w:val="ListNumber"/>
      </w:pPr>
      <w:r>
        <w:rPr>
          <w:rFonts w:ascii="Noto Sans" w:hAnsi="Noto Sans" w:eastAsia="Noto Sans"/>
        </w:rPr>
        <w:t>Il Capability Manifest è versionato e gestito come codice.</w:t>
      </w:r>
    </w:p>
    <w:p>
      <w:pPr>
        <w:pStyle w:val="ListNumber"/>
      </w:pPr>
      <w:r>
        <w:rPr>
          <w:rFonts w:ascii="Noto Sans" w:hAnsi="Noto Sans" w:eastAsia="Noto Sans"/>
        </w:rPr>
        <w:t>L’esposizione MCP è opt-in e richiede mcp.toolEligible=true.</w:t>
      </w:r>
    </w:p>
    <w:p>
      <w:pPr>
        <w:pStyle w:val="ListNumber"/>
      </w:pPr>
      <w:r>
        <w:rPr>
          <w:rFonts w:ascii="Noto Sans" w:hAnsi="Noto Sans" w:eastAsia="Noto Sans"/>
        </w:rPr>
        <w:t>Le capability di ingestion sono interne e non MCP-exposed per default.</w:t>
      </w:r>
    </w:p>
    <w:p>
      <w:pPr>
        <w:pStyle w:val="ListNumber"/>
      </w:pPr>
      <w:r>
        <w:rPr>
          <w:rFonts w:ascii="Noto Sans" w:hAnsi="Noto Sans" w:eastAsia="Noto Sans"/>
        </w:rPr>
        <w:t>La fruizione può combinare REST/OGC con SSE/WebSocket/event subscription; Event Mesh resta opzionale.</w:t>
      </w:r>
    </w:p>
    <w:p>
      <w:pPr>
        <w:pStyle w:val="ListNumber"/>
      </w:pPr>
      <w:r>
        <w:rPr>
          <w:rFonts w:ascii="Noto Sans" w:hAnsi="Noto Sans" w:eastAsia="Noto Sans"/>
        </w:rPr>
        <w:t>L’acquisizione dalle sorgenti autorevoli è PULL-first; gli ingress PUSH restano capability opzionali/di compatibilità.</w:t>
      </w:r>
    </w:p>
    <w:p>
      <w:pPr>
        <w:pStyle w:val="ListNumber"/>
      </w:pPr>
      <w:r>
        <w:rPr>
          <w:rFonts w:ascii="Noto Sans" w:hAnsi="Noto Sans" w:eastAsia="Noto Sans"/>
        </w:rPr>
        <w:t>La discriminazione e la classificazione di procedimenti, oggetti e campi sono responsabilità del Source Onboarding / Source Configuration e del Semantic Model; il Gateway applica esclusivamente la proiezione runtime approvata.</w:t>
      </w:r>
    </w:p>
    <w:p>
      <w:pPr>
        <w:pStyle w:val="ListNumber"/>
      </w:pPr>
      <w:r>
        <w:rPr>
          <w:rFonts w:ascii="Noto Sans" w:hAnsi="Noto Sans" w:eastAsia="Noto Sans"/>
        </w:rPr>
        <w:t>L’Extraction Profile è l’artefatto contrattuale che traduce le decisioni di onboarding in vincoli eseguibili per l’acquisizione PULL (filtri, field projection, paging, delta strategy), senza trasferire la semantica nel Gateway.</w:t>
      </w:r>
    </w:p>
    <w:p>
      <w:pPr>
        <w:pStyle w:val="ListNumber"/>
      </w:pPr>
      <w:r>
        <w:rPr>
          <w:rFonts w:ascii="Noto Sans" w:hAnsi="Noto Sans" w:eastAsia="Noto Sans"/>
        </w:rPr>
        <w:t>Una source instance può generare 0..N entità canoniche, preservando provenance e versione del mapping.</w:t>
      </w:r>
    </w:p>
    <w:p>
      <w:pPr>
        <w:pStyle w:val="ListNumber"/>
      </w:pPr>
      <w:r>
        <w:rPr>
          <w:rFonts w:ascii="Noto Sans" w:hAnsi="Noto Sans" w:eastAsia="Noto Sans"/>
        </w:rPr>
        <w:t>Tipi sorgente sconosciuti o mapping semantici mancanti non sono promossi nella UDP canonica e sono gestiti tramite stato/quarantena espliciti.</w:t>
      </w:r>
    </w:p>
    <w:p>
      <w:pPr>
        <w:pStyle w:val="Heading1"/>
        <w:keepNext/>
        <w:spacing w:before="160"/>
      </w:pPr>
      <w:r>
        <w:rPr>
          <w:rFonts w:ascii="Noto Sans" w:hAnsi="Noto Sans" w:eastAsia="Noto Sans"/>
        </w:rPr>
        <w:t>33. Milestone esecutive</w:t>
      </w:r>
    </w:p>
    <w:tbl>
      <w:tblPr>
        <w:tblStyle w:val="TableGrid"/>
        <w:tblW w:type="auto" w:w="0"/>
        <w:jc w:val="center"/>
        <w:tblLook w:firstColumn="1" w:firstRow="1" w:lastColumn="0" w:lastRow="0" w:noHBand="0" w:noVBand="1" w:val="04A0"/>
      </w:tblPr>
      <w:tblGrid>
        <w:gridCol w:w="3024"/>
        <w:gridCol w:w="3024"/>
        <w:gridCol w:w="3024"/>
      </w:tblGrid>
      <w:tr>
        <w:trPr>
          <w:tblHeader w:val="true"/>
          <w:cantSplit/>
        </w:trPr>
        <w:tc>
          <w:tcPr>
            <w:tcW w:type="dxa" w:w="1984"/>
            <w:vAlign w:val="top"/>
            <w:shd w:fill="0B4F6C"/>
            <w:tcMar>
              <w:top w:w="70" w:type="dxa"/>
              <w:start w:w="90" w:type="dxa"/>
              <w:bottom w:w="70" w:type="dxa"/>
              <w:end w:w="90" w:type="dxa"/>
            </w:tcMar>
          </w:tcPr>
          <w:p>
            <w:r>
              <w:rPr>
                <w:rFonts w:ascii="Noto Sans" w:hAnsi="Noto Sans" w:eastAsia="Noto Sans"/>
                <w:sz w:val="17"/>
              </w:rPr>
              <w:t>Milestone</w:t>
            </w:r>
          </w:p>
        </w:tc>
        <w:tc>
          <w:tcPr>
            <w:tcW w:type="dxa" w:w="5272"/>
            <w:vAlign w:val="top"/>
            <w:shd w:fill="0B4F6C"/>
            <w:tcMar>
              <w:top w:w="70" w:type="dxa"/>
              <w:start w:w="90" w:type="dxa"/>
              <w:bottom w:w="70" w:type="dxa"/>
              <w:end w:w="90" w:type="dxa"/>
            </w:tcMar>
          </w:tcPr>
          <w:p>
            <w:r>
              <w:rPr>
                <w:rFonts w:ascii="Noto Sans" w:hAnsi="Noto Sans" w:eastAsia="Noto Sans"/>
                <w:sz w:val="17"/>
              </w:rPr>
              <w:t>Contenuti</w:t>
            </w:r>
          </w:p>
        </w:tc>
        <w:tc>
          <w:tcPr>
            <w:tcW w:type="dxa" w:w="3061"/>
            <w:vAlign w:val="top"/>
            <w:shd w:fill="0B4F6C"/>
            <w:tcMar>
              <w:top w:w="70" w:type="dxa"/>
              <w:start w:w="90" w:type="dxa"/>
              <w:bottom w:w="70" w:type="dxa"/>
              <w:end w:w="90" w:type="dxa"/>
            </w:tcMar>
          </w:tcPr>
          <w:p>
            <w:r>
              <w:rPr>
                <w:rFonts w:ascii="Noto Sans" w:hAnsi="Noto Sans" w:eastAsia="Noto Sans"/>
                <w:sz w:val="17"/>
              </w:rPr>
              <w:t>Criterio di uscita</w:t>
            </w:r>
          </w:p>
        </w:tc>
      </w:tr>
      <w:tr>
        <w:trPr>
          <w:cantSplit/>
        </w:trPr>
        <w:tc>
          <w:tcPr>
            <w:tcW w:type="dxa" w:w="1984"/>
            <w:vAlign w:val="top"/>
            <w:tcMar>
              <w:top w:w="70" w:type="dxa"/>
              <w:start w:w="90" w:type="dxa"/>
              <w:bottom w:w="70" w:type="dxa"/>
              <w:end w:w="90" w:type="dxa"/>
            </w:tcMar>
          </w:tcPr>
          <w:p>
            <w:r>
              <w:rPr>
                <w:rFonts w:ascii="Noto Sans" w:hAnsi="Noto Sans" w:eastAsia="Noto Sans"/>
                <w:sz w:val="17"/>
              </w:rPr>
              <w:t>M1 — Gateway Foundation</w:t>
            </w:r>
          </w:p>
        </w:tc>
        <w:tc>
          <w:tcPr>
            <w:tcW w:type="dxa" w:w="5272"/>
            <w:vAlign w:val="top"/>
            <w:tcMar>
              <w:top w:w="70" w:type="dxa"/>
              <w:start w:w="90" w:type="dxa"/>
              <w:bottom w:w="70" w:type="dxa"/>
              <w:end w:w="90" w:type="dxa"/>
            </w:tcMar>
          </w:tcPr>
          <w:p>
            <w:r>
              <w:rPr>
                <w:rFonts w:ascii="Noto Sans" w:hAnsi="Noto Sans" w:eastAsia="Noto Sans"/>
                <w:sz w:val="17"/>
              </w:rPr>
              <w:t>Deployment HA; TLS; logging; correlation ID; OAuth2/mTLS; rate limiting; OpenAPI; error model; route ingestion</w:t>
            </w:r>
          </w:p>
        </w:tc>
        <w:tc>
          <w:tcPr>
            <w:tcW w:type="dxa" w:w="3061"/>
            <w:vAlign w:val="top"/>
            <w:tcMar>
              <w:top w:w="70" w:type="dxa"/>
              <w:start w:w="90" w:type="dxa"/>
              <w:bottom w:w="70" w:type="dxa"/>
              <w:end w:w="90" w:type="dxa"/>
            </w:tcMar>
          </w:tcPr>
          <w:p>
            <w:r>
              <w:rPr>
                <w:rFonts w:ascii="Noto Sans" w:hAnsi="Noto Sans" w:eastAsia="Noto Sans"/>
                <w:sz w:val="17"/>
              </w:rPr>
              <w:t>Gateway operativo in staging con test automatici di sicurezza e routing</w:t>
            </w:r>
          </w:p>
        </w:tc>
      </w:tr>
      <w:tr>
        <w:trPr>
          <w:cantSplit/>
        </w:trPr>
        <w:tc>
          <w:tcPr>
            <w:tcW w:type="dxa" w:w="1984"/>
            <w:vAlign w:val="top"/>
            <w:shd w:fill="F3F4F6"/>
            <w:tcMar>
              <w:top w:w="70" w:type="dxa"/>
              <w:start w:w="90" w:type="dxa"/>
              <w:bottom w:w="70" w:type="dxa"/>
              <w:end w:w="90" w:type="dxa"/>
            </w:tcMar>
          </w:tcPr>
          <w:p>
            <w:r>
              <w:rPr>
                <w:rFonts w:ascii="Noto Sans" w:hAnsi="Noto Sans" w:eastAsia="Noto Sans"/>
                <w:sz w:val="17"/>
              </w:rPr>
              <w:t>M2 — SUAP/SUO/SUE</w:t>
            </w:r>
          </w:p>
        </w:tc>
        <w:tc>
          <w:tcPr>
            <w:tcW w:type="dxa" w:w="5272"/>
            <w:vAlign w:val="top"/>
            <w:shd w:fill="F3F4F6"/>
            <w:tcMar>
              <w:top w:w="70" w:type="dxa"/>
              <w:start w:w="90" w:type="dxa"/>
              <w:bottom w:w="70" w:type="dxa"/>
              <w:end w:w="90" w:type="dxa"/>
            </w:tcMar>
          </w:tcPr>
          <w:p>
            <w:r>
              <w:rPr>
                <w:rFonts w:ascii="Noto Sans" w:hAnsi="Noto Sans" w:eastAsia="Noto Sans"/>
                <w:sz w:val="17"/>
              </w:rPr>
              <w:t>Tre client tecnici; tre source manifest; contratti sorgente; Adapter con generazione OUF Canonical Data Envelope; JSON Schema interno; idempotenza</w:t>
            </w:r>
          </w:p>
        </w:tc>
        <w:tc>
          <w:tcPr>
            <w:tcW w:type="dxa" w:w="3061"/>
            <w:vAlign w:val="top"/>
            <w:shd w:fill="F3F4F6"/>
            <w:tcMar>
              <w:top w:w="70" w:type="dxa"/>
              <w:start w:w="90" w:type="dxa"/>
              <w:bottom w:w="70" w:type="dxa"/>
              <w:end w:w="90" w:type="dxa"/>
            </w:tcMar>
          </w:tcPr>
          <w:p>
            <w:r>
              <w:rPr>
                <w:rFonts w:ascii="Noto Sans" w:hAnsi="Noto Sans" w:eastAsia="Noto Sans"/>
                <w:sz w:val="17"/>
              </w:rPr>
              <w:t>Primo dataset per ciascun verticale acquisito end-to-end</w:t>
            </w:r>
          </w:p>
        </w:tc>
      </w:tr>
      <w:tr>
        <w:trPr>
          <w:cantSplit/>
        </w:trPr>
        <w:tc>
          <w:tcPr>
            <w:tcW w:type="dxa" w:w="1984"/>
            <w:vAlign w:val="top"/>
            <w:tcMar>
              <w:top w:w="70" w:type="dxa"/>
              <w:start w:w="90" w:type="dxa"/>
              <w:bottom w:w="70" w:type="dxa"/>
              <w:end w:w="90" w:type="dxa"/>
            </w:tcMar>
          </w:tcPr>
          <w:p>
            <w:r>
              <w:rPr>
                <w:rFonts w:ascii="Noto Sans" w:hAnsi="Noto Sans" w:eastAsia="Noto Sans"/>
                <w:sz w:val="17"/>
              </w:rPr>
              <w:t>M3 — WebGIS</w:t>
            </w:r>
          </w:p>
        </w:tc>
        <w:tc>
          <w:tcPr>
            <w:tcW w:type="dxa" w:w="5272"/>
            <w:vAlign w:val="top"/>
            <w:tcMar>
              <w:top w:w="70" w:type="dxa"/>
              <w:start w:w="90" w:type="dxa"/>
              <w:bottom w:w="70" w:type="dxa"/>
              <w:end w:w="90" w:type="dxa"/>
            </w:tcMar>
          </w:tcPr>
          <w:p>
            <w:r>
              <w:rPr>
                <w:rFonts w:ascii="Noto Sans" w:hAnsi="Noto Sans" w:eastAsia="Noto Sans"/>
                <w:sz w:val="17"/>
              </w:rPr>
              <w:t>Client WFS; conversione WFS→GeoJSON/JSON-FG; proxy WMS; harvesting capability</w:t>
            </w:r>
          </w:p>
        </w:tc>
        <w:tc>
          <w:tcPr>
            <w:tcW w:type="dxa" w:w="3061"/>
            <w:vAlign w:val="top"/>
            <w:tcMar>
              <w:top w:w="70" w:type="dxa"/>
              <w:start w:w="90" w:type="dxa"/>
              <w:bottom w:w="70" w:type="dxa"/>
              <w:end w:w="90" w:type="dxa"/>
            </w:tcMar>
          </w:tcPr>
          <w:p>
            <w:r>
              <w:rPr>
                <w:rFonts w:ascii="Noto Sans" w:hAnsi="Noto Sans" w:eastAsia="Noto Sans"/>
                <w:sz w:val="17"/>
              </w:rPr>
              <w:t>Layer WFS integrato e layer WMS fruito attraverso il Gateway</w:t>
            </w:r>
          </w:p>
        </w:tc>
      </w:tr>
      <w:tr>
        <w:trPr>
          <w:cantSplit/>
        </w:trPr>
        <w:tc>
          <w:tcPr>
            <w:tcW w:type="dxa" w:w="1984"/>
            <w:vAlign w:val="top"/>
            <w:shd w:fill="F3F4F6"/>
            <w:tcMar>
              <w:top w:w="70" w:type="dxa"/>
              <w:start w:w="90" w:type="dxa"/>
              <w:bottom w:w="70" w:type="dxa"/>
              <w:end w:w="90" w:type="dxa"/>
            </w:tcMar>
          </w:tcPr>
          <w:p>
            <w:r>
              <w:rPr>
                <w:rFonts w:ascii="Noto Sans" w:hAnsi="Noto Sans" w:eastAsia="Noto Sans"/>
                <w:sz w:val="17"/>
              </w:rPr>
              <w:t>M4 — Operational readiness</w:t>
            </w:r>
          </w:p>
        </w:tc>
        <w:tc>
          <w:tcPr>
            <w:tcW w:type="dxa" w:w="5272"/>
            <w:vAlign w:val="top"/>
            <w:shd w:fill="F3F4F6"/>
            <w:tcMar>
              <w:top w:w="70" w:type="dxa"/>
              <w:start w:w="90" w:type="dxa"/>
              <w:bottom w:w="70" w:type="dxa"/>
              <w:end w:w="90" w:type="dxa"/>
            </w:tcMar>
          </w:tcPr>
          <w:p>
            <w:r>
              <w:rPr>
                <w:rFonts w:ascii="Noto Sans" w:hAnsi="Noto Sans" w:eastAsia="Noto Sans"/>
                <w:sz w:val="17"/>
              </w:rPr>
              <w:t>Metriche; dashboard; alert; test di carico/fault; runbook; documentazione</w:t>
            </w:r>
          </w:p>
        </w:tc>
        <w:tc>
          <w:tcPr>
            <w:tcW w:type="dxa" w:w="3061"/>
            <w:vAlign w:val="top"/>
            <w:shd w:fill="F3F4F6"/>
            <w:tcMar>
              <w:top w:w="70" w:type="dxa"/>
              <w:start w:w="90" w:type="dxa"/>
              <w:bottom w:w="70" w:type="dxa"/>
              <w:end w:w="90" w:type="dxa"/>
            </w:tcMar>
          </w:tcPr>
          <w:p>
            <w:r>
              <w:rPr>
                <w:rFonts w:ascii="Noto Sans" w:hAnsi="Noto Sans" w:eastAsia="Noto Sans"/>
                <w:sz w:val="17"/>
              </w:rPr>
              <w:t>Pronto per esercizio controllato del core iniziale</w:t>
            </w:r>
          </w:p>
        </w:tc>
      </w:tr>
      <w:tr>
        <w:trPr>
          <w:cantSplit/>
        </w:trPr>
        <w:tc>
          <w:tcPr>
            <w:tcW w:type="dxa" w:w="3024"/>
            <w:tcMar>
              <w:top w:w="70" w:type="dxa"/>
              <w:start w:w="90" w:type="dxa"/>
              <w:bottom w:w="70" w:type="dxa"/>
              <w:end w:w="90" w:type="dxa"/>
            </w:tcMar>
          </w:tcPr>
          <w:p>
            <w:r>
              <w:rPr>
                <w:rFonts w:ascii="Noto Sans" w:hAnsi="Noto Sans" w:eastAsia="Noto Sans"/>
                <w:sz w:val="17"/>
              </w:rPr>
              <w:t>M5</w:t>
            </w:r>
          </w:p>
        </w:tc>
        <w:tc>
          <w:tcPr>
            <w:tcW w:type="dxa" w:w="3024"/>
            <w:tcMar>
              <w:top w:w="70" w:type="dxa"/>
              <w:start w:w="90" w:type="dxa"/>
              <w:bottom w:w="70" w:type="dxa"/>
              <w:end w:w="90" w:type="dxa"/>
            </w:tcMar>
          </w:tcPr>
          <w:p>
            <w:r>
              <w:rPr>
                <w:rFonts w:ascii="Noto Sans" w:hAnsi="Noto Sans" w:eastAsia="Noto Sans"/>
                <w:sz w:val="17"/>
              </w:rPr>
              <w:t>Capability &amp; MCP readiness</w:t>
            </w:r>
          </w:p>
        </w:tc>
        <w:tc>
          <w:tcPr>
            <w:tcW w:type="dxa" w:w="3024"/>
            <w:tcMar>
              <w:top w:w="70" w:type="dxa"/>
              <w:start w:w="90" w:type="dxa"/>
              <w:bottom w:w="70" w:type="dxa"/>
              <w:end w:w="90" w:type="dxa"/>
            </w:tcMar>
          </w:tcPr>
          <w:p>
            <w:r>
              <w:rPr>
                <w:rFonts w:ascii="Noto Sans" w:hAnsi="Noto Sans" w:eastAsia="Noto Sans"/>
                <w:sz w:val="17"/>
              </w:rPr>
              <w:t>Capability Manifest; registry minimo; binding REST/OGC; flag MCP; test di policy e discovery.</w:t>
            </w:r>
          </w:p>
        </w:tc>
      </w:tr>
    </w:tbl>
    <w:p>
      <w:pPr>
        <w:spacing w:after="40"/>
      </w:pPr>
    </w:p>
    <w:p>
      <w:pPr>
        <w:pStyle w:val="Heading1"/>
        <w:keepNext/>
        <w:spacing w:before="160"/>
      </w:pPr>
      <w:r>
        <w:rPr>
          <w:rFonts w:ascii="Noto Sans" w:hAnsi="Noto Sans" w:eastAsia="Noto Sans"/>
        </w:rPr>
        <w:t>34. Parametri tecnologici e assunzioni iniziali di sizing</w:t>
      </w:r>
    </w:p>
    <w:p>
      <w:pPr>
        <w:pStyle w:val="BodyText"/>
        <w:widowControl/>
        <w:spacing w:after="80"/>
      </w:pPr>
      <w:r>
        <w:rPr>
          <w:rFonts w:ascii="Noto Sans" w:hAnsi="Noto Sans" w:eastAsia="Noto Sans"/>
        </w:rPr>
        <w:t>La versione 1.0 adotta valori iniziali prudenziali per consentire implementazione e collaudo. Il dimensionamento definitivo viene confermato mediante test di carico con volumi reali SUAP/SUO/SUE e WebGIS. Le risorse Kubernetes indicate nella Parte II sono richieste/limiti iniziali, non valori contrattuali immutabili.</w:t>
      </w:r>
    </w:p>
    <w:p>
      <w:pPr>
        <w:pStyle w:val="Heading1"/>
        <w:keepNext/>
        <w:spacing w:before="160"/>
      </w:pPr>
      <w:r>
        <w:rPr>
          <w:rFonts w:ascii="Noto Sans" w:hAnsi="Noto Sans" w:eastAsia="Noto Sans"/>
        </w:rPr>
        <w:t>35. Riferimenti Blue Paper</w:t>
      </w:r>
    </w:p>
    <w:p>
      <w:pPr>
        <w:pStyle w:val="BodyText"/>
        <w:widowControl/>
        <w:spacing w:after="80"/>
      </w:pPr>
      <w:r>
        <w:rPr>
          <w:rFonts w:ascii="Noto Sans" w:hAnsi="Noto Sans" w:eastAsia="Noto Sans"/>
        </w:rPr>
        <w:t>La specifica mantiene la separazione prevista dal Blue Paper tra Governed Service Exposure / Urban API Gateway, API/Service Exposure, IAM, UDP e Semantic Model. In particolare, il Gateway applica i controlli runtime; i contratti consumer-facing sono descritti separatamente; la UDP governa patrimonio e servizi dati; il Semantic Model governa vocabolari, tipi canonici, mapping, relazioni e versionamento degli schemi. Il progetto v0.4 introduce inoltre Capability Manifest e binding multiprotocollo come prerequisiti per una futura integrazione MCP coerente con il Capability Registry.</w:t>
      </w:r>
    </w:p>
    <w:tbl>
      <w:tblPr>
        <w:tblStyle w:val="TableGrid"/>
        <w:tblW w:type="auto" w:w="0"/>
        <w:jc w:val="center"/>
        <w:tblLook w:firstColumn="1" w:firstRow="1" w:lastColumn="0" w:lastRow="0" w:noHBand="0" w:noVBand="1" w:val="04A0"/>
      </w:tblPr>
      <w:tblGrid>
        <w:gridCol w:w="4536"/>
        <w:gridCol w:w="4536"/>
      </w:tblGrid>
      <w:tr>
        <w:trPr>
          <w:tblHeader w:val="true"/>
          <w:cantSplit/>
        </w:trPr>
        <w:tc>
          <w:tcPr>
            <w:tcW w:type="dxa" w:w="3402"/>
            <w:vAlign w:val="top"/>
            <w:shd w:fill="0B4F6C"/>
            <w:tcMar>
              <w:top w:w="70" w:type="dxa"/>
              <w:start w:w="90" w:type="dxa"/>
              <w:bottom w:w="70" w:type="dxa"/>
              <w:end w:w="90" w:type="dxa"/>
            </w:tcMar>
          </w:tcPr>
          <w:p>
            <w:r>
              <w:rPr>
                <w:rFonts w:ascii="Noto Sans" w:hAnsi="Noto Sans" w:eastAsia="Noto Sans"/>
                <w:sz w:val="17"/>
              </w:rPr>
              <w:t>Riferimento</w:t>
            </w:r>
          </w:p>
        </w:tc>
        <w:tc>
          <w:tcPr>
            <w:tcW w:type="dxa" w:w="6917"/>
            <w:vAlign w:val="top"/>
            <w:shd w:fill="0B4F6C"/>
            <w:tcMar>
              <w:top w:w="70" w:type="dxa"/>
              <w:start w:w="90" w:type="dxa"/>
              <w:bottom w:w="70" w:type="dxa"/>
              <w:end w:w="90" w:type="dxa"/>
            </w:tcMar>
          </w:tcPr>
          <w:p>
            <w:r>
              <w:rPr>
                <w:rFonts w:ascii="Noto Sans" w:hAnsi="Noto Sans" w:eastAsia="Noto Sans"/>
                <w:sz w:val="17"/>
              </w:rPr>
              <w:t>Contenuto utilizzato</w:t>
            </w:r>
          </w:p>
        </w:tc>
      </w:tr>
      <w:tr>
        <w:trPr>
          <w:cantSplit/>
        </w:trPr>
        <w:tc>
          <w:tcPr>
            <w:tcW w:type="dxa" w:w="3402"/>
            <w:vAlign w:val="top"/>
            <w:tcMar>
              <w:top w:w="70" w:type="dxa"/>
              <w:start w:w="90" w:type="dxa"/>
              <w:bottom w:w="70" w:type="dxa"/>
              <w:end w:w="90" w:type="dxa"/>
            </w:tcMar>
          </w:tcPr>
          <w:p>
            <w:r>
              <w:rPr>
                <w:rFonts w:ascii="Noto Sans" w:hAnsi="Noto Sans" w:eastAsia="Noto Sans"/>
                <w:sz w:val="17"/>
              </w:rPr>
              <w:t>OUF — Moduli della piattaforma, modulo 7</w:t>
            </w:r>
          </w:p>
        </w:tc>
        <w:tc>
          <w:tcPr>
            <w:tcW w:type="dxa" w:w="6917"/>
            <w:vAlign w:val="top"/>
            <w:tcMar>
              <w:top w:w="70" w:type="dxa"/>
              <w:start w:w="90" w:type="dxa"/>
              <w:bottom w:w="70" w:type="dxa"/>
              <w:end w:w="90" w:type="dxa"/>
            </w:tcMar>
          </w:tcPr>
          <w:p>
            <w:r>
              <w:rPr>
                <w:rFonts w:ascii="Noto Sans" w:hAnsi="Noto Sans" w:eastAsia="Noto Sans"/>
                <w:sz w:val="17"/>
              </w:rPr>
              <w:t>Routing, TLS, autenticazione, rate limiting, logging, correlation ID, gestione errori, esposizione API/OGC/bulk/eventi; assenza di esposizione esterna non governata.</w:t>
            </w:r>
          </w:p>
        </w:tc>
      </w:tr>
      <w:tr>
        <w:trPr>
          <w:cantSplit/>
        </w:trPr>
        <w:tc>
          <w:tcPr>
            <w:tcW w:type="dxa" w:w="3402"/>
            <w:vAlign w:val="top"/>
            <w:shd w:fill="F3F4F6"/>
            <w:tcMar>
              <w:top w:w="70" w:type="dxa"/>
              <w:start w:w="90" w:type="dxa"/>
              <w:bottom w:w="70" w:type="dxa"/>
              <w:end w:w="90" w:type="dxa"/>
            </w:tcMar>
          </w:tcPr>
          <w:p>
            <w:r>
              <w:rPr>
                <w:rFonts w:ascii="Noto Sans" w:hAnsi="Noto Sans" w:eastAsia="Noto Sans"/>
                <w:sz w:val="17"/>
              </w:rPr>
              <w:t>OUF — Catalogo canonico, modulo 15</w:t>
            </w:r>
          </w:p>
        </w:tc>
        <w:tc>
          <w:tcPr>
            <w:tcW w:type="dxa" w:w="6917"/>
            <w:vAlign w:val="top"/>
            <w:shd w:fill="F3F4F6"/>
            <w:tcMar>
              <w:top w:w="70" w:type="dxa"/>
              <w:start w:w="90" w:type="dxa"/>
              <w:bottom w:w="70" w:type="dxa"/>
              <w:end w:w="90" w:type="dxa"/>
            </w:tcMar>
          </w:tcPr>
          <w:p>
            <w:r>
              <w:rPr>
                <w:rFonts w:ascii="Noto Sans" w:hAnsi="Noto Sans" w:eastAsia="Noto Sans"/>
                <w:sz w:val="17"/>
              </w:rPr>
              <w:t>OpenAPI/AsyncAPI/OGC; contratti consumer-facing; distinzione tra definizione del contratto ed enforcement del Gateway.</w:t>
            </w:r>
          </w:p>
        </w:tc>
      </w:tr>
      <w:tr>
        <w:trPr>
          <w:cantSplit/>
        </w:trPr>
        <w:tc>
          <w:tcPr>
            <w:tcW w:type="dxa" w:w="3402"/>
            <w:vAlign w:val="top"/>
            <w:tcMar>
              <w:top w:w="70" w:type="dxa"/>
              <w:start w:w="90" w:type="dxa"/>
              <w:bottom w:w="70" w:type="dxa"/>
              <w:end w:w="90" w:type="dxa"/>
            </w:tcMar>
          </w:tcPr>
          <w:p>
            <w:r>
              <w:rPr>
                <w:rFonts w:ascii="Noto Sans" w:hAnsi="Noto Sans" w:eastAsia="Noto Sans"/>
                <w:sz w:val="17"/>
              </w:rPr>
              <w:t>OUF — Catalogo canonico, modulo 12</w:t>
            </w:r>
          </w:p>
        </w:tc>
        <w:tc>
          <w:tcPr>
            <w:tcW w:type="dxa" w:w="6917"/>
            <w:vAlign w:val="top"/>
            <w:tcMar>
              <w:top w:w="70" w:type="dxa"/>
              <w:start w:w="90" w:type="dxa"/>
              <w:bottom w:w="70" w:type="dxa"/>
              <w:end w:w="90" w:type="dxa"/>
            </w:tcMar>
          </w:tcPr>
          <w:p>
            <w:r>
              <w:rPr>
                <w:rFonts w:ascii="Noto Sans" w:hAnsi="Noto Sans" w:eastAsia="Noto Sans"/>
                <w:sz w:val="17"/>
              </w:rPr>
              <w:t>UDP come patrimonio condiviso e governato, catalogo, lineage, data services e query.</w:t>
            </w:r>
          </w:p>
        </w:tc>
      </w:tr>
      <w:tr>
        <w:trPr>
          <w:cantSplit/>
        </w:trPr>
        <w:tc>
          <w:tcPr>
            <w:tcW w:type="dxa" w:w="3402"/>
            <w:vAlign w:val="top"/>
            <w:shd w:fill="F3F4F6"/>
            <w:tcMar>
              <w:top w:w="70" w:type="dxa"/>
              <w:start w:w="90" w:type="dxa"/>
              <w:bottom w:w="70" w:type="dxa"/>
              <w:end w:w="90" w:type="dxa"/>
            </w:tcMar>
          </w:tcPr>
          <w:p>
            <w:r>
              <w:rPr>
                <w:rFonts w:ascii="Noto Sans" w:hAnsi="Noto Sans" w:eastAsia="Noto Sans"/>
                <w:sz w:val="17"/>
              </w:rPr>
              <w:t>OUF — Catalogo canonico, modulo 13</w:t>
            </w:r>
          </w:p>
        </w:tc>
        <w:tc>
          <w:tcPr>
            <w:tcW w:type="dxa" w:w="6917"/>
            <w:vAlign w:val="top"/>
            <w:shd w:fill="F3F4F6"/>
            <w:tcMar>
              <w:top w:w="70" w:type="dxa"/>
              <w:start w:w="90" w:type="dxa"/>
              <w:bottom w:w="70" w:type="dxa"/>
              <w:end w:w="90" w:type="dxa"/>
            </w:tcMar>
          </w:tcPr>
          <w:p>
            <w:r>
              <w:rPr>
                <w:rFonts w:ascii="Noto Sans" w:hAnsi="Noto Sans" w:eastAsia="Noto Sans"/>
                <w:sz w:val="17"/>
              </w:rPr>
              <w:t>Vocabolari, tipi canonici, mapping sorgente-canonico, regole semantiche e versionamento schemi.</w:t>
            </w:r>
          </w:p>
        </w:tc>
      </w:tr>
      <w:tr>
        <w:trPr>
          <w:cantSplit/>
        </w:trPr>
        <w:tc>
          <w:tcPr>
            <w:tcW w:type="dxa" w:w="3402"/>
            <w:vAlign w:val="top"/>
            <w:tcMar>
              <w:top w:w="70" w:type="dxa"/>
              <w:start w:w="90" w:type="dxa"/>
              <w:bottom w:w="70" w:type="dxa"/>
              <w:end w:w="90" w:type="dxa"/>
            </w:tcMar>
          </w:tcPr>
          <w:p>
            <w:r>
              <w:rPr>
                <w:rFonts w:ascii="Noto Sans" w:hAnsi="Noto Sans" w:eastAsia="Noto Sans"/>
                <w:sz w:val="17"/>
              </w:rPr>
              <w:t>Documento di indirizzo architetturale, capitoli SUAP/SUE</w:t>
            </w:r>
          </w:p>
        </w:tc>
        <w:tc>
          <w:tcPr>
            <w:tcW w:type="dxa" w:w="6917"/>
            <w:vAlign w:val="top"/>
            <w:tcMar>
              <w:top w:w="70" w:type="dxa"/>
              <w:start w:w="90" w:type="dxa"/>
              <w:bottom w:w="70" w:type="dxa"/>
              <w:end w:w="90" w:type="dxa"/>
            </w:tcMar>
          </w:tcPr>
          <w:p>
            <w:r>
              <w:rPr>
                <w:rFonts w:ascii="Noto Sans" w:hAnsi="Noto Sans" w:eastAsia="Noto Sans"/>
                <w:sz w:val="17"/>
              </w:rPr>
              <w:t>Verticali come fonti autorevoli e necessità di profilazione/minimizzazione dei dati trasferiti alla piattaforma.</w:t>
            </w:r>
          </w:p>
        </w:tc>
      </w:tr>
    </w:tbl>
    <w:p>
      <w:pPr>
        <w:spacing w:after="40"/>
      </w:pPr>
    </w:p>
    <w:p>
      <w:pPr>
        <w:pStyle w:val="Heading1"/>
        <w:keepNext/>
        <w:spacing w:before="160"/>
      </w:pPr>
      <w:r>
        <w:rPr>
          <w:rFonts w:ascii="Noto Sans" w:hAnsi="Noto Sans" w:eastAsia="Noto Sans"/>
        </w:rPr>
        <w:t>36. Gate di approvazione della baseline logico-funzionale</w:t>
      </w:r>
    </w:p>
    <w:tbl>
      <w:tblPr>
        <w:tblStyle w:val="TableGrid"/>
        <w:tblW w:type="auto" w:w="0"/>
        <w:jc w:val="center"/>
        <w:tblLook w:firstColumn="1" w:firstRow="1" w:lastColumn="0" w:lastRow="0" w:noHBand="0" w:noVBand="1" w:val="04A0"/>
      </w:tblPr>
      <w:tblGrid>
        <w:gridCol w:w="9072"/>
      </w:tblGrid>
      <w:tr>
        <w:trPr>
          <w:tblHeader w:val="true"/>
          <w:cantSplit/>
        </w:trPr>
        <w:tc>
          <w:tcPr>
            <w:tcW w:type="dxa" w:w="9072"/>
            <w:shd w:fill="EEF6FA"/>
            <w:tcMar>
              <w:top w:w="70" w:type="dxa"/>
              <w:start w:w="90" w:type="dxa"/>
              <w:bottom w:w="70" w:type="dxa"/>
              <w:end w:w="90" w:type="dxa"/>
            </w:tcMar>
          </w:tcPr>
          <w:p>
            <w:r>
              <w:rPr>
                <w:rFonts w:ascii="Noto Sans" w:hAnsi="Noto Sans" w:eastAsia="Noto Sans"/>
                <w:sz w:val="17"/>
              </w:rPr>
              <w:t>Proposta di gate</w:t>
              <w:br/>
              <w:t>Il progetto esecutivo logico-funzionale v0.3 è completo quando sono approvati: confine northbound/southbound; standard JSON/OGC; Capability Model e predisposizione MCP; contratti interni verso Source Configuration, Connector Framework, ETL/Ingestion e UDP; sicurezza, osservabilità, HA, gestione errori, collaudi e milestone. La successiva v1.0 dovrà selezionare il prodotto Gateway, la topologia di rete, il secret management, i parametri operativi definitivi, il sizing e la pipeline tecnologica di deployment.</w:t>
            </w:r>
          </w:p>
        </w:tc>
      </w:tr>
    </w:tbl>
    <w:p>
      <w:pPr>
        <w:pStyle w:val="Heading1"/>
        <w:keepNext/>
        <w:spacing w:before="160"/>
      </w:pPr>
      <w:r>
        <w:rPr>
          <w:rFonts w:ascii="Noto Sans" w:hAnsi="Noto Sans" w:eastAsia="Noto Sans"/>
        </w:rPr>
        <w:t>Appendice A — Core Capability Catalog v1</w:t>
      </w:r>
    </w:p>
    <w:p>
      <w:pPr>
        <w:pStyle w:val="BodyText"/>
        <w:widowControl/>
        <w:spacing w:after="80"/>
      </w:pPr>
      <w:r>
        <w:rPr>
          <w:rFonts w:ascii="Noto Sans" w:hAnsi="Noto Sans" w:eastAsia="Noto Sans"/>
        </w:rPr>
        <w:t>Questa appendice completa la baseline logico-funzionale del Gateway definendo il primo catalogo di capability che il core OUF deve poter pubblicare o governare. Il catalogo distingue la capability, cioè ciò che la piattaforma consente di fare, dal binding tecnico REST/OGC/MCP e dall’implementazione fisica del backend. Le capability elencate sono una baseline progettuale del core iniziale e possono essere estese senza modificare il principio di esposizione governata.</w:t>
      </w:r>
    </w:p>
    <w:p>
      <w:pPr>
        <w:pStyle w:val="Heading2"/>
        <w:keepNext/>
        <w:spacing w:before="160"/>
      </w:pPr>
      <w:r>
        <w:rPr>
          <w:rFonts w:ascii="Noto Sans" w:hAnsi="Noto Sans" w:eastAsia="Noto Sans"/>
        </w:rPr>
        <w:t>A.1 Regole del catalogo</w:t>
      </w:r>
    </w:p>
    <w:p>
      <w:pPr>
        <w:pStyle w:val="ListBullet"/>
        <w:spacing w:after="20"/>
      </w:pPr>
      <w:r>
        <w:rPr>
          <w:rFonts w:ascii="Noto Sans" w:hAnsi="Noto Sans" w:eastAsia="Noto Sans"/>
        </w:rPr>
        <w:t>Ogni capability possiede un capabilityId stabile e versionato, indipendente dall’URL fisico.</w:t>
      </w:r>
    </w:p>
    <w:p>
      <w:pPr>
        <w:pStyle w:val="ListBullet"/>
        <w:spacing w:after="20"/>
      </w:pPr>
      <w:r>
        <w:rPr>
          <w:rFonts w:ascii="Noto Sans" w:hAnsi="Noto Sans" w:eastAsia="Noto Sans"/>
        </w:rPr>
        <w:t>Ogni binding consumer-facing attraversa l’Urban API Gateway.</w:t>
      </w:r>
    </w:p>
    <w:p>
      <w:pPr>
        <w:pStyle w:val="ListBullet"/>
        <w:spacing w:after="20"/>
      </w:pPr>
      <w:r>
        <w:rPr>
          <w:rFonts w:ascii="Noto Sans" w:hAnsi="Noto Sans" w:eastAsia="Noto Sans"/>
        </w:rPr>
        <w:t>La UI, il Viewer, Analytics e il futuro MCP consumano capability; non accedono direttamente a UDP, Data Lake o sistemi verticali.</w:t>
      </w:r>
    </w:p>
    <w:p>
      <w:pPr>
        <w:pStyle w:val="ListBullet"/>
        <w:spacing w:after="20"/>
      </w:pPr>
      <w:r>
        <w:rPr>
          <w:rFonts w:ascii="Noto Sans" w:hAnsi="Noto Sans" w:eastAsia="Noto Sans"/>
        </w:rPr>
        <w:t>Il provider logico di ricerca e lettura è normalmente un Data Service della UDP; il Gateway applica autenticazione, autorizzazione, routing, quote, logging e versioning.</w:t>
      </w:r>
    </w:p>
    <w:p>
      <w:pPr>
        <w:pStyle w:val="ListBullet"/>
        <w:spacing w:after="20"/>
      </w:pPr>
      <w:r>
        <w:rPr>
          <w:rFonts w:ascii="Noto Sans" w:hAnsi="Noto Sans" w:eastAsia="Noto Sans"/>
        </w:rPr>
        <w:t>Le capability di ingestion sono interne e non sono esposte alla normale UI né a MCP, salvo decisione esplicita futura.</w:t>
      </w:r>
    </w:p>
    <w:p>
      <w:pPr>
        <w:pStyle w:val="ListBullet"/>
        <w:spacing w:after="20"/>
      </w:pPr>
      <w:r>
        <w:rPr>
          <w:rFonts w:ascii="Noto Sans" w:hAnsi="Noto Sans" w:eastAsia="Noto Sans"/>
        </w:rPr>
        <w:t>mcp.toolEligible è false per default e viene attivato solo per capability sicure e semanticamente stabili.</w:t>
      </w:r>
    </w:p>
    <w:p>
      <w:pPr>
        <w:pStyle w:val="ListBullet"/>
        <w:spacing w:after="20"/>
      </w:pPr>
      <w:r>
        <w:rPr>
          <w:rFonts w:ascii="Noto Sans" w:hAnsi="Noto Sans" w:eastAsia="Noto Sans"/>
        </w:rPr>
        <w:t>Le capability di tipo read/search sono idempotenti; le capability di ingestion usano Idempotency-Key e stato asincrono.</w:t>
      </w:r>
    </w:p>
    <w:p>
      <w:pPr>
        <w:pStyle w:val="ListBullet"/>
        <w:spacing w:after="20"/>
      </w:pPr>
      <w:r>
        <w:rPr>
          <w:rFonts w:ascii="Noto Sans" w:hAnsi="Noto Sans" w:eastAsia="Noto Sans"/>
        </w:rPr>
        <w:t>Nel profilo iniziale gli output consumer-facing contengono esclusivamente dati OPEN o ANONYMOUS.</w:t>
      </w:r>
    </w:p>
    <w:p>
      <w:pPr>
        <w:pStyle w:val="Heading2"/>
        <w:keepNext/>
        <w:spacing w:before="160"/>
      </w:pPr>
      <w:r>
        <w:rPr>
          <w:rFonts w:ascii="Noto Sans" w:hAnsi="Noto Sans" w:eastAsia="Noto Sans"/>
        </w:rPr>
        <w:t>A.2 Catalogo sintetico delle capability consumer-facing</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cantSplit/>
          <w:tblHeader w:val="true"/>
          <w:cantSplit/>
        </w:trPr>
        <w:tc>
          <w:tcPr>
            <w:tcW w:type="dxa" w:w="2438"/>
            <w:vAlign w:val="center"/>
            <w:shd w:fill="0B5675"/>
            <w:tcMar>
              <w:top w:w="70" w:type="dxa"/>
              <w:start w:w="90" w:type="dxa"/>
              <w:bottom w:w="70" w:type="dxa"/>
              <w:end w:w="90" w:type="dxa"/>
            </w:tcMar>
          </w:tcPr>
          <w:p>
            <w:r>
              <w:rPr>
                <w:rFonts w:ascii="Noto Sans" w:hAnsi="Noto Sans" w:eastAsia="Noto Sans"/>
                <w:sz w:val="17"/>
              </w:rPr>
              <w:t>Capability ID</w:t>
            </w:r>
          </w:p>
        </w:tc>
        <w:tc>
          <w:tcPr>
            <w:tcW w:type="dxa" w:w="1134"/>
            <w:vAlign w:val="center"/>
            <w:shd w:fill="0B5675"/>
            <w:tcMar>
              <w:top w:w="70" w:type="dxa"/>
              <w:start w:w="90" w:type="dxa"/>
              <w:bottom w:w="70" w:type="dxa"/>
              <w:end w:w="90" w:type="dxa"/>
            </w:tcMar>
          </w:tcPr>
          <w:p>
            <w:r>
              <w:rPr>
                <w:rFonts w:ascii="Noto Sans" w:hAnsi="Noto Sans" w:eastAsia="Noto Sans"/>
                <w:sz w:val="17"/>
              </w:rPr>
              <w:t>Tipo</w:t>
            </w:r>
          </w:p>
        </w:tc>
        <w:tc>
          <w:tcPr>
            <w:tcW w:type="dxa" w:w="2835"/>
            <w:vAlign w:val="center"/>
            <w:shd w:fill="0B5675"/>
            <w:tcMar>
              <w:top w:w="70" w:type="dxa"/>
              <w:start w:w="90" w:type="dxa"/>
              <w:bottom w:w="70" w:type="dxa"/>
              <w:end w:w="90" w:type="dxa"/>
            </w:tcMar>
          </w:tcPr>
          <w:p>
            <w:r>
              <w:rPr>
                <w:rFonts w:ascii="Noto Sans" w:hAnsi="Noto Sans" w:eastAsia="Noto Sans"/>
                <w:sz w:val="17"/>
              </w:rPr>
              <w:t>Binding REST / OGC</w:t>
            </w:r>
          </w:p>
        </w:tc>
        <w:tc>
          <w:tcPr>
            <w:tcW w:type="dxa" w:w="2324"/>
            <w:vAlign w:val="center"/>
            <w:shd w:fill="0B5675"/>
            <w:tcMar>
              <w:top w:w="70" w:type="dxa"/>
              <w:start w:w="90" w:type="dxa"/>
              <w:bottom w:w="70" w:type="dxa"/>
              <w:end w:w="90" w:type="dxa"/>
            </w:tcMar>
          </w:tcPr>
          <w:p>
            <w:r>
              <w:rPr>
                <w:rFonts w:ascii="Noto Sans" w:hAnsi="Noto Sans" w:eastAsia="Noto Sans"/>
                <w:sz w:val="17"/>
              </w:rPr>
              <w:t>Provider logico</w:t>
            </w:r>
          </w:p>
        </w:tc>
        <w:tc>
          <w:tcPr>
            <w:tcW w:type="dxa" w:w="2041"/>
            <w:vAlign w:val="center"/>
            <w:shd w:fill="0B5675"/>
            <w:tcMar>
              <w:top w:w="70" w:type="dxa"/>
              <w:start w:w="90" w:type="dxa"/>
              <w:bottom w:w="70" w:type="dxa"/>
              <w:end w:w="90" w:type="dxa"/>
            </w:tcMar>
          </w:tcPr>
          <w:p>
            <w:r>
              <w:rPr>
                <w:rFonts w:ascii="Noto Sans" w:hAnsi="Noto Sans" w:eastAsia="Noto Sans"/>
                <w:sz w:val="17"/>
              </w:rPr>
              <w:t>Scope IAM</w:t>
            </w:r>
          </w:p>
        </w:tc>
        <w:tc>
          <w:tcPr>
            <w:tcW w:type="dxa" w:w="680"/>
            <w:vAlign w:val="center"/>
            <w:shd w:fill="0B5675"/>
            <w:tcMar>
              <w:top w:w="70" w:type="dxa"/>
              <w:start w:w="90" w:type="dxa"/>
              <w:bottom w:w="70" w:type="dxa"/>
              <w:end w:w="90" w:type="dxa"/>
            </w:tcMar>
          </w:tcPr>
          <w:p>
            <w:r>
              <w:rPr>
                <w:rFonts w:ascii="Noto Sans" w:hAnsi="Noto Sans" w:eastAsia="Noto Sans"/>
                <w:sz w:val="17"/>
              </w:rPr>
              <w:t>Esponibile MCP</w:t>
            </w:r>
          </w:p>
        </w:tc>
      </w:tr>
      <w:tr>
        <w:trPr>
          <w:cantSplit/>
        </w:trPr>
        <w:tc>
          <w:tcPr>
            <w:tcW w:type="dxa" w:w="2438"/>
            <w:vAlign w:val="top"/>
            <w:tcMar>
              <w:top w:w="70" w:type="dxa"/>
              <w:start w:w="90" w:type="dxa"/>
              <w:bottom w:w="70" w:type="dxa"/>
              <w:end w:w="90" w:type="dxa"/>
            </w:tcMar>
          </w:tcPr>
          <w:p>
            <w:r>
              <w:rPr>
                <w:rFonts w:ascii="Noto Sans" w:hAnsi="Noto Sans" w:eastAsia="Noto Sans"/>
                <w:sz w:val="17"/>
              </w:rPr>
              <w:t>urban.capabilities.list</w:t>
            </w:r>
          </w:p>
        </w:tc>
        <w:tc>
          <w:tcPr>
            <w:tcW w:type="dxa" w:w="1134"/>
            <w:vAlign w:val="top"/>
            <w:tcMar>
              <w:top w:w="70" w:type="dxa"/>
              <w:start w:w="90" w:type="dxa"/>
              <w:bottom w:w="70" w:type="dxa"/>
              <w:end w:w="90" w:type="dxa"/>
            </w:tcMar>
          </w:tcPr>
          <w:p>
            <w:r>
              <w:rPr>
                <w:rFonts w:ascii="Noto Sans" w:hAnsi="Noto Sans" w:eastAsia="Noto Sans"/>
                <w:sz w:val="17"/>
              </w:rPr>
              <w:t>DISCOVERY</w:t>
            </w:r>
          </w:p>
        </w:tc>
        <w:tc>
          <w:tcPr>
            <w:tcW w:type="dxa" w:w="2835"/>
            <w:vAlign w:val="top"/>
            <w:tcMar>
              <w:top w:w="70" w:type="dxa"/>
              <w:start w:w="90" w:type="dxa"/>
              <w:bottom w:w="70" w:type="dxa"/>
              <w:end w:w="90" w:type="dxa"/>
            </w:tcMar>
          </w:tcPr>
          <w:p>
            <w:r>
              <w:rPr>
                <w:rFonts w:ascii="Noto Sans" w:hAnsi="Noto Sans" w:eastAsia="Noto Sans"/>
                <w:sz w:val="17"/>
              </w:rPr>
              <w:t>GET /api/v1/capabilities</w:t>
            </w:r>
          </w:p>
        </w:tc>
        <w:tc>
          <w:tcPr>
            <w:tcW w:type="dxa" w:w="2324"/>
            <w:vAlign w:val="top"/>
            <w:tcMar>
              <w:top w:w="70" w:type="dxa"/>
              <w:start w:w="90" w:type="dxa"/>
              <w:bottom w:w="70" w:type="dxa"/>
              <w:end w:w="90" w:type="dxa"/>
            </w:tcMar>
          </w:tcPr>
          <w:p>
            <w:r>
              <w:rPr>
                <w:rFonts w:ascii="Noto Sans" w:hAnsi="Noto Sans" w:eastAsia="Noto Sans"/>
                <w:sz w:val="17"/>
              </w:rPr>
              <w:t>Capability Registry</w:t>
            </w:r>
          </w:p>
        </w:tc>
        <w:tc>
          <w:tcPr>
            <w:tcW w:type="dxa" w:w="2041"/>
            <w:vAlign w:val="top"/>
            <w:tcMar>
              <w:top w:w="70" w:type="dxa"/>
              <w:start w:w="90" w:type="dxa"/>
              <w:bottom w:w="70" w:type="dxa"/>
              <w:end w:w="90" w:type="dxa"/>
            </w:tcMar>
          </w:tcPr>
          <w:p>
            <w:r>
              <w:rPr>
                <w:rFonts w:ascii="Noto Sans" w:hAnsi="Noto Sans" w:eastAsia="Noto Sans"/>
                <w:sz w:val="17"/>
              </w:rPr>
              <w:t>ouf.read.capabilities</w:t>
            </w:r>
          </w:p>
        </w:tc>
        <w:tc>
          <w:tcPr>
            <w:tcW w:type="dxa" w:w="680"/>
            <w:vAlign w:val="top"/>
            <w:tcMar>
              <w:top w:w="70" w:type="dxa"/>
              <w:start w:w="90" w:type="dxa"/>
              <w:bottom w:w="70" w:type="dxa"/>
              <w:end w:w="90" w:type="dxa"/>
            </w:tcMar>
          </w:tcPr>
          <w:p>
            <w:r>
              <w:rPr>
                <w:rFonts w:ascii="Noto Sans" w:hAnsi="Noto Sans" w:eastAsia="Noto Sans"/>
                <w:sz w:val="17"/>
              </w:rPr>
              <w:t>Sì</w:t>
            </w:r>
          </w:p>
        </w:tc>
      </w:tr>
      <w:tr>
        <w:trPr>
          <w:cantSplit/>
        </w:trPr>
        <w:tc>
          <w:tcPr>
            <w:tcW w:type="dxa" w:w="2438"/>
            <w:vAlign w:val="top"/>
            <w:shd w:fill="F4F6F7"/>
            <w:tcMar>
              <w:top w:w="70" w:type="dxa"/>
              <w:start w:w="90" w:type="dxa"/>
              <w:bottom w:w="70" w:type="dxa"/>
              <w:end w:w="90" w:type="dxa"/>
            </w:tcMar>
          </w:tcPr>
          <w:p>
            <w:r>
              <w:rPr>
                <w:rFonts w:ascii="Noto Sans" w:hAnsi="Noto Sans" w:eastAsia="Noto Sans"/>
                <w:sz w:val="17"/>
              </w:rPr>
              <w:t>urban.activities.search</w:t>
            </w:r>
          </w:p>
        </w:tc>
        <w:tc>
          <w:tcPr>
            <w:tcW w:type="dxa" w:w="1134"/>
            <w:vAlign w:val="top"/>
            <w:shd w:fill="F4F6F7"/>
            <w:tcMar>
              <w:top w:w="70" w:type="dxa"/>
              <w:start w:w="90" w:type="dxa"/>
              <w:bottom w:w="70" w:type="dxa"/>
              <w:end w:w="90" w:type="dxa"/>
            </w:tcMar>
          </w:tcPr>
          <w:p>
            <w:r>
              <w:rPr>
                <w:rFonts w:ascii="Noto Sans" w:hAnsi="Noto Sans" w:eastAsia="Noto Sans"/>
                <w:sz w:val="17"/>
              </w:rPr>
              <w:t>SEARCH</w:t>
            </w:r>
          </w:p>
        </w:tc>
        <w:tc>
          <w:tcPr>
            <w:tcW w:type="dxa" w:w="2835"/>
            <w:vAlign w:val="top"/>
            <w:shd w:fill="F4F6F7"/>
            <w:tcMar>
              <w:top w:w="70" w:type="dxa"/>
              <w:start w:w="90" w:type="dxa"/>
              <w:bottom w:w="70" w:type="dxa"/>
              <w:end w:w="90" w:type="dxa"/>
            </w:tcMar>
          </w:tcPr>
          <w:p>
            <w:r>
              <w:rPr>
                <w:rFonts w:ascii="Noto Sans" w:hAnsi="Noto Sans" w:eastAsia="Noto Sans"/>
                <w:sz w:val="17"/>
              </w:rPr>
              <w:t>GET /api/v1/activities</w:t>
            </w:r>
          </w:p>
        </w:tc>
        <w:tc>
          <w:tcPr>
            <w:tcW w:type="dxa" w:w="2324"/>
            <w:vAlign w:val="top"/>
            <w:shd w:fill="F4F6F7"/>
            <w:tcMar>
              <w:top w:w="70" w:type="dxa"/>
              <w:start w:w="90" w:type="dxa"/>
              <w:bottom w:w="70" w:type="dxa"/>
              <w:end w:w="90" w:type="dxa"/>
            </w:tcMar>
          </w:tcPr>
          <w:p>
            <w:r>
              <w:rPr>
                <w:rFonts w:ascii="Noto Sans" w:hAnsi="Noto Sans" w:eastAsia="Noto Sans"/>
                <w:sz w:val="17"/>
              </w:rPr>
              <w:t>UDP Data Service</w:t>
            </w:r>
          </w:p>
        </w:tc>
        <w:tc>
          <w:tcPr>
            <w:tcW w:type="dxa" w:w="2041"/>
            <w:vAlign w:val="top"/>
            <w:shd w:fill="F4F6F7"/>
            <w:tcMar>
              <w:top w:w="70" w:type="dxa"/>
              <w:start w:w="90" w:type="dxa"/>
              <w:bottom w:w="70" w:type="dxa"/>
              <w:end w:w="90" w:type="dxa"/>
            </w:tcMar>
          </w:tcPr>
          <w:p>
            <w:r>
              <w:rPr>
                <w:rFonts w:ascii="Noto Sans" w:hAnsi="Noto Sans" w:eastAsia="Noto Sans"/>
                <w:sz w:val="17"/>
              </w:rPr>
              <w:t>ouf.read.activities</w:t>
            </w:r>
          </w:p>
        </w:tc>
        <w:tc>
          <w:tcPr>
            <w:tcW w:type="dxa" w:w="680"/>
            <w:vAlign w:val="top"/>
            <w:shd w:fill="F4F6F7"/>
            <w:tcMar>
              <w:top w:w="70" w:type="dxa"/>
              <w:start w:w="90" w:type="dxa"/>
              <w:bottom w:w="70" w:type="dxa"/>
              <w:end w:w="90" w:type="dxa"/>
            </w:tcMar>
          </w:tcPr>
          <w:p>
            <w:r>
              <w:rPr>
                <w:rFonts w:ascii="Noto Sans" w:hAnsi="Noto Sans" w:eastAsia="Noto Sans"/>
                <w:sz w:val="17"/>
              </w:rPr>
              <w:t>Sì</w:t>
            </w:r>
          </w:p>
        </w:tc>
      </w:tr>
      <w:tr>
        <w:trPr>
          <w:cantSplit/>
        </w:trPr>
        <w:tc>
          <w:tcPr>
            <w:tcW w:type="dxa" w:w="2438"/>
            <w:vAlign w:val="top"/>
            <w:tcMar>
              <w:top w:w="70" w:type="dxa"/>
              <w:start w:w="90" w:type="dxa"/>
              <w:bottom w:w="70" w:type="dxa"/>
              <w:end w:w="90" w:type="dxa"/>
            </w:tcMar>
          </w:tcPr>
          <w:p>
            <w:r>
              <w:rPr>
                <w:rFonts w:ascii="Noto Sans" w:hAnsi="Noto Sans" w:eastAsia="Noto Sans"/>
                <w:sz w:val="17"/>
              </w:rPr>
              <w:t>urban.activities.get</w:t>
            </w:r>
          </w:p>
        </w:tc>
        <w:tc>
          <w:tcPr>
            <w:tcW w:type="dxa" w:w="1134"/>
            <w:vAlign w:val="top"/>
            <w:tcMar>
              <w:top w:w="70" w:type="dxa"/>
              <w:start w:w="90" w:type="dxa"/>
              <w:bottom w:w="70" w:type="dxa"/>
              <w:end w:w="90" w:type="dxa"/>
            </w:tcMar>
          </w:tcPr>
          <w:p>
            <w:r>
              <w:rPr>
                <w:rFonts w:ascii="Noto Sans" w:hAnsi="Noto Sans" w:eastAsia="Noto Sans"/>
                <w:sz w:val="17"/>
              </w:rPr>
              <w:t>READ</w:t>
            </w:r>
          </w:p>
        </w:tc>
        <w:tc>
          <w:tcPr>
            <w:tcW w:type="dxa" w:w="2835"/>
            <w:vAlign w:val="top"/>
            <w:tcMar>
              <w:top w:w="70" w:type="dxa"/>
              <w:start w:w="90" w:type="dxa"/>
              <w:bottom w:w="70" w:type="dxa"/>
              <w:end w:w="90" w:type="dxa"/>
            </w:tcMar>
          </w:tcPr>
          <w:p>
            <w:r>
              <w:rPr>
                <w:rFonts w:ascii="Noto Sans" w:hAnsi="Noto Sans" w:eastAsia="Noto Sans"/>
                <w:sz w:val="17"/>
              </w:rPr>
              <w:t>GET /api/v1/activities/{id}</w:t>
            </w:r>
          </w:p>
        </w:tc>
        <w:tc>
          <w:tcPr>
            <w:tcW w:type="dxa" w:w="2324"/>
            <w:vAlign w:val="top"/>
            <w:tcMar>
              <w:top w:w="70" w:type="dxa"/>
              <w:start w:w="90" w:type="dxa"/>
              <w:bottom w:w="70" w:type="dxa"/>
              <w:end w:w="90" w:type="dxa"/>
            </w:tcMar>
          </w:tcPr>
          <w:p>
            <w:r>
              <w:rPr>
                <w:rFonts w:ascii="Noto Sans" w:hAnsi="Noto Sans" w:eastAsia="Noto Sans"/>
                <w:sz w:val="17"/>
              </w:rPr>
              <w:t>UDP Data Service</w:t>
            </w:r>
          </w:p>
        </w:tc>
        <w:tc>
          <w:tcPr>
            <w:tcW w:type="dxa" w:w="2041"/>
            <w:vAlign w:val="top"/>
            <w:tcMar>
              <w:top w:w="70" w:type="dxa"/>
              <w:start w:w="90" w:type="dxa"/>
              <w:bottom w:w="70" w:type="dxa"/>
              <w:end w:w="90" w:type="dxa"/>
            </w:tcMar>
          </w:tcPr>
          <w:p>
            <w:r>
              <w:rPr>
                <w:rFonts w:ascii="Noto Sans" w:hAnsi="Noto Sans" w:eastAsia="Noto Sans"/>
                <w:sz w:val="17"/>
              </w:rPr>
              <w:t>ouf.read.activities</w:t>
            </w:r>
          </w:p>
        </w:tc>
        <w:tc>
          <w:tcPr>
            <w:tcW w:type="dxa" w:w="680"/>
            <w:vAlign w:val="top"/>
            <w:tcMar>
              <w:top w:w="70" w:type="dxa"/>
              <w:start w:w="90" w:type="dxa"/>
              <w:bottom w:w="70" w:type="dxa"/>
              <w:end w:w="90" w:type="dxa"/>
            </w:tcMar>
          </w:tcPr>
          <w:p>
            <w:r>
              <w:rPr>
                <w:rFonts w:ascii="Noto Sans" w:hAnsi="Noto Sans" w:eastAsia="Noto Sans"/>
                <w:sz w:val="17"/>
              </w:rPr>
              <w:t>Sì</w:t>
            </w:r>
          </w:p>
        </w:tc>
      </w:tr>
      <w:tr>
        <w:trPr>
          <w:cantSplit/>
        </w:trPr>
        <w:tc>
          <w:tcPr>
            <w:tcW w:type="dxa" w:w="2438"/>
            <w:vAlign w:val="top"/>
            <w:shd w:fill="F4F6F7"/>
            <w:tcMar>
              <w:top w:w="70" w:type="dxa"/>
              <w:start w:w="90" w:type="dxa"/>
              <w:bottom w:w="70" w:type="dxa"/>
              <w:end w:w="90" w:type="dxa"/>
            </w:tcMar>
          </w:tcPr>
          <w:p>
            <w:r>
              <w:rPr>
                <w:rFonts w:ascii="Noto Sans" w:hAnsi="Noto Sans" w:eastAsia="Noto Sans"/>
                <w:sz w:val="17"/>
              </w:rPr>
              <w:t>urban.occupations.search</w:t>
            </w:r>
          </w:p>
        </w:tc>
        <w:tc>
          <w:tcPr>
            <w:tcW w:type="dxa" w:w="1134"/>
            <w:vAlign w:val="top"/>
            <w:shd w:fill="F4F6F7"/>
            <w:tcMar>
              <w:top w:w="70" w:type="dxa"/>
              <w:start w:w="90" w:type="dxa"/>
              <w:bottom w:w="70" w:type="dxa"/>
              <w:end w:w="90" w:type="dxa"/>
            </w:tcMar>
          </w:tcPr>
          <w:p>
            <w:r>
              <w:rPr>
                <w:rFonts w:ascii="Noto Sans" w:hAnsi="Noto Sans" w:eastAsia="Noto Sans"/>
                <w:sz w:val="17"/>
              </w:rPr>
              <w:t>SEARCH</w:t>
            </w:r>
          </w:p>
        </w:tc>
        <w:tc>
          <w:tcPr>
            <w:tcW w:type="dxa" w:w="2835"/>
            <w:vAlign w:val="top"/>
            <w:shd w:fill="F4F6F7"/>
            <w:tcMar>
              <w:top w:w="70" w:type="dxa"/>
              <w:start w:w="90" w:type="dxa"/>
              <w:bottom w:w="70" w:type="dxa"/>
              <w:end w:w="90" w:type="dxa"/>
            </w:tcMar>
          </w:tcPr>
          <w:p>
            <w:r>
              <w:rPr>
                <w:rFonts w:ascii="Noto Sans" w:hAnsi="Noto Sans" w:eastAsia="Noto Sans"/>
                <w:sz w:val="17"/>
              </w:rPr>
              <w:t>GET /api/v1/occupations</w:t>
            </w:r>
          </w:p>
        </w:tc>
        <w:tc>
          <w:tcPr>
            <w:tcW w:type="dxa" w:w="2324"/>
            <w:vAlign w:val="top"/>
            <w:shd w:fill="F4F6F7"/>
            <w:tcMar>
              <w:top w:w="70" w:type="dxa"/>
              <w:start w:w="90" w:type="dxa"/>
              <w:bottom w:w="70" w:type="dxa"/>
              <w:end w:w="90" w:type="dxa"/>
            </w:tcMar>
          </w:tcPr>
          <w:p>
            <w:r>
              <w:rPr>
                <w:rFonts w:ascii="Noto Sans" w:hAnsi="Noto Sans" w:eastAsia="Noto Sans"/>
                <w:sz w:val="17"/>
              </w:rPr>
              <w:t>UDP Data Service</w:t>
            </w:r>
          </w:p>
        </w:tc>
        <w:tc>
          <w:tcPr>
            <w:tcW w:type="dxa" w:w="2041"/>
            <w:vAlign w:val="top"/>
            <w:shd w:fill="F4F6F7"/>
            <w:tcMar>
              <w:top w:w="70" w:type="dxa"/>
              <w:start w:w="90" w:type="dxa"/>
              <w:bottom w:w="70" w:type="dxa"/>
              <w:end w:w="90" w:type="dxa"/>
            </w:tcMar>
          </w:tcPr>
          <w:p>
            <w:r>
              <w:rPr>
                <w:rFonts w:ascii="Noto Sans" w:hAnsi="Noto Sans" w:eastAsia="Noto Sans"/>
                <w:sz w:val="17"/>
              </w:rPr>
              <w:t>ouf.read.occupations</w:t>
            </w:r>
          </w:p>
        </w:tc>
        <w:tc>
          <w:tcPr>
            <w:tcW w:type="dxa" w:w="680"/>
            <w:vAlign w:val="top"/>
            <w:shd w:fill="F4F6F7"/>
            <w:tcMar>
              <w:top w:w="70" w:type="dxa"/>
              <w:start w:w="90" w:type="dxa"/>
              <w:bottom w:w="70" w:type="dxa"/>
              <w:end w:w="90" w:type="dxa"/>
            </w:tcMar>
          </w:tcPr>
          <w:p>
            <w:r>
              <w:rPr>
                <w:rFonts w:ascii="Noto Sans" w:hAnsi="Noto Sans" w:eastAsia="Noto Sans"/>
                <w:sz w:val="17"/>
              </w:rPr>
              <w:t>Sì</w:t>
            </w:r>
          </w:p>
        </w:tc>
      </w:tr>
      <w:tr>
        <w:trPr>
          <w:cantSplit/>
        </w:trPr>
        <w:tc>
          <w:tcPr>
            <w:tcW w:type="dxa" w:w="2438"/>
            <w:vAlign w:val="top"/>
            <w:tcMar>
              <w:top w:w="70" w:type="dxa"/>
              <w:start w:w="90" w:type="dxa"/>
              <w:bottom w:w="70" w:type="dxa"/>
              <w:end w:w="90" w:type="dxa"/>
            </w:tcMar>
          </w:tcPr>
          <w:p>
            <w:r>
              <w:rPr>
                <w:rFonts w:ascii="Noto Sans" w:hAnsi="Noto Sans" w:eastAsia="Noto Sans"/>
                <w:sz w:val="17"/>
              </w:rPr>
              <w:t>urban.occupations.get</w:t>
            </w:r>
          </w:p>
        </w:tc>
        <w:tc>
          <w:tcPr>
            <w:tcW w:type="dxa" w:w="1134"/>
            <w:vAlign w:val="top"/>
            <w:tcMar>
              <w:top w:w="70" w:type="dxa"/>
              <w:start w:w="90" w:type="dxa"/>
              <w:bottom w:w="70" w:type="dxa"/>
              <w:end w:w="90" w:type="dxa"/>
            </w:tcMar>
          </w:tcPr>
          <w:p>
            <w:r>
              <w:rPr>
                <w:rFonts w:ascii="Noto Sans" w:hAnsi="Noto Sans" w:eastAsia="Noto Sans"/>
                <w:sz w:val="17"/>
              </w:rPr>
              <w:t>READ</w:t>
            </w:r>
          </w:p>
        </w:tc>
        <w:tc>
          <w:tcPr>
            <w:tcW w:type="dxa" w:w="2835"/>
            <w:vAlign w:val="top"/>
            <w:tcMar>
              <w:top w:w="70" w:type="dxa"/>
              <w:start w:w="90" w:type="dxa"/>
              <w:bottom w:w="70" w:type="dxa"/>
              <w:end w:w="90" w:type="dxa"/>
            </w:tcMar>
          </w:tcPr>
          <w:p>
            <w:r>
              <w:rPr>
                <w:rFonts w:ascii="Noto Sans" w:hAnsi="Noto Sans" w:eastAsia="Noto Sans"/>
                <w:sz w:val="17"/>
              </w:rPr>
              <w:t>GET /api/v1/occupations/{id}</w:t>
            </w:r>
          </w:p>
        </w:tc>
        <w:tc>
          <w:tcPr>
            <w:tcW w:type="dxa" w:w="2324"/>
            <w:vAlign w:val="top"/>
            <w:tcMar>
              <w:top w:w="70" w:type="dxa"/>
              <w:start w:w="90" w:type="dxa"/>
              <w:bottom w:w="70" w:type="dxa"/>
              <w:end w:w="90" w:type="dxa"/>
            </w:tcMar>
          </w:tcPr>
          <w:p>
            <w:r>
              <w:rPr>
                <w:rFonts w:ascii="Noto Sans" w:hAnsi="Noto Sans" w:eastAsia="Noto Sans"/>
                <w:sz w:val="17"/>
              </w:rPr>
              <w:t>UDP Data Service</w:t>
            </w:r>
          </w:p>
        </w:tc>
        <w:tc>
          <w:tcPr>
            <w:tcW w:type="dxa" w:w="2041"/>
            <w:vAlign w:val="top"/>
            <w:tcMar>
              <w:top w:w="70" w:type="dxa"/>
              <w:start w:w="90" w:type="dxa"/>
              <w:bottom w:w="70" w:type="dxa"/>
              <w:end w:w="90" w:type="dxa"/>
            </w:tcMar>
          </w:tcPr>
          <w:p>
            <w:r>
              <w:rPr>
                <w:rFonts w:ascii="Noto Sans" w:hAnsi="Noto Sans" w:eastAsia="Noto Sans"/>
                <w:sz w:val="17"/>
              </w:rPr>
              <w:t>ouf.read.occupations</w:t>
            </w:r>
          </w:p>
        </w:tc>
        <w:tc>
          <w:tcPr>
            <w:tcW w:type="dxa" w:w="680"/>
            <w:vAlign w:val="top"/>
            <w:tcMar>
              <w:top w:w="70" w:type="dxa"/>
              <w:start w:w="90" w:type="dxa"/>
              <w:bottom w:w="70" w:type="dxa"/>
              <w:end w:w="90" w:type="dxa"/>
            </w:tcMar>
          </w:tcPr>
          <w:p>
            <w:r>
              <w:rPr>
                <w:rFonts w:ascii="Noto Sans" w:hAnsi="Noto Sans" w:eastAsia="Noto Sans"/>
                <w:sz w:val="17"/>
              </w:rPr>
              <w:t>Sì</w:t>
            </w:r>
          </w:p>
        </w:tc>
      </w:tr>
      <w:tr>
        <w:trPr>
          <w:cantSplit/>
        </w:trPr>
        <w:tc>
          <w:tcPr>
            <w:tcW w:type="dxa" w:w="2438"/>
            <w:vAlign w:val="top"/>
            <w:shd w:fill="F4F6F7"/>
            <w:tcMar>
              <w:top w:w="70" w:type="dxa"/>
              <w:start w:w="90" w:type="dxa"/>
              <w:bottom w:w="70" w:type="dxa"/>
              <w:end w:w="90" w:type="dxa"/>
            </w:tcMar>
          </w:tcPr>
          <w:p>
            <w:r>
              <w:rPr>
                <w:rFonts w:ascii="Noto Sans" w:hAnsi="Noto Sans" w:eastAsia="Noto Sans"/>
                <w:sz w:val="17"/>
              </w:rPr>
              <w:t>urban.building_interventions.search</w:t>
            </w:r>
          </w:p>
        </w:tc>
        <w:tc>
          <w:tcPr>
            <w:tcW w:type="dxa" w:w="1134"/>
            <w:vAlign w:val="top"/>
            <w:shd w:fill="F4F6F7"/>
            <w:tcMar>
              <w:top w:w="70" w:type="dxa"/>
              <w:start w:w="90" w:type="dxa"/>
              <w:bottom w:w="70" w:type="dxa"/>
              <w:end w:w="90" w:type="dxa"/>
            </w:tcMar>
          </w:tcPr>
          <w:p>
            <w:r>
              <w:rPr>
                <w:rFonts w:ascii="Noto Sans" w:hAnsi="Noto Sans" w:eastAsia="Noto Sans"/>
                <w:sz w:val="17"/>
              </w:rPr>
              <w:t>SEARCH</w:t>
            </w:r>
          </w:p>
        </w:tc>
        <w:tc>
          <w:tcPr>
            <w:tcW w:type="dxa" w:w="2835"/>
            <w:vAlign w:val="top"/>
            <w:shd w:fill="F4F6F7"/>
            <w:tcMar>
              <w:top w:w="70" w:type="dxa"/>
              <w:start w:w="90" w:type="dxa"/>
              <w:bottom w:w="70" w:type="dxa"/>
              <w:end w:w="90" w:type="dxa"/>
            </w:tcMar>
          </w:tcPr>
          <w:p>
            <w:r>
              <w:rPr>
                <w:rFonts w:ascii="Noto Sans" w:hAnsi="Noto Sans" w:eastAsia="Noto Sans"/>
                <w:sz w:val="17"/>
              </w:rPr>
              <w:t>GET /api/v1/building-interventions</w:t>
            </w:r>
          </w:p>
        </w:tc>
        <w:tc>
          <w:tcPr>
            <w:tcW w:type="dxa" w:w="2324"/>
            <w:vAlign w:val="top"/>
            <w:shd w:fill="F4F6F7"/>
            <w:tcMar>
              <w:top w:w="70" w:type="dxa"/>
              <w:start w:w="90" w:type="dxa"/>
              <w:bottom w:w="70" w:type="dxa"/>
              <w:end w:w="90" w:type="dxa"/>
            </w:tcMar>
          </w:tcPr>
          <w:p>
            <w:r>
              <w:rPr>
                <w:rFonts w:ascii="Noto Sans" w:hAnsi="Noto Sans" w:eastAsia="Noto Sans"/>
                <w:sz w:val="17"/>
              </w:rPr>
              <w:t>UDP Data Service</w:t>
            </w:r>
          </w:p>
        </w:tc>
        <w:tc>
          <w:tcPr>
            <w:tcW w:type="dxa" w:w="2041"/>
            <w:vAlign w:val="top"/>
            <w:shd w:fill="F4F6F7"/>
            <w:tcMar>
              <w:top w:w="70" w:type="dxa"/>
              <w:start w:w="90" w:type="dxa"/>
              <w:bottom w:w="70" w:type="dxa"/>
              <w:end w:w="90" w:type="dxa"/>
            </w:tcMar>
          </w:tcPr>
          <w:p>
            <w:r>
              <w:rPr>
                <w:rFonts w:ascii="Noto Sans" w:hAnsi="Noto Sans" w:eastAsia="Noto Sans"/>
                <w:sz w:val="17"/>
              </w:rPr>
              <w:t>ouf.read.buildings</w:t>
            </w:r>
          </w:p>
        </w:tc>
        <w:tc>
          <w:tcPr>
            <w:tcW w:type="dxa" w:w="680"/>
            <w:vAlign w:val="top"/>
            <w:shd w:fill="F4F6F7"/>
            <w:tcMar>
              <w:top w:w="70" w:type="dxa"/>
              <w:start w:w="90" w:type="dxa"/>
              <w:bottom w:w="70" w:type="dxa"/>
              <w:end w:w="90" w:type="dxa"/>
            </w:tcMar>
          </w:tcPr>
          <w:p>
            <w:r>
              <w:rPr>
                <w:rFonts w:ascii="Noto Sans" w:hAnsi="Noto Sans" w:eastAsia="Noto Sans"/>
                <w:sz w:val="17"/>
              </w:rPr>
              <w:t>Sì</w:t>
            </w:r>
          </w:p>
        </w:tc>
      </w:tr>
      <w:tr>
        <w:trPr>
          <w:cantSplit/>
        </w:trPr>
        <w:tc>
          <w:tcPr>
            <w:tcW w:type="dxa" w:w="2438"/>
            <w:vAlign w:val="top"/>
            <w:tcMar>
              <w:top w:w="70" w:type="dxa"/>
              <w:start w:w="90" w:type="dxa"/>
              <w:bottom w:w="70" w:type="dxa"/>
              <w:end w:w="90" w:type="dxa"/>
            </w:tcMar>
          </w:tcPr>
          <w:p>
            <w:r>
              <w:rPr>
                <w:rFonts w:ascii="Noto Sans" w:hAnsi="Noto Sans" w:eastAsia="Noto Sans"/>
                <w:sz w:val="17"/>
              </w:rPr>
              <w:t>urban.building_interventions.get</w:t>
            </w:r>
          </w:p>
        </w:tc>
        <w:tc>
          <w:tcPr>
            <w:tcW w:type="dxa" w:w="1134"/>
            <w:vAlign w:val="top"/>
            <w:tcMar>
              <w:top w:w="70" w:type="dxa"/>
              <w:start w:w="90" w:type="dxa"/>
              <w:bottom w:w="70" w:type="dxa"/>
              <w:end w:w="90" w:type="dxa"/>
            </w:tcMar>
          </w:tcPr>
          <w:p>
            <w:r>
              <w:rPr>
                <w:rFonts w:ascii="Noto Sans" w:hAnsi="Noto Sans" w:eastAsia="Noto Sans"/>
                <w:sz w:val="17"/>
              </w:rPr>
              <w:t>READ</w:t>
            </w:r>
          </w:p>
        </w:tc>
        <w:tc>
          <w:tcPr>
            <w:tcW w:type="dxa" w:w="2835"/>
            <w:vAlign w:val="top"/>
            <w:tcMar>
              <w:top w:w="70" w:type="dxa"/>
              <w:start w:w="90" w:type="dxa"/>
              <w:bottom w:w="70" w:type="dxa"/>
              <w:end w:w="90" w:type="dxa"/>
            </w:tcMar>
          </w:tcPr>
          <w:p>
            <w:r>
              <w:rPr>
                <w:rFonts w:ascii="Noto Sans" w:hAnsi="Noto Sans" w:eastAsia="Noto Sans"/>
                <w:sz w:val="17"/>
              </w:rPr>
              <w:t>GET /api/v1/building-interventions/{id}</w:t>
            </w:r>
          </w:p>
        </w:tc>
        <w:tc>
          <w:tcPr>
            <w:tcW w:type="dxa" w:w="2324"/>
            <w:vAlign w:val="top"/>
            <w:tcMar>
              <w:top w:w="70" w:type="dxa"/>
              <w:start w:w="90" w:type="dxa"/>
              <w:bottom w:w="70" w:type="dxa"/>
              <w:end w:w="90" w:type="dxa"/>
            </w:tcMar>
          </w:tcPr>
          <w:p>
            <w:r>
              <w:rPr>
                <w:rFonts w:ascii="Noto Sans" w:hAnsi="Noto Sans" w:eastAsia="Noto Sans"/>
                <w:sz w:val="17"/>
              </w:rPr>
              <w:t>UDP Data Service</w:t>
            </w:r>
          </w:p>
        </w:tc>
        <w:tc>
          <w:tcPr>
            <w:tcW w:type="dxa" w:w="2041"/>
            <w:vAlign w:val="top"/>
            <w:tcMar>
              <w:top w:w="70" w:type="dxa"/>
              <w:start w:w="90" w:type="dxa"/>
              <w:bottom w:w="70" w:type="dxa"/>
              <w:end w:w="90" w:type="dxa"/>
            </w:tcMar>
          </w:tcPr>
          <w:p>
            <w:r>
              <w:rPr>
                <w:rFonts w:ascii="Noto Sans" w:hAnsi="Noto Sans" w:eastAsia="Noto Sans"/>
                <w:sz w:val="17"/>
              </w:rPr>
              <w:t>ouf.read.buildings</w:t>
            </w:r>
          </w:p>
        </w:tc>
        <w:tc>
          <w:tcPr>
            <w:tcW w:type="dxa" w:w="680"/>
            <w:vAlign w:val="top"/>
            <w:tcMar>
              <w:top w:w="70" w:type="dxa"/>
              <w:start w:w="90" w:type="dxa"/>
              <w:bottom w:w="70" w:type="dxa"/>
              <w:end w:w="90" w:type="dxa"/>
            </w:tcMar>
          </w:tcPr>
          <w:p>
            <w:r>
              <w:rPr>
                <w:rFonts w:ascii="Noto Sans" w:hAnsi="Noto Sans" w:eastAsia="Noto Sans"/>
                <w:sz w:val="17"/>
              </w:rPr>
              <w:t>Sì</w:t>
            </w:r>
          </w:p>
        </w:tc>
      </w:tr>
      <w:tr>
        <w:trPr>
          <w:cantSplit/>
        </w:trPr>
        <w:tc>
          <w:tcPr>
            <w:tcW w:type="dxa" w:w="2438"/>
            <w:vAlign w:val="top"/>
            <w:shd w:fill="F4F6F7"/>
            <w:tcMar>
              <w:top w:w="70" w:type="dxa"/>
              <w:start w:w="90" w:type="dxa"/>
              <w:bottom w:w="70" w:type="dxa"/>
              <w:end w:w="90" w:type="dxa"/>
            </w:tcMar>
          </w:tcPr>
          <w:p>
            <w:r>
              <w:rPr>
                <w:rFonts w:ascii="Noto Sans" w:hAnsi="Noto Sans" w:eastAsia="Noto Sans"/>
                <w:sz w:val="17"/>
              </w:rPr>
              <w:t>urban.objects.search</w:t>
            </w:r>
          </w:p>
        </w:tc>
        <w:tc>
          <w:tcPr>
            <w:tcW w:type="dxa" w:w="1134"/>
            <w:vAlign w:val="top"/>
            <w:shd w:fill="F4F6F7"/>
            <w:tcMar>
              <w:top w:w="70" w:type="dxa"/>
              <w:start w:w="90" w:type="dxa"/>
              <w:bottom w:w="70" w:type="dxa"/>
              <w:end w:w="90" w:type="dxa"/>
            </w:tcMar>
          </w:tcPr>
          <w:p>
            <w:r>
              <w:rPr>
                <w:rFonts w:ascii="Noto Sans" w:hAnsi="Noto Sans" w:eastAsia="Noto Sans"/>
                <w:sz w:val="17"/>
              </w:rPr>
              <w:t>SEARCH</w:t>
            </w:r>
          </w:p>
        </w:tc>
        <w:tc>
          <w:tcPr>
            <w:tcW w:type="dxa" w:w="2835"/>
            <w:vAlign w:val="top"/>
            <w:shd w:fill="F4F6F7"/>
            <w:tcMar>
              <w:top w:w="70" w:type="dxa"/>
              <w:start w:w="90" w:type="dxa"/>
              <w:bottom w:w="70" w:type="dxa"/>
              <w:end w:w="90" w:type="dxa"/>
            </w:tcMar>
          </w:tcPr>
          <w:p>
            <w:r>
              <w:rPr>
                <w:rFonts w:ascii="Noto Sans" w:hAnsi="Noto Sans" w:eastAsia="Noto Sans"/>
                <w:sz w:val="17"/>
              </w:rPr>
              <w:t>GET /api/v1/urban-objects</w:t>
            </w:r>
          </w:p>
        </w:tc>
        <w:tc>
          <w:tcPr>
            <w:tcW w:type="dxa" w:w="2324"/>
            <w:vAlign w:val="top"/>
            <w:shd w:fill="F4F6F7"/>
            <w:tcMar>
              <w:top w:w="70" w:type="dxa"/>
              <w:start w:w="90" w:type="dxa"/>
              <w:bottom w:w="70" w:type="dxa"/>
              <w:end w:w="90" w:type="dxa"/>
            </w:tcMar>
          </w:tcPr>
          <w:p>
            <w:r>
              <w:rPr>
                <w:rFonts w:ascii="Noto Sans" w:hAnsi="Noto Sans" w:eastAsia="Noto Sans"/>
                <w:sz w:val="17"/>
              </w:rPr>
              <w:t>UDP Object Service</w:t>
            </w:r>
          </w:p>
        </w:tc>
        <w:tc>
          <w:tcPr>
            <w:tcW w:type="dxa" w:w="2041"/>
            <w:vAlign w:val="top"/>
            <w:shd w:fill="F4F6F7"/>
            <w:tcMar>
              <w:top w:w="70" w:type="dxa"/>
              <w:start w:w="90" w:type="dxa"/>
              <w:bottom w:w="70" w:type="dxa"/>
              <w:end w:w="90" w:type="dxa"/>
            </w:tcMar>
          </w:tcPr>
          <w:p>
            <w:r>
              <w:rPr>
                <w:rFonts w:ascii="Noto Sans" w:hAnsi="Noto Sans" w:eastAsia="Noto Sans"/>
                <w:sz w:val="17"/>
              </w:rPr>
              <w:t>ouf.read.objects</w:t>
            </w:r>
          </w:p>
        </w:tc>
        <w:tc>
          <w:tcPr>
            <w:tcW w:type="dxa" w:w="680"/>
            <w:vAlign w:val="top"/>
            <w:shd w:fill="F4F6F7"/>
            <w:tcMar>
              <w:top w:w="70" w:type="dxa"/>
              <w:start w:w="90" w:type="dxa"/>
              <w:bottom w:w="70" w:type="dxa"/>
              <w:end w:w="90" w:type="dxa"/>
            </w:tcMar>
          </w:tcPr>
          <w:p>
            <w:r>
              <w:rPr>
                <w:rFonts w:ascii="Noto Sans" w:hAnsi="Noto Sans" w:eastAsia="Noto Sans"/>
                <w:sz w:val="17"/>
              </w:rPr>
              <w:t>Sì</w:t>
            </w:r>
          </w:p>
        </w:tc>
      </w:tr>
      <w:tr>
        <w:trPr>
          <w:cantSplit/>
        </w:trPr>
        <w:tc>
          <w:tcPr>
            <w:tcW w:type="dxa" w:w="2438"/>
            <w:vAlign w:val="top"/>
            <w:tcMar>
              <w:top w:w="70" w:type="dxa"/>
              <w:start w:w="90" w:type="dxa"/>
              <w:bottom w:w="70" w:type="dxa"/>
              <w:end w:w="90" w:type="dxa"/>
            </w:tcMar>
          </w:tcPr>
          <w:p>
            <w:r>
              <w:rPr>
                <w:rFonts w:ascii="Noto Sans" w:hAnsi="Noto Sans" w:eastAsia="Noto Sans"/>
                <w:sz w:val="17"/>
              </w:rPr>
              <w:t>urban.objects.get</w:t>
            </w:r>
          </w:p>
        </w:tc>
        <w:tc>
          <w:tcPr>
            <w:tcW w:type="dxa" w:w="1134"/>
            <w:vAlign w:val="top"/>
            <w:tcMar>
              <w:top w:w="70" w:type="dxa"/>
              <w:start w:w="90" w:type="dxa"/>
              <w:bottom w:w="70" w:type="dxa"/>
              <w:end w:w="90" w:type="dxa"/>
            </w:tcMar>
          </w:tcPr>
          <w:p>
            <w:r>
              <w:rPr>
                <w:rFonts w:ascii="Noto Sans" w:hAnsi="Noto Sans" w:eastAsia="Noto Sans"/>
                <w:sz w:val="17"/>
              </w:rPr>
              <w:t>READ</w:t>
            </w:r>
          </w:p>
        </w:tc>
        <w:tc>
          <w:tcPr>
            <w:tcW w:type="dxa" w:w="2835"/>
            <w:vAlign w:val="top"/>
            <w:tcMar>
              <w:top w:w="70" w:type="dxa"/>
              <w:start w:w="90" w:type="dxa"/>
              <w:bottom w:w="70" w:type="dxa"/>
              <w:end w:w="90" w:type="dxa"/>
            </w:tcMar>
          </w:tcPr>
          <w:p>
            <w:r>
              <w:rPr>
                <w:rFonts w:ascii="Noto Sans" w:hAnsi="Noto Sans" w:eastAsia="Noto Sans"/>
                <w:sz w:val="17"/>
              </w:rPr>
              <w:t>GET /api/v1/urban-objects/{id}</w:t>
            </w:r>
          </w:p>
        </w:tc>
        <w:tc>
          <w:tcPr>
            <w:tcW w:type="dxa" w:w="2324"/>
            <w:vAlign w:val="top"/>
            <w:tcMar>
              <w:top w:w="70" w:type="dxa"/>
              <w:start w:w="90" w:type="dxa"/>
              <w:bottom w:w="70" w:type="dxa"/>
              <w:end w:w="90" w:type="dxa"/>
            </w:tcMar>
          </w:tcPr>
          <w:p>
            <w:r>
              <w:rPr>
                <w:rFonts w:ascii="Noto Sans" w:hAnsi="Noto Sans" w:eastAsia="Noto Sans"/>
                <w:sz w:val="17"/>
              </w:rPr>
              <w:t>UDP Object Service</w:t>
            </w:r>
          </w:p>
        </w:tc>
        <w:tc>
          <w:tcPr>
            <w:tcW w:type="dxa" w:w="2041"/>
            <w:vAlign w:val="top"/>
            <w:tcMar>
              <w:top w:w="70" w:type="dxa"/>
              <w:start w:w="90" w:type="dxa"/>
              <w:bottom w:w="70" w:type="dxa"/>
              <w:end w:w="90" w:type="dxa"/>
            </w:tcMar>
          </w:tcPr>
          <w:p>
            <w:r>
              <w:rPr>
                <w:rFonts w:ascii="Noto Sans" w:hAnsi="Noto Sans" w:eastAsia="Noto Sans"/>
                <w:sz w:val="17"/>
              </w:rPr>
              <w:t>ouf.read.objects</w:t>
            </w:r>
          </w:p>
        </w:tc>
        <w:tc>
          <w:tcPr>
            <w:tcW w:type="dxa" w:w="680"/>
            <w:vAlign w:val="top"/>
            <w:tcMar>
              <w:top w:w="70" w:type="dxa"/>
              <w:start w:w="90" w:type="dxa"/>
              <w:bottom w:w="70" w:type="dxa"/>
              <w:end w:w="90" w:type="dxa"/>
            </w:tcMar>
          </w:tcPr>
          <w:p>
            <w:r>
              <w:rPr>
                <w:rFonts w:ascii="Noto Sans" w:hAnsi="Noto Sans" w:eastAsia="Noto Sans"/>
                <w:sz w:val="17"/>
              </w:rPr>
              <w:t>Sì</w:t>
            </w:r>
          </w:p>
        </w:tc>
      </w:tr>
      <w:tr>
        <w:trPr>
          <w:cantSplit/>
        </w:trPr>
        <w:tc>
          <w:tcPr>
            <w:tcW w:type="dxa" w:w="2438"/>
            <w:vAlign w:val="top"/>
            <w:shd w:fill="F4F6F7"/>
            <w:tcMar>
              <w:top w:w="70" w:type="dxa"/>
              <w:start w:w="90" w:type="dxa"/>
              <w:bottom w:w="70" w:type="dxa"/>
              <w:end w:w="90" w:type="dxa"/>
            </w:tcMar>
          </w:tcPr>
          <w:p>
            <w:r>
              <w:rPr>
                <w:rFonts w:ascii="Noto Sans" w:hAnsi="Noto Sans" w:eastAsia="Noto Sans"/>
                <w:sz w:val="17"/>
              </w:rPr>
              <w:t>urban.geo.features.query</w:t>
            </w:r>
          </w:p>
        </w:tc>
        <w:tc>
          <w:tcPr>
            <w:tcW w:type="dxa" w:w="1134"/>
            <w:vAlign w:val="top"/>
            <w:shd w:fill="F4F6F7"/>
            <w:tcMar>
              <w:top w:w="70" w:type="dxa"/>
              <w:start w:w="90" w:type="dxa"/>
              <w:bottom w:w="70" w:type="dxa"/>
              <w:end w:w="90" w:type="dxa"/>
            </w:tcMar>
          </w:tcPr>
          <w:p>
            <w:r>
              <w:rPr>
                <w:rFonts w:ascii="Noto Sans" w:hAnsi="Noto Sans" w:eastAsia="Noto Sans"/>
                <w:sz w:val="17"/>
              </w:rPr>
              <w:t>GEO_QUERY</w:t>
            </w:r>
          </w:p>
        </w:tc>
        <w:tc>
          <w:tcPr>
            <w:tcW w:type="dxa" w:w="2835"/>
            <w:vAlign w:val="top"/>
            <w:shd w:fill="F4F6F7"/>
            <w:tcMar>
              <w:top w:w="70" w:type="dxa"/>
              <w:start w:w="90" w:type="dxa"/>
              <w:bottom w:w="70" w:type="dxa"/>
              <w:end w:w="90" w:type="dxa"/>
            </w:tcMar>
          </w:tcPr>
          <w:p>
            <w:r>
              <w:rPr>
                <w:rFonts w:ascii="Noto Sans" w:hAnsi="Noto Sans" w:eastAsia="Noto Sans"/>
                <w:sz w:val="17"/>
              </w:rPr>
              <w:t>GET /api/v1/geo/features</w:t>
            </w:r>
          </w:p>
        </w:tc>
        <w:tc>
          <w:tcPr>
            <w:tcW w:type="dxa" w:w="2324"/>
            <w:vAlign w:val="top"/>
            <w:shd w:fill="F4F6F7"/>
            <w:tcMar>
              <w:top w:w="70" w:type="dxa"/>
              <w:start w:w="90" w:type="dxa"/>
              <w:bottom w:w="70" w:type="dxa"/>
              <w:end w:w="90" w:type="dxa"/>
            </w:tcMar>
          </w:tcPr>
          <w:p>
            <w:r>
              <w:rPr>
                <w:rFonts w:ascii="Noto Sans" w:hAnsi="Noto Sans" w:eastAsia="Noto Sans"/>
                <w:sz w:val="17"/>
              </w:rPr>
              <w:t>UDP Geo Service</w:t>
            </w:r>
          </w:p>
        </w:tc>
        <w:tc>
          <w:tcPr>
            <w:tcW w:type="dxa" w:w="2041"/>
            <w:vAlign w:val="top"/>
            <w:shd w:fill="F4F6F7"/>
            <w:tcMar>
              <w:top w:w="70" w:type="dxa"/>
              <w:start w:w="90" w:type="dxa"/>
              <w:bottom w:w="70" w:type="dxa"/>
              <w:end w:w="90" w:type="dxa"/>
            </w:tcMar>
          </w:tcPr>
          <w:p>
            <w:r>
              <w:rPr>
                <w:rFonts w:ascii="Noto Sans" w:hAnsi="Noto Sans" w:eastAsia="Noto Sans"/>
                <w:sz w:val="17"/>
              </w:rPr>
              <w:t>ouf.read.geo</w:t>
            </w:r>
          </w:p>
        </w:tc>
        <w:tc>
          <w:tcPr>
            <w:tcW w:type="dxa" w:w="680"/>
            <w:vAlign w:val="top"/>
            <w:shd w:fill="F4F6F7"/>
            <w:tcMar>
              <w:top w:w="70" w:type="dxa"/>
              <w:start w:w="90" w:type="dxa"/>
              <w:bottom w:w="70" w:type="dxa"/>
              <w:end w:w="90" w:type="dxa"/>
            </w:tcMar>
          </w:tcPr>
          <w:p>
            <w:r>
              <w:rPr>
                <w:rFonts w:ascii="Noto Sans" w:hAnsi="Noto Sans" w:eastAsia="Noto Sans"/>
                <w:sz w:val="17"/>
              </w:rPr>
              <w:t>Sì</w:t>
            </w:r>
          </w:p>
        </w:tc>
      </w:tr>
      <w:tr>
        <w:trPr>
          <w:cantSplit/>
        </w:trPr>
        <w:tc>
          <w:tcPr>
            <w:tcW w:type="dxa" w:w="2438"/>
            <w:vAlign w:val="top"/>
            <w:tcMar>
              <w:top w:w="70" w:type="dxa"/>
              <w:start w:w="90" w:type="dxa"/>
              <w:bottom w:w="70" w:type="dxa"/>
              <w:end w:w="90" w:type="dxa"/>
            </w:tcMar>
          </w:tcPr>
          <w:p>
            <w:r>
              <w:rPr>
                <w:rFonts w:ascii="Noto Sans" w:hAnsi="Noto Sans" w:eastAsia="Noto Sans"/>
                <w:sz w:val="17"/>
              </w:rPr>
              <w:t>urban.geo.layers.list</w:t>
            </w:r>
          </w:p>
        </w:tc>
        <w:tc>
          <w:tcPr>
            <w:tcW w:type="dxa" w:w="1134"/>
            <w:vAlign w:val="top"/>
            <w:tcMar>
              <w:top w:w="70" w:type="dxa"/>
              <w:start w:w="90" w:type="dxa"/>
              <w:bottom w:w="70" w:type="dxa"/>
              <w:end w:w="90" w:type="dxa"/>
            </w:tcMar>
          </w:tcPr>
          <w:p>
            <w:r>
              <w:rPr>
                <w:rFonts w:ascii="Noto Sans" w:hAnsi="Noto Sans" w:eastAsia="Noto Sans"/>
                <w:sz w:val="17"/>
              </w:rPr>
              <w:t>DISCOVERY</w:t>
            </w:r>
          </w:p>
        </w:tc>
        <w:tc>
          <w:tcPr>
            <w:tcW w:type="dxa" w:w="2835"/>
            <w:vAlign w:val="top"/>
            <w:tcMar>
              <w:top w:w="70" w:type="dxa"/>
              <w:start w:w="90" w:type="dxa"/>
              <w:bottom w:w="70" w:type="dxa"/>
              <w:end w:w="90" w:type="dxa"/>
            </w:tcMar>
          </w:tcPr>
          <w:p>
            <w:r>
              <w:rPr>
                <w:rFonts w:ascii="Noto Sans" w:hAnsi="Noto Sans" w:eastAsia="Noto Sans"/>
                <w:sz w:val="17"/>
              </w:rPr>
              <w:t>GET /api/v1/geo/layers</w:t>
            </w:r>
          </w:p>
        </w:tc>
        <w:tc>
          <w:tcPr>
            <w:tcW w:type="dxa" w:w="2324"/>
            <w:vAlign w:val="top"/>
            <w:tcMar>
              <w:top w:w="70" w:type="dxa"/>
              <w:start w:w="90" w:type="dxa"/>
              <w:bottom w:w="70" w:type="dxa"/>
              <w:end w:w="90" w:type="dxa"/>
            </w:tcMar>
          </w:tcPr>
          <w:p>
            <w:r>
              <w:rPr>
                <w:rFonts w:ascii="Noto Sans" w:hAnsi="Noto Sans" w:eastAsia="Noto Sans"/>
                <w:sz w:val="17"/>
              </w:rPr>
              <w:t>UDP Catalog/Geo Service</w:t>
            </w:r>
          </w:p>
        </w:tc>
        <w:tc>
          <w:tcPr>
            <w:tcW w:type="dxa" w:w="2041"/>
            <w:vAlign w:val="top"/>
            <w:tcMar>
              <w:top w:w="70" w:type="dxa"/>
              <w:start w:w="90" w:type="dxa"/>
              <w:bottom w:w="70" w:type="dxa"/>
              <w:end w:w="90" w:type="dxa"/>
            </w:tcMar>
          </w:tcPr>
          <w:p>
            <w:r>
              <w:rPr>
                <w:rFonts w:ascii="Noto Sans" w:hAnsi="Noto Sans" w:eastAsia="Noto Sans"/>
                <w:sz w:val="17"/>
              </w:rPr>
              <w:t>ouf.read.geo</w:t>
            </w:r>
          </w:p>
        </w:tc>
        <w:tc>
          <w:tcPr>
            <w:tcW w:type="dxa" w:w="680"/>
            <w:vAlign w:val="top"/>
            <w:tcMar>
              <w:top w:w="70" w:type="dxa"/>
              <w:start w:w="90" w:type="dxa"/>
              <w:bottom w:w="70" w:type="dxa"/>
              <w:end w:w="90" w:type="dxa"/>
            </w:tcMar>
          </w:tcPr>
          <w:p>
            <w:r>
              <w:rPr>
                <w:rFonts w:ascii="Noto Sans" w:hAnsi="Noto Sans" w:eastAsia="Noto Sans"/>
                <w:sz w:val="17"/>
              </w:rPr>
              <w:t>Sì</w:t>
            </w:r>
          </w:p>
        </w:tc>
      </w:tr>
      <w:tr>
        <w:trPr>
          <w:cantSplit/>
        </w:trPr>
        <w:tc>
          <w:tcPr>
            <w:tcW w:type="dxa" w:w="2438"/>
            <w:vAlign w:val="top"/>
            <w:shd w:fill="F4F6F7"/>
            <w:tcMar>
              <w:top w:w="70" w:type="dxa"/>
              <w:start w:w="90" w:type="dxa"/>
              <w:bottom w:w="70" w:type="dxa"/>
              <w:end w:w="90" w:type="dxa"/>
            </w:tcMar>
          </w:tcPr>
          <w:p>
            <w:r>
              <w:rPr>
                <w:rFonts w:ascii="Noto Sans" w:hAnsi="Noto Sans" w:eastAsia="Noto Sans"/>
                <w:sz w:val="17"/>
              </w:rPr>
              <w:t>urban.map.render</w:t>
            </w:r>
          </w:p>
        </w:tc>
        <w:tc>
          <w:tcPr>
            <w:tcW w:type="dxa" w:w="1134"/>
            <w:vAlign w:val="top"/>
            <w:shd w:fill="F4F6F7"/>
            <w:tcMar>
              <w:top w:w="70" w:type="dxa"/>
              <w:start w:w="90" w:type="dxa"/>
              <w:bottom w:w="70" w:type="dxa"/>
              <w:end w:w="90" w:type="dxa"/>
            </w:tcMar>
          </w:tcPr>
          <w:p>
            <w:r>
              <w:rPr>
                <w:rFonts w:ascii="Noto Sans" w:hAnsi="Noto Sans" w:eastAsia="Noto Sans"/>
                <w:sz w:val="17"/>
              </w:rPr>
              <w:t>MAP</w:t>
            </w:r>
          </w:p>
        </w:tc>
        <w:tc>
          <w:tcPr>
            <w:tcW w:type="dxa" w:w="2835"/>
            <w:vAlign w:val="top"/>
            <w:shd w:fill="F4F6F7"/>
            <w:tcMar>
              <w:top w:w="70" w:type="dxa"/>
              <w:start w:w="90" w:type="dxa"/>
              <w:bottom w:w="70" w:type="dxa"/>
              <w:end w:w="90" w:type="dxa"/>
            </w:tcMar>
          </w:tcPr>
          <w:p>
            <w:r>
              <w:rPr>
                <w:rFonts w:ascii="Noto Sans" w:hAnsi="Noto Sans" w:eastAsia="Noto Sans"/>
                <w:sz w:val="17"/>
              </w:rPr>
              <w:t>GET /ogc/wms/{source}</w:t>
            </w:r>
          </w:p>
        </w:tc>
        <w:tc>
          <w:tcPr>
            <w:tcW w:type="dxa" w:w="2324"/>
            <w:vAlign w:val="top"/>
            <w:shd w:fill="F4F6F7"/>
            <w:tcMar>
              <w:top w:w="70" w:type="dxa"/>
              <w:start w:w="90" w:type="dxa"/>
              <w:bottom w:w="70" w:type="dxa"/>
              <w:end w:w="90" w:type="dxa"/>
            </w:tcMar>
          </w:tcPr>
          <w:p>
            <w:r>
              <w:rPr>
                <w:rFonts w:ascii="Noto Sans" w:hAnsi="Noto Sans" w:eastAsia="Noto Sans"/>
                <w:sz w:val="17"/>
              </w:rPr>
              <w:t>WMS Proxy / Geo Service</w:t>
            </w:r>
          </w:p>
        </w:tc>
        <w:tc>
          <w:tcPr>
            <w:tcW w:type="dxa" w:w="2041"/>
            <w:vAlign w:val="top"/>
            <w:shd w:fill="F4F6F7"/>
            <w:tcMar>
              <w:top w:w="70" w:type="dxa"/>
              <w:start w:w="90" w:type="dxa"/>
              <w:bottom w:w="70" w:type="dxa"/>
              <w:end w:w="90" w:type="dxa"/>
            </w:tcMar>
          </w:tcPr>
          <w:p>
            <w:r>
              <w:rPr>
                <w:rFonts w:ascii="Noto Sans" w:hAnsi="Noto Sans" w:eastAsia="Noto Sans"/>
                <w:sz w:val="17"/>
              </w:rPr>
              <w:t>ouf.read.map</w:t>
            </w:r>
          </w:p>
        </w:tc>
        <w:tc>
          <w:tcPr>
            <w:tcW w:type="dxa" w:w="680"/>
            <w:vAlign w:val="top"/>
            <w:shd w:fill="F4F6F7"/>
            <w:tcMar>
              <w:top w:w="70" w:type="dxa"/>
              <w:start w:w="90" w:type="dxa"/>
              <w:bottom w:w="70" w:type="dxa"/>
              <w:end w:w="90" w:type="dxa"/>
            </w:tcMar>
          </w:tcPr>
          <w:p>
            <w:r>
              <w:rPr>
                <w:rFonts w:ascii="Noto Sans" w:hAnsi="Noto Sans" w:eastAsia="Noto Sans"/>
                <w:sz w:val="17"/>
              </w:rPr>
              <w:t>No</w:t>
            </w:r>
          </w:p>
        </w:tc>
      </w:tr>
      <w:tr>
        <w:trPr>
          <w:cantSplit/>
        </w:trPr>
        <w:tc>
          <w:tcPr>
            <w:tcW w:type="dxa" w:w="2438"/>
            <w:vAlign w:val="top"/>
            <w:tcMar>
              <w:top w:w="70" w:type="dxa"/>
              <w:start w:w="90" w:type="dxa"/>
              <w:bottom w:w="70" w:type="dxa"/>
              <w:end w:w="90" w:type="dxa"/>
            </w:tcMar>
          </w:tcPr>
          <w:p>
            <w:r>
              <w:rPr>
                <w:rFonts w:ascii="Noto Sans" w:hAnsi="Noto Sans" w:eastAsia="Noto Sans"/>
                <w:sz w:val="17"/>
              </w:rPr>
              <w:t>urban.catalog.datasets.list</w:t>
            </w:r>
          </w:p>
        </w:tc>
        <w:tc>
          <w:tcPr>
            <w:tcW w:type="dxa" w:w="1134"/>
            <w:vAlign w:val="top"/>
            <w:tcMar>
              <w:top w:w="70" w:type="dxa"/>
              <w:start w:w="90" w:type="dxa"/>
              <w:bottom w:w="70" w:type="dxa"/>
              <w:end w:w="90" w:type="dxa"/>
            </w:tcMar>
          </w:tcPr>
          <w:p>
            <w:r>
              <w:rPr>
                <w:rFonts w:ascii="Noto Sans" w:hAnsi="Noto Sans" w:eastAsia="Noto Sans"/>
                <w:sz w:val="17"/>
              </w:rPr>
              <w:t>DISCOVERY</w:t>
            </w:r>
          </w:p>
        </w:tc>
        <w:tc>
          <w:tcPr>
            <w:tcW w:type="dxa" w:w="2835"/>
            <w:vAlign w:val="top"/>
            <w:tcMar>
              <w:top w:w="70" w:type="dxa"/>
              <w:start w:w="90" w:type="dxa"/>
              <w:bottom w:w="70" w:type="dxa"/>
              <w:end w:w="90" w:type="dxa"/>
            </w:tcMar>
          </w:tcPr>
          <w:p>
            <w:r>
              <w:rPr>
                <w:rFonts w:ascii="Noto Sans" w:hAnsi="Noto Sans" w:eastAsia="Noto Sans"/>
                <w:sz w:val="17"/>
              </w:rPr>
              <w:t>GET /api/v1/catalog/datasets</w:t>
            </w:r>
          </w:p>
        </w:tc>
        <w:tc>
          <w:tcPr>
            <w:tcW w:type="dxa" w:w="2324"/>
            <w:vAlign w:val="top"/>
            <w:tcMar>
              <w:top w:w="70" w:type="dxa"/>
              <w:start w:w="90" w:type="dxa"/>
              <w:bottom w:w="70" w:type="dxa"/>
              <w:end w:w="90" w:type="dxa"/>
            </w:tcMar>
          </w:tcPr>
          <w:p>
            <w:r>
              <w:rPr>
                <w:rFonts w:ascii="Noto Sans" w:hAnsi="Noto Sans" w:eastAsia="Noto Sans"/>
                <w:sz w:val="17"/>
              </w:rPr>
              <w:t>UDP Catalog Service</w:t>
            </w:r>
          </w:p>
        </w:tc>
        <w:tc>
          <w:tcPr>
            <w:tcW w:type="dxa" w:w="2041"/>
            <w:vAlign w:val="top"/>
            <w:tcMar>
              <w:top w:w="70" w:type="dxa"/>
              <w:start w:w="90" w:type="dxa"/>
              <w:bottom w:w="70" w:type="dxa"/>
              <w:end w:w="90" w:type="dxa"/>
            </w:tcMar>
          </w:tcPr>
          <w:p>
            <w:r>
              <w:rPr>
                <w:rFonts w:ascii="Noto Sans" w:hAnsi="Noto Sans" w:eastAsia="Noto Sans"/>
                <w:sz w:val="17"/>
              </w:rPr>
              <w:t>ouf.read.catalog</w:t>
            </w:r>
          </w:p>
        </w:tc>
        <w:tc>
          <w:tcPr>
            <w:tcW w:type="dxa" w:w="680"/>
            <w:vAlign w:val="top"/>
            <w:tcMar>
              <w:top w:w="70" w:type="dxa"/>
              <w:start w:w="90" w:type="dxa"/>
              <w:bottom w:w="70" w:type="dxa"/>
              <w:end w:w="90" w:type="dxa"/>
            </w:tcMar>
          </w:tcPr>
          <w:p>
            <w:r>
              <w:rPr>
                <w:rFonts w:ascii="Noto Sans" w:hAnsi="Noto Sans" w:eastAsia="Noto Sans"/>
                <w:sz w:val="17"/>
              </w:rPr>
              <w:t>Sì</w:t>
            </w:r>
          </w:p>
        </w:tc>
      </w:tr>
      <w:tr>
        <w:trPr>
          <w:cantSplit/>
        </w:trPr>
        <w:tc>
          <w:tcPr>
            <w:tcW w:type="dxa" w:w="2438"/>
            <w:vAlign w:val="top"/>
            <w:shd w:fill="F4F6F7"/>
            <w:tcMar>
              <w:top w:w="70" w:type="dxa"/>
              <w:start w:w="90" w:type="dxa"/>
              <w:bottom w:w="70" w:type="dxa"/>
              <w:end w:w="90" w:type="dxa"/>
            </w:tcMar>
          </w:tcPr>
          <w:p>
            <w:r>
              <w:rPr>
                <w:rFonts w:ascii="Noto Sans" w:hAnsi="Noto Sans" w:eastAsia="Noto Sans"/>
                <w:sz w:val="17"/>
              </w:rPr>
              <w:t>urban.catalog.datasets.get</w:t>
            </w:r>
          </w:p>
        </w:tc>
        <w:tc>
          <w:tcPr>
            <w:tcW w:type="dxa" w:w="1134"/>
            <w:vAlign w:val="top"/>
            <w:shd w:fill="F4F6F7"/>
            <w:tcMar>
              <w:top w:w="70" w:type="dxa"/>
              <w:start w:w="90" w:type="dxa"/>
              <w:bottom w:w="70" w:type="dxa"/>
              <w:end w:w="90" w:type="dxa"/>
            </w:tcMar>
          </w:tcPr>
          <w:p>
            <w:r>
              <w:rPr>
                <w:rFonts w:ascii="Noto Sans" w:hAnsi="Noto Sans" w:eastAsia="Noto Sans"/>
                <w:sz w:val="17"/>
              </w:rPr>
              <w:t>READ</w:t>
            </w:r>
          </w:p>
        </w:tc>
        <w:tc>
          <w:tcPr>
            <w:tcW w:type="dxa" w:w="2835"/>
            <w:vAlign w:val="top"/>
            <w:shd w:fill="F4F6F7"/>
            <w:tcMar>
              <w:top w:w="70" w:type="dxa"/>
              <w:start w:w="90" w:type="dxa"/>
              <w:bottom w:w="70" w:type="dxa"/>
              <w:end w:w="90" w:type="dxa"/>
            </w:tcMar>
          </w:tcPr>
          <w:p>
            <w:r>
              <w:rPr>
                <w:rFonts w:ascii="Noto Sans" w:hAnsi="Noto Sans" w:eastAsia="Noto Sans"/>
                <w:sz w:val="17"/>
              </w:rPr>
              <w:t>GET /api/v1/catalog/datasets/{id}</w:t>
            </w:r>
          </w:p>
        </w:tc>
        <w:tc>
          <w:tcPr>
            <w:tcW w:type="dxa" w:w="2324"/>
            <w:vAlign w:val="top"/>
            <w:shd w:fill="F4F6F7"/>
            <w:tcMar>
              <w:top w:w="70" w:type="dxa"/>
              <w:start w:w="90" w:type="dxa"/>
              <w:bottom w:w="70" w:type="dxa"/>
              <w:end w:w="90" w:type="dxa"/>
            </w:tcMar>
          </w:tcPr>
          <w:p>
            <w:r>
              <w:rPr>
                <w:rFonts w:ascii="Noto Sans" w:hAnsi="Noto Sans" w:eastAsia="Noto Sans"/>
                <w:sz w:val="17"/>
              </w:rPr>
              <w:t>UDP Catalog Service</w:t>
            </w:r>
          </w:p>
        </w:tc>
        <w:tc>
          <w:tcPr>
            <w:tcW w:type="dxa" w:w="2041"/>
            <w:vAlign w:val="top"/>
            <w:shd w:fill="F4F6F7"/>
            <w:tcMar>
              <w:top w:w="70" w:type="dxa"/>
              <w:start w:w="90" w:type="dxa"/>
              <w:bottom w:w="70" w:type="dxa"/>
              <w:end w:w="90" w:type="dxa"/>
            </w:tcMar>
          </w:tcPr>
          <w:p>
            <w:r>
              <w:rPr>
                <w:rFonts w:ascii="Noto Sans" w:hAnsi="Noto Sans" w:eastAsia="Noto Sans"/>
                <w:sz w:val="17"/>
              </w:rPr>
              <w:t>ouf.read.catalog</w:t>
            </w:r>
          </w:p>
        </w:tc>
        <w:tc>
          <w:tcPr>
            <w:tcW w:type="dxa" w:w="680"/>
            <w:vAlign w:val="top"/>
            <w:shd w:fill="F4F6F7"/>
            <w:tcMar>
              <w:top w:w="70" w:type="dxa"/>
              <w:start w:w="90" w:type="dxa"/>
              <w:bottom w:w="70" w:type="dxa"/>
              <w:end w:w="90" w:type="dxa"/>
            </w:tcMar>
          </w:tcPr>
          <w:p>
            <w:r>
              <w:rPr>
                <w:rFonts w:ascii="Noto Sans" w:hAnsi="Noto Sans" w:eastAsia="Noto Sans"/>
                <w:sz w:val="17"/>
              </w:rPr>
              <w:t>Sì</w:t>
            </w:r>
          </w:p>
        </w:tc>
      </w:tr>
      <w:tr>
        <w:trPr>
          <w:cantSplit/>
        </w:trPr>
        <w:tc>
          <w:tcPr>
            <w:tcW w:type="dxa" w:w="2438"/>
            <w:vAlign w:val="top"/>
            <w:tcMar>
              <w:top w:w="70" w:type="dxa"/>
              <w:start w:w="90" w:type="dxa"/>
              <w:bottom w:w="70" w:type="dxa"/>
              <w:end w:w="90" w:type="dxa"/>
            </w:tcMar>
          </w:tcPr>
          <w:p>
            <w:r>
              <w:rPr>
                <w:rFonts w:ascii="Noto Sans" w:hAnsi="Noto Sans" w:eastAsia="Noto Sans"/>
                <w:sz w:val="17"/>
              </w:rPr>
              <w:t>urban.ingestion.status.get</w:t>
            </w:r>
          </w:p>
        </w:tc>
        <w:tc>
          <w:tcPr>
            <w:tcW w:type="dxa" w:w="1134"/>
            <w:vAlign w:val="top"/>
            <w:tcMar>
              <w:top w:w="70" w:type="dxa"/>
              <w:start w:w="90" w:type="dxa"/>
              <w:bottom w:w="70" w:type="dxa"/>
              <w:end w:w="90" w:type="dxa"/>
            </w:tcMar>
          </w:tcPr>
          <w:p>
            <w:r>
              <w:rPr>
                <w:rFonts w:ascii="Noto Sans" w:hAnsi="Noto Sans" w:eastAsia="Noto Sans"/>
                <w:sz w:val="17"/>
              </w:rPr>
              <w:t>STATUS</w:t>
            </w:r>
          </w:p>
        </w:tc>
        <w:tc>
          <w:tcPr>
            <w:tcW w:type="dxa" w:w="2835"/>
            <w:vAlign w:val="top"/>
            <w:tcMar>
              <w:top w:w="70" w:type="dxa"/>
              <w:start w:w="90" w:type="dxa"/>
              <w:bottom w:w="70" w:type="dxa"/>
              <w:end w:w="90" w:type="dxa"/>
            </w:tcMar>
          </w:tcPr>
          <w:p>
            <w:r>
              <w:rPr>
                <w:rFonts w:ascii="Noto Sans" w:hAnsi="Noto Sans" w:eastAsia="Noto Sans"/>
                <w:sz w:val="17"/>
              </w:rPr>
              <w:t>GET /api/v1/ingestion/jobs/{id}</w:t>
            </w:r>
          </w:p>
        </w:tc>
        <w:tc>
          <w:tcPr>
            <w:tcW w:type="dxa" w:w="2324"/>
            <w:vAlign w:val="top"/>
            <w:tcMar>
              <w:top w:w="70" w:type="dxa"/>
              <w:start w:w="90" w:type="dxa"/>
              <w:bottom w:w="70" w:type="dxa"/>
              <w:end w:w="90" w:type="dxa"/>
            </w:tcMar>
          </w:tcPr>
          <w:p>
            <w:r>
              <w:rPr>
                <w:rFonts w:ascii="Noto Sans" w:hAnsi="Noto Sans" w:eastAsia="Noto Sans"/>
                <w:sz w:val="17"/>
              </w:rPr>
              <w:t>Ingestion Status Service</w:t>
            </w:r>
          </w:p>
        </w:tc>
        <w:tc>
          <w:tcPr>
            <w:tcW w:type="dxa" w:w="2041"/>
            <w:vAlign w:val="top"/>
            <w:tcMar>
              <w:top w:w="70" w:type="dxa"/>
              <w:start w:w="90" w:type="dxa"/>
              <w:bottom w:w="70" w:type="dxa"/>
              <w:end w:w="90" w:type="dxa"/>
            </w:tcMar>
          </w:tcPr>
          <w:p>
            <w:r>
              <w:rPr>
                <w:rFonts w:ascii="Noto Sans" w:hAnsi="Noto Sans" w:eastAsia="Noto Sans"/>
                <w:sz w:val="17"/>
              </w:rPr>
              <w:t>ouf.read.ingestion-status</w:t>
            </w:r>
          </w:p>
        </w:tc>
        <w:tc>
          <w:tcPr>
            <w:tcW w:type="dxa" w:w="680"/>
            <w:vAlign w:val="top"/>
            <w:tcMar>
              <w:top w:w="70" w:type="dxa"/>
              <w:start w:w="90" w:type="dxa"/>
              <w:bottom w:w="70" w:type="dxa"/>
              <w:end w:w="90" w:type="dxa"/>
            </w:tcMar>
          </w:tcPr>
          <w:p>
            <w:r>
              <w:rPr>
                <w:rFonts w:ascii="Noto Sans" w:hAnsi="Noto Sans" w:eastAsia="Noto Sans"/>
                <w:sz w:val="17"/>
              </w:rPr>
              <w:t>No</w:t>
            </w:r>
          </w:p>
        </w:tc>
      </w:tr>
    </w:tbl>
    <w:p>
      <w:pPr>
        <w:spacing w:after="40"/>
      </w:pPr>
    </w:p>
    <w:p>
      <w:pPr>
        <w:pStyle w:val="Heading2"/>
        <w:keepNext/>
        <w:spacing w:before="160"/>
      </w:pPr>
      <w:r>
        <w:rPr>
          <w:rFonts w:ascii="Noto Sans" w:hAnsi="Noto Sans" w:eastAsia="Noto Sans"/>
        </w:rPr>
        <w:t>A.3 Capability di ricerca e lettura per SUAP, SUO e SUE</w:t>
      </w:r>
    </w:p>
    <w:p>
      <w:pPr>
        <w:pStyle w:val="BodyText"/>
        <w:widowControl/>
        <w:spacing w:after="80"/>
      </w:pPr>
      <w:r>
        <w:rPr>
          <w:rFonts w:ascii="Noto Sans" w:hAnsi="Noto Sans" w:eastAsia="Noto Sans"/>
        </w:rPr>
        <w:t>Le prime capability applicative sono orientate alla consultazione dei dati integrati provenienti dai tre verticali selezionati. La UI non interroga direttamente SUAP, SUO o SUE: interroga i servizi governati della UDP attraverso il Gateway.</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cantSplit/>
          <w:tblHeader w:val="true"/>
          <w:cantSplit/>
        </w:trPr>
        <w:tc>
          <w:tcPr>
            <w:tcW w:type="dxa" w:w="2438"/>
            <w:vAlign w:val="top"/>
            <w:shd w:fill="0B5675"/>
            <w:tcMar>
              <w:top w:w="70" w:type="dxa"/>
              <w:start w:w="90" w:type="dxa"/>
              <w:bottom w:w="70" w:type="dxa"/>
              <w:end w:w="90" w:type="dxa"/>
            </w:tcMar>
          </w:tcPr>
          <w:p>
            <w:r>
              <w:rPr>
                <w:rFonts w:ascii="Noto Sans" w:hAnsi="Noto Sans" w:eastAsia="Noto Sans"/>
                <w:sz w:val="17"/>
              </w:rPr>
              <w:t>Capability</w:t>
            </w:r>
          </w:p>
        </w:tc>
        <w:tc>
          <w:tcPr>
            <w:tcW w:type="dxa" w:w="3969"/>
            <w:vAlign w:val="top"/>
            <w:shd w:fill="0B5675"/>
            <w:tcMar>
              <w:top w:w="70" w:type="dxa"/>
              <w:start w:w="90" w:type="dxa"/>
              <w:bottom w:w="70" w:type="dxa"/>
              <w:end w:w="90" w:type="dxa"/>
            </w:tcMar>
          </w:tcPr>
          <w:p>
            <w:r>
              <w:rPr>
                <w:rFonts w:ascii="Noto Sans" w:hAnsi="Noto Sans" w:eastAsia="Noto Sans"/>
                <w:sz w:val="17"/>
              </w:rPr>
              <w:t>Filtri minimi</w:t>
            </w:r>
          </w:p>
        </w:tc>
        <w:tc>
          <w:tcPr>
            <w:tcW w:type="dxa" w:w="2835"/>
            <w:vAlign w:val="top"/>
            <w:shd w:fill="0B5675"/>
            <w:tcMar>
              <w:top w:w="70" w:type="dxa"/>
              <w:start w:w="90" w:type="dxa"/>
              <w:bottom w:w="70" w:type="dxa"/>
              <w:end w:w="90" w:type="dxa"/>
            </w:tcMar>
          </w:tcPr>
          <w:p>
            <w:r>
              <w:rPr>
                <w:rFonts w:ascii="Noto Sans" w:hAnsi="Noto Sans" w:eastAsia="Noto Sans"/>
                <w:sz w:val="17"/>
              </w:rPr>
              <w:t>Output canonico</w:t>
            </w:r>
          </w:p>
        </w:tc>
        <w:tc>
          <w:tcPr>
            <w:tcW w:type="dxa" w:w="3118"/>
            <w:vAlign w:val="top"/>
            <w:shd w:fill="0B5675"/>
            <w:tcMar>
              <w:top w:w="70" w:type="dxa"/>
              <w:start w:w="90" w:type="dxa"/>
              <w:bottom w:w="70" w:type="dxa"/>
              <w:end w:w="90" w:type="dxa"/>
            </w:tcMar>
          </w:tcPr>
          <w:p>
            <w:r>
              <w:rPr>
                <w:rFonts w:ascii="Noto Sans" w:hAnsi="Noto Sans" w:eastAsia="Noto Sans"/>
                <w:sz w:val="17"/>
              </w:rPr>
              <w:t>Note</w:t>
            </w:r>
          </w:p>
        </w:tc>
      </w:tr>
      <w:tr>
        <w:trPr>
          <w:cantSplit/>
        </w:trPr>
        <w:tc>
          <w:tcPr>
            <w:tcW w:type="dxa" w:w="2438"/>
            <w:vAlign w:val="top"/>
            <w:tcMar>
              <w:top w:w="70" w:type="dxa"/>
              <w:start w:w="90" w:type="dxa"/>
              <w:bottom w:w="70" w:type="dxa"/>
              <w:end w:w="90" w:type="dxa"/>
            </w:tcMar>
          </w:tcPr>
          <w:p>
            <w:r>
              <w:rPr>
                <w:rFonts w:ascii="Noto Sans" w:hAnsi="Noto Sans" w:eastAsia="Noto Sans"/>
                <w:sz w:val="17"/>
              </w:rPr>
              <w:t>urban.activities.search</w:t>
            </w:r>
          </w:p>
        </w:tc>
        <w:tc>
          <w:tcPr>
            <w:tcW w:type="dxa" w:w="3969"/>
            <w:vAlign w:val="top"/>
            <w:tcMar>
              <w:top w:w="70" w:type="dxa"/>
              <w:start w:w="90" w:type="dxa"/>
              <w:bottom w:w="70" w:type="dxa"/>
              <w:end w:w="90" w:type="dxa"/>
            </w:tcMar>
          </w:tcPr>
          <w:p>
            <w:r>
              <w:rPr>
                <w:rFonts w:ascii="Noto Sans" w:hAnsi="Noto Sans" w:eastAsia="Noto Sans"/>
                <w:sz w:val="17"/>
              </w:rPr>
              <w:t>q, category, bbox, validAt, status, page, pageSize</w:t>
            </w:r>
          </w:p>
        </w:tc>
        <w:tc>
          <w:tcPr>
            <w:tcW w:type="dxa" w:w="2835"/>
            <w:vAlign w:val="top"/>
            <w:tcMar>
              <w:top w:w="70" w:type="dxa"/>
              <w:start w:w="90" w:type="dxa"/>
              <w:bottom w:w="70" w:type="dxa"/>
              <w:end w:w="90" w:type="dxa"/>
            </w:tcMar>
          </w:tcPr>
          <w:p>
            <w:r>
              <w:rPr>
                <w:rFonts w:ascii="Noto Sans" w:hAnsi="Noto Sans" w:eastAsia="Noto Sans"/>
                <w:sz w:val="17"/>
              </w:rPr>
              <w:t>UrbanEconomicActivityCollection</w:t>
            </w:r>
          </w:p>
        </w:tc>
        <w:tc>
          <w:tcPr>
            <w:tcW w:type="dxa" w:w="3118"/>
            <w:vAlign w:val="top"/>
            <w:tcMar>
              <w:top w:w="70" w:type="dxa"/>
              <w:start w:w="90" w:type="dxa"/>
              <w:bottom w:w="70" w:type="dxa"/>
              <w:end w:w="90" w:type="dxa"/>
            </w:tcMar>
          </w:tcPr>
          <w:p>
            <w:r>
              <w:rPr>
                <w:rFonts w:ascii="Noto Sans" w:hAnsi="Noto Sans" w:eastAsia="Noto Sans"/>
                <w:sz w:val="17"/>
              </w:rPr>
              <w:t>Ricerca attività economiche integrate da SUAP.</w:t>
            </w:r>
          </w:p>
        </w:tc>
      </w:tr>
      <w:tr>
        <w:trPr>
          <w:cantSplit/>
        </w:trPr>
        <w:tc>
          <w:tcPr>
            <w:tcW w:type="dxa" w:w="2438"/>
            <w:vAlign w:val="top"/>
            <w:shd w:fill="F4F6F7"/>
            <w:tcMar>
              <w:top w:w="70" w:type="dxa"/>
              <w:start w:w="90" w:type="dxa"/>
              <w:bottom w:w="70" w:type="dxa"/>
              <w:end w:w="90" w:type="dxa"/>
            </w:tcMar>
          </w:tcPr>
          <w:p>
            <w:r>
              <w:rPr>
                <w:rFonts w:ascii="Noto Sans" w:hAnsi="Noto Sans" w:eastAsia="Noto Sans"/>
                <w:sz w:val="17"/>
              </w:rPr>
              <w:t>urban.occupations.search</w:t>
            </w:r>
          </w:p>
        </w:tc>
        <w:tc>
          <w:tcPr>
            <w:tcW w:type="dxa" w:w="3969"/>
            <w:vAlign w:val="top"/>
            <w:shd w:fill="F4F6F7"/>
            <w:tcMar>
              <w:top w:w="70" w:type="dxa"/>
              <w:start w:w="90" w:type="dxa"/>
              <w:bottom w:w="70" w:type="dxa"/>
              <w:end w:w="90" w:type="dxa"/>
            </w:tcMar>
          </w:tcPr>
          <w:p>
            <w:r>
              <w:rPr>
                <w:rFonts w:ascii="Noto Sans" w:hAnsi="Noto Sans" w:eastAsia="Noto Sans"/>
                <w:sz w:val="17"/>
              </w:rPr>
              <w:t>q, occupationType, bbox, validAt, status, page, pageSize</w:t>
            </w:r>
          </w:p>
        </w:tc>
        <w:tc>
          <w:tcPr>
            <w:tcW w:type="dxa" w:w="2835"/>
            <w:vAlign w:val="top"/>
            <w:shd w:fill="F4F6F7"/>
            <w:tcMar>
              <w:top w:w="70" w:type="dxa"/>
              <w:start w:w="90" w:type="dxa"/>
              <w:bottom w:w="70" w:type="dxa"/>
              <w:end w:w="90" w:type="dxa"/>
            </w:tcMar>
          </w:tcPr>
          <w:p>
            <w:r>
              <w:rPr>
                <w:rFonts w:ascii="Noto Sans" w:hAnsi="Noto Sans" w:eastAsia="Noto Sans"/>
                <w:sz w:val="17"/>
              </w:rPr>
              <w:t>UrbanOccupationCollection</w:t>
            </w:r>
          </w:p>
        </w:tc>
        <w:tc>
          <w:tcPr>
            <w:tcW w:type="dxa" w:w="3118"/>
            <w:vAlign w:val="top"/>
            <w:shd w:fill="F4F6F7"/>
            <w:tcMar>
              <w:top w:w="70" w:type="dxa"/>
              <w:start w:w="90" w:type="dxa"/>
              <w:bottom w:w="70" w:type="dxa"/>
              <w:end w:w="90" w:type="dxa"/>
            </w:tcMar>
          </w:tcPr>
          <w:p>
            <w:r>
              <w:rPr>
                <w:rFonts w:ascii="Noto Sans" w:hAnsi="Noto Sans" w:eastAsia="Noto Sans"/>
                <w:sz w:val="17"/>
              </w:rPr>
              <w:t>Ricerca occupazioni di suolo e oggetti correlati.</w:t>
            </w:r>
          </w:p>
        </w:tc>
      </w:tr>
      <w:tr>
        <w:trPr>
          <w:cantSplit/>
        </w:trPr>
        <w:tc>
          <w:tcPr>
            <w:tcW w:type="dxa" w:w="2438"/>
            <w:vAlign w:val="top"/>
            <w:tcMar>
              <w:top w:w="70" w:type="dxa"/>
              <w:start w:w="90" w:type="dxa"/>
              <w:bottom w:w="70" w:type="dxa"/>
              <w:end w:w="90" w:type="dxa"/>
            </w:tcMar>
          </w:tcPr>
          <w:p>
            <w:r>
              <w:rPr>
                <w:rFonts w:ascii="Noto Sans" w:hAnsi="Noto Sans" w:eastAsia="Noto Sans"/>
                <w:sz w:val="17"/>
              </w:rPr>
              <w:t>urban.building_interventions.search</w:t>
            </w:r>
          </w:p>
        </w:tc>
        <w:tc>
          <w:tcPr>
            <w:tcW w:type="dxa" w:w="3969"/>
            <w:vAlign w:val="top"/>
            <w:tcMar>
              <w:top w:w="70" w:type="dxa"/>
              <w:start w:w="90" w:type="dxa"/>
              <w:bottom w:w="70" w:type="dxa"/>
              <w:end w:w="90" w:type="dxa"/>
            </w:tcMar>
          </w:tcPr>
          <w:p>
            <w:r>
              <w:rPr>
                <w:rFonts w:ascii="Noto Sans" w:hAnsi="Noto Sans" w:eastAsia="Noto Sans"/>
                <w:sz w:val="17"/>
              </w:rPr>
              <w:t>q, interventionType, bbox, validAt, status, page, pageSize</w:t>
            </w:r>
          </w:p>
        </w:tc>
        <w:tc>
          <w:tcPr>
            <w:tcW w:type="dxa" w:w="2835"/>
            <w:vAlign w:val="top"/>
            <w:tcMar>
              <w:top w:w="70" w:type="dxa"/>
              <w:start w:w="90" w:type="dxa"/>
              <w:bottom w:w="70" w:type="dxa"/>
              <w:end w:w="90" w:type="dxa"/>
            </w:tcMar>
          </w:tcPr>
          <w:p>
            <w:r>
              <w:rPr>
                <w:rFonts w:ascii="Noto Sans" w:hAnsi="Noto Sans" w:eastAsia="Noto Sans"/>
                <w:sz w:val="17"/>
              </w:rPr>
              <w:t>UrbanBuildingInterventionCollection</w:t>
            </w:r>
          </w:p>
        </w:tc>
        <w:tc>
          <w:tcPr>
            <w:tcW w:type="dxa" w:w="3118"/>
            <w:vAlign w:val="top"/>
            <w:tcMar>
              <w:top w:w="70" w:type="dxa"/>
              <w:start w:w="90" w:type="dxa"/>
              <w:bottom w:w="70" w:type="dxa"/>
              <w:end w:w="90" w:type="dxa"/>
            </w:tcMar>
          </w:tcPr>
          <w:p>
            <w:r>
              <w:rPr>
                <w:rFonts w:ascii="Noto Sans" w:hAnsi="Noto Sans" w:eastAsia="Noto Sans"/>
                <w:sz w:val="17"/>
              </w:rPr>
              <w:t>Ricerca interventi edilizi e trasformazioni provenienti da SUE.</w:t>
            </w:r>
          </w:p>
        </w:tc>
      </w:tr>
      <w:tr>
        <w:trPr>
          <w:cantSplit/>
        </w:trPr>
        <w:tc>
          <w:tcPr>
            <w:tcW w:type="dxa" w:w="2438"/>
            <w:vAlign w:val="top"/>
            <w:shd w:fill="F4F6F7"/>
            <w:tcMar>
              <w:top w:w="70" w:type="dxa"/>
              <w:start w:w="90" w:type="dxa"/>
              <w:bottom w:w="70" w:type="dxa"/>
              <w:end w:w="90" w:type="dxa"/>
            </w:tcMar>
          </w:tcPr>
          <w:p>
            <w:r>
              <w:rPr>
                <w:rFonts w:ascii="Noto Sans" w:hAnsi="Noto Sans" w:eastAsia="Noto Sans"/>
                <w:sz w:val="17"/>
              </w:rPr>
              <w:t>urban.objects.search</w:t>
            </w:r>
          </w:p>
        </w:tc>
        <w:tc>
          <w:tcPr>
            <w:tcW w:type="dxa" w:w="3969"/>
            <w:vAlign w:val="top"/>
            <w:shd w:fill="F4F6F7"/>
            <w:tcMar>
              <w:top w:w="70" w:type="dxa"/>
              <w:start w:w="90" w:type="dxa"/>
              <w:bottom w:w="70" w:type="dxa"/>
              <w:end w:w="90" w:type="dxa"/>
            </w:tcMar>
          </w:tcPr>
          <w:p>
            <w:r>
              <w:rPr>
                <w:rFonts w:ascii="Noto Sans" w:hAnsi="Noto Sans" w:eastAsia="Noto Sans"/>
                <w:sz w:val="17"/>
              </w:rPr>
              <w:t>q, objectType, source, bbox, validAt, relation, page, pageSize</w:t>
            </w:r>
          </w:p>
        </w:tc>
        <w:tc>
          <w:tcPr>
            <w:tcW w:type="dxa" w:w="2835"/>
            <w:vAlign w:val="top"/>
            <w:shd w:fill="F4F6F7"/>
            <w:tcMar>
              <w:top w:w="70" w:type="dxa"/>
              <w:start w:w="90" w:type="dxa"/>
              <w:bottom w:w="70" w:type="dxa"/>
              <w:end w:w="90" w:type="dxa"/>
            </w:tcMar>
          </w:tcPr>
          <w:p>
            <w:r>
              <w:rPr>
                <w:rFonts w:ascii="Noto Sans" w:hAnsi="Noto Sans" w:eastAsia="Noto Sans"/>
                <w:sz w:val="17"/>
              </w:rPr>
              <w:t>UrbanObjectCollection</w:t>
            </w:r>
          </w:p>
        </w:tc>
        <w:tc>
          <w:tcPr>
            <w:tcW w:type="dxa" w:w="3118"/>
            <w:vAlign w:val="top"/>
            <w:shd w:fill="F4F6F7"/>
            <w:tcMar>
              <w:top w:w="70" w:type="dxa"/>
              <w:start w:w="90" w:type="dxa"/>
              <w:bottom w:w="70" w:type="dxa"/>
              <w:end w:w="90" w:type="dxa"/>
            </w:tcMar>
          </w:tcPr>
          <w:p>
            <w:r>
              <w:rPr>
                <w:rFonts w:ascii="Noto Sans" w:hAnsi="Noto Sans" w:eastAsia="Noto Sans"/>
                <w:sz w:val="17"/>
              </w:rPr>
              <w:t>Ricerca trasversale sul patrimonio riconciliato.</w:t>
            </w:r>
          </w:p>
        </w:tc>
      </w:tr>
    </w:tbl>
    <w:p>
      <w:pPr>
        <w:spacing w:after="40"/>
      </w:pPr>
    </w:p>
    <w:p>
      <w:pPr>
        <w:pStyle w:val="BodyText"/>
        <w:widowControl/>
        <w:spacing w:after="80"/>
      </w:pPr>
      <w:r>
        <w:rPr>
          <w:rFonts w:ascii="Noto Sans" w:hAnsi="Noto Sans" w:eastAsia="Noto Sans"/>
        </w:rPr>
        <w:t>Esempio di ricerca da interfaccia utente:</w:t>
      </w:r>
    </w:p>
    <w:p>
      <w:pPr>
        <w:spacing w:before="40" w:after="80"/>
        <w:ind w:left="397" w:right="170"/>
        <w:shd w:fill="F3F6F8"/>
      </w:pPr>
      <w:r>
        <w:rPr>
          <w:rFonts w:ascii="Noto Sans" w:hAnsi="Noto Sans" w:eastAsia="Noto Sans"/>
          <w:sz w:val="16"/>
        </w:rPr>
        <w:t>GET /api/v1/activities?category=ristorazione&amp;bbox=13.74,45.62,13.82,45.67&amp;validAt=2026-08-24&amp;page=1&amp;pageSize=50</w:t>
      </w:r>
    </w:p>
    <w:p>
      <w:pPr>
        <w:pStyle w:val="BodyText"/>
        <w:widowControl/>
        <w:spacing w:after="80"/>
      </w:pPr>
      <w:r>
        <w:rPr>
          <w:rFonts w:ascii="Noto Sans" w:hAnsi="Noto Sans" w:eastAsia="Noto Sans"/>
        </w:rPr>
        <w:t>La risposta non rivela il backend fisico né il verticale originario salvo i metadati di provenance previsti dal contratto dati.</w:t>
      </w:r>
    </w:p>
    <w:p>
      <w:pPr>
        <w:pStyle w:val="Heading2"/>
        <w:keepNext/>
        <w:spacing w:before="160"/>
      </w:pPr>
      <w:r>
        <w:rPr>
          <w:rFonts w:ascii="Noto Sans" w:hAnsi="Noto Sans" w:eastAsia="Noto Sans"/>
        </w:rPr>
        <w:t>A.4 Ricerca trasversale degli oggetti urbani</w:t>
      </w:r>
    </w:p>
    <w:p>
      <w:pPr>
        <w:pStyle w:val="BodyText"/>
        <w:widowControl/>
        <w:spacing w:after="80"/>
      </w:pPr>
      <w:r>
        <w:rPr>
          <w:rFonts w:ascii="Noto Sans" w:hAnsi="Noto Sans" w:eastAsia="Noto Sans"/>
        </w:rPr>
        <w:t>urban.objects.search è la capability generalista destinata a UI, Viewer, Analytics e futuro MCP. Deve operare sul modello canonico e sulle identità persistenti gestite dalla UDP, consentendo ricerche cross-domain senza richiedere al consumer di conoscere la struttura di SUAP, SUO, SUE o dei WebGIS.</w:t>
      </w:r>
    </w:p>
    <w:p>
      <w:pPr>
        <w:pStyle w:val="ListBullet"/>
        <w:spacing w:after="20"/>
      </w:pPr>
      <w:r>
        <w:rPr>
          <w:rFonts w:ascii="Noto Sans" w:hAnsi="Noto Sans" w:eastAsia="Noto Sans"/>
        </w:rPr>
        <w:t>Ricerca testuale su denominazioni e attributi indicizzati.</w:t>
      </w:r>
    </w:p>
    <w:p>
      <w:pPr>
        <w:pStyle w:val="ListBullet"/>
        <w:spacing w:after="20"/>
      </w:pPr>
      <w:r>
        <w:rPr>
          <w:rFonts w:ascii="Noto Sans" w:hAnsi="Noto Sans" w:eastAsia="Noto Sans"/>
        </w:rPr>
        <w:t>Filtro per tipo canonico di oggetto.</w:t>
      </w:r>
    </w:p>
    <w:p>
      <w:pPr>
        <w:pStyle w:val="ListBullet"/>
        <w:spacing w:after="20"/>
      </w:pPr>
      <w:r>
        <w:rPr>
          <w:rFonts w:ascii="Noto Sans" w:hAnsi="Noto Sans" w:eastAsia="Noto Sans"/>
        </w:rPr>
        <w:t>Filtro spaziale per BBOX o geometria.</w:t>
      </w:r>
    </w:p>
    <w:p>
      <w:pPr>
        <w:pStyle w:val="ListBullet"/>
        <w:spacing w:after="20"/>
      </w:pPr>
      <w:r>
        <w:rPr>
          <w:rFonts w:ascii="Noto Sans" w:hAnsi="Noto Sans" w:eastAsia="Noto Sans"/>
        </w:rPr>
        <w:t>Filtro temporale tramite validAt o intervallo di validità.</w:t>
      </w:r>
    </w:p>
    <w:p>
      <w:pPr>
        <w:pStyle w:val="ListBullet"/>
        <w:spacing w:after="20"/>
      </w:pPr>
      <w:r>
        <w:rPr>
          <w:rFonts w:ascii="Noto Sans" w:hAnsi="Noto Sans" w:eastAsia="Noto Sans"/>
        </w:rPr>
        <w:t>Filtro per sistema sorgente e dataset, quando utile alla provenance.</w:t>
      </w:r>
    </w:p>
    <w:p>
      <w:pPr>
        <w:pStyle w:val="ListBullet"/>
        <w:spacing w:after="20"/>
      </w:pPr>
      <w:r>
        <w:rPr>
          <w:rFonts w:ascii="Noto Sans" w:hAnsi="Noto Sans" w:eastAsia="Noto Sans"/>
        </w:rPr>
        <w:t>Navigazione delle relazioni canoniche tra oggetti, quando disponibili.</w:t>
      </w:r>
    </w:p>
    <w:p>
      <w:pPr>
        <w:pStyle w:val="ListBullet"/>
        <w:spacing w:after="20"/>
      </w:pPr>
      <w:r>
        <w:rPr>
          <w:rFonts w:ascii="Noto Sans" w:hAnsi="Noto Sans" w:eastAsia="Noto Sans"/>
        </w:rPr>
        <w:t>Paging e ordinamento deterministico.</w:t>
      </w:r>
    </w:p>
    <w:p>
      <w:pPr>
        <w:pStyle w:val="Heading2"/>
        <w:keepNext/>
        <w:spacing w:before="160"/>
      </w:pPr>
      <w:r>
        <w:rPr>
          <w:rFonts w:ascii="Noto Sans" w:hAnsi="Noto Sans" w:eastAsia="Noto Sans"/>
        </w:rPr>
        <w:t>A.5 Capability geospaziali</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cantSplit/>
          <w:tblHeader w:val="true"/>
          <w:cantSplit/>
        </w:trPr>
        <w:tc>
          <w:tcPr>
            <w:tcW w:type="dxa" w:w="2551"/>
            <w:vAlign w:val="top"/>
            <w:shd w:fill="0B5675"/>
            <w:tcMar>
              <w:top w:w="70" w:type="dxa"/>
              <w:start w:w="90" w:type="dxa"/>
              <w:bottom w:w="70" w:type="dxa"/>
              <w:end w:w="90" w:type="dxa"/>
            </w:tcMar>
          </w:tcPr>
          <w:p>
            <w:r>
              <w:rPr>
                <w:rFonts w:ascii="Noto Sans" w:hAnsi="Noto Sans" w:eastAsia="Noto Sans"/>
                <w:sz w:val="17"/>
              </w:rPr>
              <w:t>Capability</w:t>
            </w:r>
          </w:p>
        </w:tc>
        <w:tc>
          <w:tcPr>
            <w:tcW w:type="dxa" w:w="2381"/>
            <w:vAlign w:val="top"/>
            <w:shd w:fill="0B5675"/>
            <w:tcMar>
              <w:top w:w="70" w:type="dxa"/>
              <w:start w:w="90" w:type="dxa"/>
              <w:bottom w:w="70" w:type="dxa"/>
              <w:end w:w="90" w:type="dxa"/>
            </w:tcMar>
          </w:tcPr>
          <w:p>
            <w:r>
              <w:rPr>
                <w:rFonts w:ascii="Noto Sans" w:hAnsi="Noto Sans" w:eastAsia="Noto Sans"/>
                <w:sz w:val="17"/>
              </w:rPr>
              <w:t>Binding preferito</w:t>
            </w:r>
          </w:p>
        </w:tc>
        <w:tc>
          <w:tcPr>
            <w:tcW w:type="dxa" w:w="5329"/>
            <w:vAlign w:val="top"/>
            <w:shd w:fill="0B5675"/>
            <w:tcMar>
              <w:top w:w="70" w:type="dxa"/>
              <w:start w:w="90" w:type="dxa"/>
              <w:bottom w:w="70" w:type="dxa"/>
              <w:end w:w="90" w:type="dxa"/>
            </w:tcMar>
          </w:tcPr>
          <w:p>
            <w:r>
              <w:rPr>
                <w:rFonts w:ascii="Noto Sans" w:hAnsi="Noto Sans" w:eastAsia="Noto Sans"/>
                <w:sz w:val="17"/>
              </w:rPr>
              <w:t>Funzione</w:t>
            </w:r>
          </w:p>
        </w:tc>
        <w:tc>
          <w:tcPr>
            <w:tcW w:type="dxa" w:w="680"/>
            <w:vAlign w:val="top"/>
            <w:shd w:fill="0B5675"/>
            <w:tcMar>
              <w:top w:w="70" w:type="dxa"/>
              <w:start w:w="90" w:type="dxa"/>
              <w:bottom w:w="70" w:type="dxa"/>
              <w:end w:w="90" w:type="dxa"/>
            </w:tcMar>
          </w:tcPr>
          <w:p>
            <w:r>
              <w:rPr>
                <w:rFonts w:ascii="Noto Sans" w:hAnsi="Noto Sans" w:eastAsia="Noto Sans"/>
                <w:sz w:val="17"/>
              </w:rPr>
              <w:t>MCP</w:t>
            </w:r>
          </w:p>
        </w:tc>
      </w:tr>
      <w:tr>
        <w:trPr>
          <w:cantSplit/>
        </w:trPr>
        <w:tc>
          <w:tcPr>
            <w:tcW w:type="dxa" w:w="2551"/>
            <w:vAlign w:val="top"/>
            <w:tcMar>
              <w:top w:w="70" w:type="dxa"/>
              <w:start w:w="90" w:type="dxa"/>
              <w:bottom w:w="70" w:type="dxa"/>
              <w:end w:w="90" w:type="dxa"/>
            </w:tcMar>
          </w:tcPr>
          <w:p>
            <w:r>
              <w:rPr>
                <w:rFonts w:ascii="Noto Sans" w:hAnsi="Noto Sans" w:eastAsia="Noto Sans"/>
                <w:sz w:val="17"/>
              </w:rPr>
              <w:t>urban.geo.features.query</w:t>
            </w:r>
          </w:p>
        </w:tc>
        <w:tc>
          <w:tcPr>
            <w:tcW w:type="dxa" w:w="2381"/>
            <w:vAlign w:val="top"/>
            <w:tcMar>
              <w:top w:w="70" w:type="dxa"/>
              <w:start w:w="90" w:type="dxa"/>
              <w:bottom w:w="70" w:type="dxa"/>
              <w:end w:w="90" w:type="dxa"/>
            </w:tcMar>
          </w:tcPr>
          <w:p>
            <w:r>
              <w:rPr>
                <w:rFonts w:ascii="Noto Sans" w:hAnsi="Noto Sans" w:eastAsia="Noto Sans"/>
                <w:sz w:val="17"/>
              </w:rPr>
              <w:t>REST/OGC API - Features</w:t>
            </w:r>
          </w:p>
        </w:tc>
        <w:tc>
          <w:tcPr>
            <w:tcW w:type="dxa" w:w="5329"/>
            <w:vAlign w:val="top"/>
            <w:tcMar>
              <w:top w:w="70" w:type="dxa"/>
              <w:start w:w="90" w:type="dxa"/>
              <w:bottom w:w="70" w:type="dxa"/>
              <w:end w:w="90" w:type="dxa"/>
            </w:tcMar>
          </w:tcPr>
          <w:p>
            <w:r>
              <w:rPr>
                <w:rFonts w:ascii="Noto Sans" w:hAnsi="Noto Sans" w:eastAsia="Noto Sans"/>
                <w:sz w:val="17"/>
              </w:rPr>
              <w:t>Interroga feature integrate per collection, BBOX, proprietà, CRS, paging.</w:t>
            </w:r>
          </w:p>
        </w:tc>
        <w:tc>
          <w:tcPr>
            <w:tcW w:type="dxa" w:w="680"/>
            <w:vAlign w:val="top"/>
            <w:tcMar>
              <w:top w:w="70" w:type="dxa"/>
              <w:start w:w="90" w:type="dxa"/>
              <w:bottom w:w="70" w:type="dxa"/>
              <w:end w:w="90" w:type="dxa"/>
            </w:tcMar>
          </w:tcPr>
          <w:p>
            <w:r>
              <w:rPr>
                <w:rFonts w:ascii="Noto Sans" w:hAnsi="Noto Sans" w:eastAsia="Noto Sans"/>
                <w:sz w:val="17"/>
              </w:rPr>
              <w:t>Sì</w:t>
            </w:r>
          </w:p>
        </w:tc>
      </w:tr>
      <w:tr>
        <w:trPr>
          <w:cantSplit/>
        </w:trPr>
        <w:tc>
          <w:tcPr>
            <w:tcW w:type="dxa" w:w="2551"/>
            <w:vAlign w:val="top"/>
            <w:shd w:fill="F4F6F7"/>
            <w:tcMar>
              <w:top w:w="70" w:type="dxa"/>
              <w:start w:w="90" w:type="dxa"/>
              <w:bottom w:w="70" w:type="dxa"/>
              <w:end w:w="90" w:type="dxa"/>
            </w:tcMar>
          </w:tcPr>
          <w:p>
            <w:r>
              <w:rPr>
                <w:rFonts w:ascii="Noto Sans" w:hAnsi="Noto Sans" w:eastAsia="Noto Sans"/>
                <w:sz w:val="17"/>
              </w:rPr>
              <w:t>urban.geo.layers.list</w:t>
            </w:r>
          </w:p>
        </w:tc>
        <w:tc>
          <w:tcPr>
            <w:tcW w:type="dxa" w:w="2381"/>
            <w:vAlign w:val="top"/>
            <w:shd w:fill="F4F6F7"/>
            <w:tcMar>
              <w:top w:w="70" w:type="dxa"/>
              <w:start w:w="90" w:type="dxa"/>
              <w:bottom w:w="70" w:type="dxa"/>
              <w:end w:w="90" w:type="dxa"/>
            </w:tcMar>
          </w:tcPr>
          <w:p>
            <w:r>
              <w:rPr>
                <w:rFonts w:ascii="Noto Sans" w:hAnsi="Noto Sans" w:eastAsia="Noto Sans"/>
                <w:sz w:val="17"/>
              </w:rPr>
              <w:t>REST</w:t>
            </w:r>
          </w:p>
        </w:tc>
        <w:tc>
          <w:tcPr>
            <w:tcW w:type="dxa" w:w="5329"/>
            <w:vAlign w:val="top"/>
            <w:shd w:fill="F4F6F7"/>
            <w:tcMar>
              <w:top w:w="70" w:type="dxa"/>
              <w:start w:w="90" w:type="dxa"/>
              <w:bottom w:w="70" w:type="dxa"/>
              <w:end w:w="90" w:type="dxa"/>
            </w:tcMar>
          </w:tcPr>
          <w:p>
            <w:r>
              <w:rPr>
                <w:rFonts w:ascii="Noto Sans" w:hAnsi="Noto Sans" w:eastAsia="Noto Sans"/>
                <w:sz w:val="17"/>
              </w:rPr>
              <w:t>Elenca collection/layer pubblicabili con CRS, extent, schema e stato.</w:t>
            </w:r>
          </w:p>
        </w:tc>
        <w:tc>
          <w:tcPr>
            <w:tcW w:type="dxa" w:w="680"/>
            <w:vAlign w:val="top"/>
            <w:shd w:fill="F4F6F7"/>
            <w:tcMar>
              <w:top w:w="70" w:type="dxa"/>
              <w:start w:w="90" w:type="dxa"/>
              <w:bottom w:w="70" w:type="dxa"/>
              <w:end w:w="90" w:type="dxa"/>
            </w:tcMar>
          </w:tcPr>
          <w:p>
            <w:r>
              <w:rPr>
                <w:rFonts w:ascii="Noto Sans" w:hAnsi="Noto Sans" w:eastAsia="Noto Sans"/>
                <w:sz w:val="17"/>
              </w:rPr>
              <w:t>Sì</w:t>
            </w:r>
          </w:p>
        </w:tc>
      </w:tr>
      <w:tr>
        <w:trPr>
          <w:cantSplit/>
        </w:trPr>
        <w:tc>
          <w:tcPr>
            <w:tcW w:type="dxa" w:w="2551"/>
            <w:vAlign w:val="top"/>
            <w:tcMar>
              <w:top w:w="70" w:type="dxa"/>
              <w:start w:w="90" w:type="dxa"/>
              <w:bottom w:w="70" w:type="dxa"/>
              <w:end w:w="90" w:type="dxa"/>
            </w:tcMar>
          </w:tcPr>
          <w:p>
            <w:r>
              <w:rPr>
                <w:rFonts w:ascii="Noto Sans" w:hAnsi="Noto Sans" w:eastAsia="Noto Sans"/>
                <w:sz w:val="17"/>
              </w:rPr>
              <w:t>urban.map.render</w:t>
            </w:r>
          </w:p>
        </w:tc>
        <w:tc>
          <w:tcPr>
            <w:tcW w:type="dxa" w:w="2381"/>
            <w:vAlign w:val="top"/>
            <w:tcMar>
              <w:top w:w="70" w:type="dxa"/>
              <w:start w:w="90" w:type="dxa"/>
              <w:bottom w:w="70" w:type="dxa"/>
              <w:end w:w="90" w:type="dxa"/>
            </w:tcMar>
          </w:tcPr>
          <w:p>
            <w:r>
              <w:rPr>
                <w:rFonts w:ascii="Noto Sans" w:hAnsi="Noto Sans" w:eastAsia="Noto Sans"/>
                <w:sz w:val="17"/>
              </w:rPr>
              <w:t>WMS proxy / map service</w:t>
            </w:r>
          </w:p>
        </w:tc>
        <w:tc>
          <w:tcPr>
            <w:tcW w:type="dxa" w:w="5329"/>
            <w:vAlign w:val="top"/>
            <w:tcMar>
              <w:top w:w="70" w:type="dxa"/>
              <w:start w:w="90" w:type="dxa"/>
              <w:bottom w:w="70" w:type="dxa"/>
              <w:end w:w="90" w:type="dxa"/>
            </w:tcMar>
          </w:tcPr>
          <w:p>
            <w:r>
              <w:rPr>
                <w:rFonts w:ascii="Noto Sans" w:hAnsi="Noto Sans" w:eastAsia="Noto Sans"/>
                <w:sz w:val="17"/>
              </w:rPr>
              <w:t>Restituisce una rappresentazione cartografica PNG/JPEG; non costituisce query dati strutturata.</w:t>
            </w:r>
          </w:p>
        </w:tc>
        <w:tc>
          <w:tcPr>
            <w:tcW w:type="dxa" w:w="680"/>
            <w:vAlign w:val="top"/>
            <w:tcMar>
              <w:top w:w="70" w:type="dxa"/>
              <w:start w:w="90" w:type="dxa"/>
              <w:bottom w:w="70" w:type="dxa"/>
              <w:end w:w="90" w:type="dxa"/>
            </w:tcMar>
          </w:tcPr>
          <w:p>
            <w:r>
              <w:rPr>
                <w:rFonts w:ascii="Noto Sans" w:hAnsi="Noto Sans" w:eastAsia="Noto Sans"/>
                <w:sz w:val="17"/>
              </w:rPr>
              <w:t>No</w:t>
            </w:r>
          </w:p>
        </w:tc>
      </w:tr>
    </w:tbl>
    <w:p>
      <w:pPr>
        <w:spacing w:after="40"/>
      </w:pPr>
    </w:p>
    <w:p>
      <w:pPr>
        <w:pStyle w:val="BodyText"/>
        <w:widowControl/>
        <w:spacing w:after="80"/>
      </w:pPr>
      <w:r>
        <w:rPr>
          <w:rFonts w:ascii="Noto Sans" w:hAnsi="Noto Sans" w:eastAsia="Noto Sans"/>
        </w:rPr>
        <w:t>Per nuove esposizioni OUF, OGC API - Features è il binding preferito per feature interrogabili. WFS rimane un protocollo di compatibilità e di acquisizione da sorgenti legacy; WMS resta un servizio di rendering cartografico.</w:t>
      </w:r>
    </w:p>
    <w:p>
      <w:pPr>
        <w:pStyle w:val="Heading2"/>
        <w:keepNext/>
        <w:spacing w:before="160"/>
      </w:pPr>
      <w:r>
        <w:rPr>
          <w:rFonts w:ascii="Noto Sans" w:hAnsi="Noto Sans" w:eastAsia="Noto Sans"/>
        </w:rPr>
        <w:t>A.6 Capability di catalogo e discovery</w:t>
      </w:r>
    </w:p>
    <w:p>
      <w:pPr>
        <w:pStyle w:val="BodyText"/>
        <w:widowControl/>
        <w:spacing w:after="80"/>
      </w:pPr>
      <w:r>
        <w:rPr>
          <w:rFonts w:ascii="Noto Sans" w:hAnsi="Noto Sans" w:eastAsia="Noto Sans"/>
        </w:rPr>
        <w:t>La UI e il futuro MCP devono poter scoprire cosa è disponibile senza conoscere a priori gli endpoint. Il Capability Registry e il Catalogo UDP espongono funzioni complementari: il primo descrive cosa si può fare, il secondo descrive quali dataset/Data Product sono disponibili.</w:t>
      </w:r>
    </w:p>
    <w:tbl>
      <w:tblPr>
        <w:tblStyle w:val="TableGrid"/>
        <w:tblW w:type="auto" w:w="0"/>
        <w:jc w:val="center"/>
        <w:tblLook w:firstColumn="1" w:firstRow="1" w:lastColumn="0" w:lastRow="0" w:noHBand="0" w:noVBand="1" w:val="04A0"/>
      </w:tblPr>
      <w:tblGrid>
        <w:gridCol w:w="3024"/>
        <w:gridCol w:w="3024"/>
        <w:gridCol w:w="3024"/>
      </w:tblGrid>
      <w:tr>
        <w:trPr>
          <w:tblHeader w:val="true"/>
          <w:cantSplit/>
          <w:tblHeader w:val="true"/>
          <w:cantSplit/>
        </w:trPr>
        <w:tc>
          <w:tcPr>
            <w:tcW w:type="dxa" w:w="2835"/>
            <w:vAlign w:val="top"/>
            <w:shd w:fill="0B5675"/>
            <w:tcMar>
              <w:top w:w="70" w:type="dxa"/>
              <w:start w:w="90" w:type="dxa"/>
              <w:bottom w:w="70" w:type="dxa"/>
              <w:end w:w="90" w:type="dxa"/>
            </w:tcMar>
          </w:tcPr>
          <w:p>
            <w:r>
              <w:rPr>
                <w:rFonts w:ascii="Noto Sans" w:hAnsi="Noto Sans" w:eastAsia="Noto Sans"/>
                <w:sz w:val="17"/>
              </w:rPr>
              <w:t>Capability</w:t>
            </w:r>
          </w:p>
        </w:tc>
        <w:tc>
          <w:tcPr>
            <w:tcW w:type="dxa" w:w="5102"/>
            <w:vAlign w:val="top"/>
            <w:shd w:fill="0B5675"/>
            <w:tcMar>
              <w:top w:w="70" w:type="dxa"/>
              <w:start w:w="90" w:type="dxa"/>
              <w:bottom w:w="70" w:type="dxa"/>
              <w:end w:w="90" w:type="dxa"/>
            </w:tcMar>
          </w:tcPr>
          <w:p>
            <w:r>
              <w:rPr>
                <w:rFonts w:ascii="Noto Sans" w:hAnsi="Noto Sans" w:eastAsia="Noto Sans"/>
                <w:sz w:val="17"/>
              </w:rPr>
              <w:t>Restituisce</w:t>
            </w:r>
          </w:p>
        </w:tc>
        <w:tc>
          <w:tcPr>
            <w:tcW w:type="dxa" w:w="3685"/>
            <w:vAlign w:val="top"/>
            <w:shd w:fill="0B5675"/>
            <w:tcMar>
              <w:top w:w="70" w:type="dxa"/>
              <w:start w:w="90" w:type="dxa"/>
              <w:bottom w:w="70" w:type="dxa"/>
              <w:end w:w="90" w:type="dxa"/>
            </w:tcMar>
          </w:tcPr>
          <w:p>
            <w:r>
              <w:rPr>
                <w:rFonts w:ascii="Noto Sans" w:hAnsi="Noto Sans" w:eastAsia="Noto Sans"/>
                <w:sz w:val="17"/>
              </w:rPr>
              <w:t>Uso tipico</w:t>
            </w:r>
          </w:p>
        </w:tc>
      </w:tr>
      <w:tr>
        <w:trPr>
          <w:cantSplit/>
        </w:trPr>
        <w:tc>
          <w:tcPr>
            <w:tcW w:type="dxa" w:w="2835"/>
            <w:vAlign w:val="top"/>
            <w:tcMar>
              <w:top w:w="70" w:type="dxa"/>
              <w:start w:w="90" w:type="dxa"/>
              <w:bottom w:w="70" w:type="dxa"/>
              <w:end w:w="90" w:type="dxa"/>
            </w:tcMar>
          </w:tcPr>
          <w:p>
            <w:r>
              <w:rPr>
                <w:rFonts w:ascii="Noto Sans" w:hAnsi="Noto Sans" w:eastAsia="Noto Sans"/>
                <w:sz w:val="17"/>
              </w:rPr>
              <w:t>urban.capabilities.list</w:t>
            </w:r>
          </w:p>
        </w:tc>
        <w:tc>
          <w:tcPr>
            <w:tcW w:type="dxa" w:w="5102"/>
            <w:vAlign w:val="top"/>
            <w:tcMar>
              <w:top w:w="70" w:type="dxa"/>
              <w:start w:w="90" w:type="dxa"/>
              <w:bottom w:w="70" w:type="dxa"/>
              <w:end w:w="90" w:type="dxa"/>
            </w:tcMar>
          </w:tcPr>
          <w:p>
            <w:r>
              <w:rPr>
                <w:rFonts w:ascii="Noto Sans" w:hAnsi="Noto Sans" w:eastAsia="Noto Sans"/>
                <w:sz w:val="17"/>
              </w:rPr>
              <w:t>capabilityId, versione, descrizione, input/output, stato, binding disponibili</w:t>
            </w:r>
          </w:p>
        </w:tc>
        <w:tc>
          <w:tcPr>
            <w:tcW w:type="dxa" w:w="3685"/>
            <w:vAlign w:val="top"/>
            <w:tcMar>
              <w:top w:w="70" w:type="dxa"/>
              <w:start w:w="90" w:type="dxa"/>
              <w:bottom w:w="70" w:type="dxa"/>
              <w:end w:w="90" w:type="dxa"/>
            </w:tcMar>
          </w:tcPr>
          <w:p>
            <w:r>
              <w:rPr>
                <w:rFonts w:ascii="Noto Sans" w:hAnsi="Noto Sans" w:eastAsia="Noto Sans"/>
                <w:sz w:val="17"/>
              </w:rPr>
              <w:t>Discovery applicativa e MCP tool discovery.</w:t>
            </w:r>
          </w:p>
        </w:tc>
      </w:tr>
      <w:tr>
        <w:trPr>
          <w:cantSplit/>
        </w:trPr>
        <w:tc>
          <w:tcPr>
            <w:tcW w:type="dxa" w:w="2835"/>
            <w:vAlign w:val="top"/>
            <w:shd w:fill="F4F6F7"/>
            <w:tcMar>
              <w:top w:w="70" w:type="dxa"/>
              <w:start w:w="90" w:type="dxa"/>
              <w:bottom w:w="70" w:type="dxa"/>
              <w:end w:w="90" w:type="dxa"/>
            </w:tcMar>
          </w:tcPr>
          <w:p>
            <w:r>
              <w:rPr>
                <w:rFonts w:ascii="Noto Sans" w:hAnsi="Noto Sans" w:eastAsia="Noto Sans"/>
                <w:sz w:val="17"/>
              </w:rPr>
              <w:t>urban.catalog.datasets.list</w:t>
            </w:r>
          </w:p>
        </w:tc>
        <w:tc>
          <w:tcPr>
            <w:tcW w:type="dxa" w:w="5102"/>
            <w:vAlign w:val="top"/>
            <w:shd w:fill="F4F6F7"/>
            <w:tcMar>
              <w:top w:w="70" w:type="dxa"/>
              <w:start w:w="90" w:type="dxa"/>
              <w:bottom w:w="70" w:type="dxa"/>
              <w:end w:w="90" w:type="dxa"/>
            </w:tcMar>
          </w:tcPr>
          <w:p>
            <w:r>
              <w:rPr>
                <w:rFonts w:ascii="Noto Sans" w:hAnsi="Noto Sans" w:eastAsia="Noto Sans"/>
                <w:sz w:val="17"/>
              </w:rPr>
              <w:t>dataset/Data Product, dominio, classificazione, temporalità, extent, schema</w:t>
            </w:r>
          </w:p>
        </w:tc>
        <w:tc>
          <w:tcPr>
            <w:tcW w:type="dxa" w:w="3685"/>
            <w:vAlign w:val="top"/>
            <w:shd w:fill="F4F6F7"/>
            <w:tcMar>
              <w:top w:w="70" w:type="dxa"/>
              <w:start w:w="90" w:type="dxa"/>
              <w:bottom w:w="70" w:type="dxa"/>
              <w:end w:w="90" w:type="dxa"/>
            </w:tcMar>
          </w:tcPr>
          <w:p>
            <w:r>
              <w:rPr>
                <w:rFonts w:ascii="Noto Sans" w:hAnsi="Noto Sans" w:eastAsia="Noto Sans"/>
                <w:sz w:val="17"/>
              </w:rPr>
              <w:t>Costruzione UI di catalogo e selezione dataset.</w:t>
            </w:r>
          </w:p>
        </w:tc>
      </w:tr>
      <w:tr>
        <w:trPr>
          <w:cantSplit/>
        </w:trPr>
        <w:tc>
          <w:tcPr>
            <w:tcW w:type="dxa" w:w="2835"/>
            <w:vAlign w:val="top"/>
            <w:tcMar>
              <w:top w:w="70" w:type="dxa"/>
              <w:start w:w="90" w:type="dxa"/>
              <w:bottom w:w="70" w:type="dxa"/>
              <w:end w:w="90" w:type="dxa"/>
            </w:tcMar>
          </w:tcPr>
          <w:p>
            <w:r>
              <w:rPr>
                <w:rFonts w:ascii="Noto Sans" w:hAnsi="Noto Sans" w:eastAsia="Noto Sans"/>
                <w:sz w:val="17"/>
              </w:rPr>
              <w:t>urban.catalog.datasets.get</w:t>
            </w:r>
          </w:p>
        </w:tc>
        <w:tc>
          <w:tcPr>
            <w:tcW w:type="dxa" w:w="5102"/>
            <w:vAlign w:val="top"/>
            <w:tcMar>
              <w:top w:w="70" w:type="dxa"/>
              <w:start w:w="90" w:type="dxa"/>
              <w:bottom w:w="70" w:type="dxa"/>
              <w:end w:w="90" w:type="dxa"/>
            </w:tcMar>
          </w:tcPr>
          <w:p>
            <w:r>
              <w:rPr>
                <w:rFonts w:ascii="Noto Sans" w:hAnsi="Noto Sans" w:eastAsia="Noto Sans"/>
                <w:sz w:val="17"/>
              </w:rPr>
              <w:t>metadata dettagliati, provenance, lineage, schema e versioni</w:t>
            </w:r>
          </w:p>
        </w:tc>
        <w:tc>
          <w:tcPr>
            <w:tcW w:type="dxa" w:w="3685"/>
            <w:vAlign w:val="top"/>
            <w:tcMar>
              <w:top w:w="70" w:type="dxa"/>
              <w:start w:w="90" w:type="dxa"/>
              <w:bottom w:w="70" w:type="dxa"/>
              <w:end w:w="90" w:type="dxa"/>
            </w:tcMar>
          </w:tcPr>
          <w:p>
            <w:r>
              <w:rPr>
                <w:rFonts w:ascii="Noto Sans" w:hAnsi="Noto Sans" w:eastAsia="Noto Sans"/>
                <w:sz w:val="17"/>
              </w:rPr>
              <w:t>Pagina di dettaglio e audit del dato.</w:t>
            </w:r>
          </w:p>
        </w:tc>
      </w:tr>
    </w:tbl>
    <w:p>
      <w:pPr>
        <w:spacing w:after="40"/>
      </w:pPr>
    </w:p>
    <w:p>
      <w:pPr>
        <w:pStyle w:val="Heading2"/>
        <w:keepNext/>
        <w:spacing w:before="160"/>
      </w:pPr>
      <w:r>
        <w:rPr>
          <w:rFonts w:ascii="Noto Sans" w:hAnsi="Noto Sans" w:eastAsia="Noto Sans"/>
        </w:rPr>
        <w:t>A.7 Capability interne di ingestion</w:t>
      </w:r>
    </w:p>
    <w:p>
      <w:pPr>
        <w:pStyle w:val="BodyText"/>
        <w:widowControl/>
        <w:spacing w:after="80"/>
      </w:pPr>
      <w:r>
        <w:rPr>
          <w:rFonts w:ascii="Noto Sans" w:hAnsi="Noto Sans" w:eastAsia="Noto Sans"/>
        </w:rPr>
        <w:t>Le capability seguenti sono registrate per governance e tracciabilità ma non sono normali funzioni della UI e non sono eleggibili MCP nel core iniziale.</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cantSplit/>
          <w:tblHeader w:val="true"/>
          <w:cantSplit/>
        </w:trPr>
        <w:tc>
          <w:tcPr>
            <w:tcW w:type="dxa" w:w="2891"/>
            <w:vAlign w:val="top"/>
            <w:shd w:fill="0B5675"/>
            <w:tcMar>
              <w:top w:w="70" w:type="dxa"/>
              <w:start w:w="90" w:type="dxa"/>
              <w:bottom w:w="70" w:type="dxa"/>
              <w:end w:w="90" w:type="dxa"/>
            </w:tcMar>
          </w:tcPr>
          <w:p>
            <w:r>
              <w:rPr>
                <w:rFonts w:ascii="Noto Sans" w:hAnsi="Noto Sans" w:eastAsia="Noto Sans"/>
                <w:sz w:val="17"/>
              </w:rPr>
              <w:t>Capability ID</w:t>
            </w:r>
          </w:p>
        </w:tc>
        <w:tc>
          <w:tcPr>
            <w:tcW w:type="dxa" w:w="1417"/>
            <w:vAlign w:val="top"/>
            <w:shd w:fill="0B5675"/>
            <w:tcMar>
              <w:top w:w="70" w:type="dxa"/>
              <w:start w:w="90" w:type="dxa"/>
              <w:bottom w:w="70" w:type="dxa"/>
              <w:end w:w="90" w:type="dxa"/>
            </w:tcMar>
          </w:tcPr>
          <w:p>
            <w:r>
              <w:rPr>
                <w:rFonts w:ascii="Noto Sans" w:hAnsi="Noto Sans" w:eastAsia="Noto Sans"/>
                <w:sz w:val="17"/>
              </w:rPr>
              <w:t>Sorgente</w:t>
            </w:r>
          </w:p>
        </w:tc>
        <w:tc>
          <w:tcPr>
            <w:tcW w:type="dxa" w:w="3969"/>
            <w:vAlign w:val="top"/>
            <w:shd w:fill="0B5675"/>
            <w:tcMar>
              <w:top w:w="70" w:type="dxa"/>
              <w:start w:w="90" w:type="dxa"/>
              <w:bottom w:w="70" w:type="dxa"/>
              <w:end w:w="90" w:type="dxa"/>
            </w:tcMar>
          </w:tcPr>
          <w:p>
            <w:r>
              <w:rPr>
                <w:rFonts w:ascii="Noto Sans" w:hAnsi="Noto Sans" w:eastAsia="Noto Sans"/>
                <w:sz w:val="17"/>
              </w:rPr>
              <w:t>Binding</w:t>
            </w:r>
          </w:p>
        </w:tc>
        <w:tc>
          <w:tcPr>
            <w:tcW w:type="dxa" w:w="2268"/>
            <w:vAlign w:val="top"/>
            <w:shd w:fill="0B5675"/>
            <w:tcMar>
              <w:top w:w="70" w:type="dxa"/>
              <w:start w:w="90" w:type="dxa"/>
              <w:bottom w:w="70" w:type="dxa"/>
              <w:end w:w="90" w:type="dxa"/>
            </w:tcMar>
          </w:tcPr>
          <w:p>
            <w:r>
              <w:rPr>
                <w:rFonts w:ascii="Noto Sans" w:hAnsi="Noto Sans" w:eastAsia="Noto Sans"/>
                <w:sz w:val="17"/>
              </w:rPr>
              <w:t>Provider</w:t>
            </w:r>
          </w:p>
        </w:tc>
        <w:tc>
          <w:tcPr>
            <w:tcW w:type="dxa" w:w="680"/>
            <w:vAlign w:val="top"/>
            <w:shd w:fill="0B5675"/>
            <w:tcMar>
              <w:top w:w="70" w:type="dxa"/>
              <w:start w:w="90" w:type="dxa"/>
              <w:bottom w:w="70" w:type="dxa"/>
              <w:end w:w="90" w:type="dxa"/>
            </w:tcMar>
          </w:tcPr>
          <w:p>
            <w:r>
              <w:rPr>
                <w:rFonts w:ascii="Noto Sans" w:hAnsi="Noto Sans" w:eastAsia="Noto Sans"/>
                <w:sz w:val="17"/>
              </w:rPr>
              <w:t>MCP</w:t>
            </w:r>
          </w:p>
        </w:tc>
      </w:tr>
      <w:tr>
        <w:trPr>
          <w:cantSplit/>
        </w:trPr>
        <w:tc>
          <w:tcPr>
            <w:tcW w:type="dxa" w:w="2891"/>
            <w:vAlign w:val="top"/>
            <w:tcMar>
              <w:top w:w="70" w:type="dxa"/>
              <w:start w:w="90" w:type="dxa"/>
              <w:bottom w:w="70" w:type="dxa"/>
              <w:end w:w="90" w:type="dxa"/>
            </w:tcMar>
          </w:tcPr>
          <w:p>
            <w:r>
              <w:rPr>
                <w:rFonts w:ascii="Noto Sans" w:hAnsi="Noto Sans" w:eastAsia="Noto Sans"/>
                <w:sz w:val="17"/>
              </w:rPr>
              <w:t>source.suap.activities.ingest</w:t>
            </w:r>
          </w:p>
        </w:tc>
        <w:tc>
          <w:tcPr>
            <w:tcW w:type="dxa" w:w="1417"/>
            <w:vAlign w:val="top"/>
            <w:tcMar>
              <w:top w:w="70" w:type="dxa"/>
              <w:start w:w="90" w:type="dxa"/>
              <w:bottom w:w="70" w:type="dxa"/>
              <w:end w:w="90" w:type="dxa"/>
            </w:tcMar>
          </w:tcPr>
          <w:p>
            <w:r>
              <w:rPr>
                <w:rFonts w:ascii="Noto Sans" w:hAnsi="Noto Sans" w:eastAsia="Noto Sans"/>
                <w:sz w:val="17"/>
              </w:rPr>
              <w:t>SUAP</w:t>
            </w:r>
          </w:p>
        </w:tc>
        <w:tc>
          <w:tcPr>
            <w:tcW w:type="dxa" w:w="3969"/>
            <w:vAlign w:val="top"/>
            <w:tcMar>
              <w:top w:w="70" w:type="dxa"/>
              <w:start w:w="90" w:type="dxa"/>
              <w:bottom w:w="70" w:type="dxa"/>
              <w:end w:w="90" w:type="dxa"/>
            </w:tcMar>
          </w:tcPr>
          <w:p>
            <w:r>
              <w:rPr>
                <w:rFonts w:ascii="Noto Sans" w:hAnsi="Noto Sans" w:eastAsia="Noto Sans"/>
                <w:sz w:val="17"/>
              </w:rPr>
              <w:t>POST /api/v1/ingestion/suap/economic-activities</w:t>
            </w:r>
          </w:p>
        </w:tc>
        <w:tc>
          <w:tcPr>
            <w:tcW w:type="dxa" w:w="2268"/>
            <w:vAlign w:val="top"/>
            <w:tcMar>
              <w:top w:w="70" w:type="dxa"/>
              <w:start w:w="90" w:type="dxa"/>
              <w:bottom w:w="70" w:type="dxa"/>
              <w:end w:w="90" w:type="dxa"/>
            </w:tcMar>
          </w:tcPr>
          <w:p>
            <w:r>
              <w:rPr>
                <w:rFonts w:ascii="Noto Sans" w:hAnsi="Noto Sans" w:eastAsia="Noto Sans"/>
                <w:sz w:val="17"/>
              </w:rPr>
              <w:t>Connector Framework</w:t>
            </w:r>
          </w:p>
        </w:tc>
        <w:tc>
          <w:tcPr>
            <w:tcW w:type="dxa" w:w="680"/>
            <w:vAlign w:val="top"/>
            <w:tcMar>
              <w:top w:w="70" w:type="dxa"/>
              <w:start w:w="90" w:type="dxa"/>
              <w:bottom w:w="70" w:type="dxa"/>
              <w:end w:w="90" w:type="dxa"/>
            </w:tcMar>
          </w:tcPr>
          <w:p>
            <w:r>
              <w:rPr>
                <w:rFonts w:ascii="Noto Sans" w:hAnsi="Noto Sans" w:eastAsia="Noto Sans"/>
                <w:sz w:val="17"/>
              </w:rPr>
              <w:t>No</w:t>
            </w:r>
          </w:p>
        </w:tc>
      </w:tr>
      <w:tr>
        <w:trPr>
          <w:cantSplit/>
        </w:trPr>
        <w:tc>
          <w:tcPr>
            <w:tcW w:type="dxa" w:w="2891"/>
            <w:vAlign w:val="top"/>
            <w:shd w:fill="F4F6F7"/>
            <w:tcMar>
              <w:top w:w="70" w:type="dxa"/>
              <w:start w:w="90" w:type="dxa"/>
              <w:bottom w:w="70" w:type="dxa"/>
              <w:end w:w="90" w:type="dxa"/>
            </w:tcMar>
          </w:tcPr>
          <w:p>
            <w:r>
              <w:rPr>
                <w:rFonts w:ascii="Noto Sans" w:hAnsi="Noto Sans" w:eastAsia="Noto Sans"/>
                <w:sz w:val="17"/>
              </w:rPr>
              <w:t>source.suo.occupations.ingest</w:t>
            </w:r>
          </w:p>
        </w:tc>
        <w:tc>
          <w:tcPr>
            <w:tcW w:type="dxa" w:w="1417"/>
            <w:vAlign w:val="top"/>
            <w:shd w:fill="F4F6F7"/>
            <w:tcMar>
              <w:top w:w="70" w:type="dxa"/>
              <w:start w:w="90" w:type="dxa"/>
              <w:bottom w:w="70" w:type="dxa"/>
              <w:end w:w="90" w:type="dxa"/>
            </w:tcMar>
          </w:tcPr>
          <w:p>
            <w:r>
              <w:rPr>
                <w:rFonts w:ascii="Noto Sans" w:hAnsi="Noto Sans" w:eastAsia="Noto Sans"/>
                <w:sz w:val="17"/>
              </w:rPr>
              <w:t>SUO</w:t>
            </w:r>
          </w:p>
        </w:tc>
        <w:tc>
          <w:tcPr>
            <w:tcW w:type="dxa" w:w="3969"/>
            <w:vAlign w:val="top"/>
            <w:shd w:fill="F4F6F7"/>
            <w:tcMar>
              <w:top w:w="70" w:type="dxa"/>
              <w:start w:w="90" w:type="dxa"/>
              <w:bottom w:w="70" w:type="dxa"/>
              <w:end w:w="90" w:type="dxa"/>
            </w:tcMar>
          </w:tcPr>
          <w:p>
            <w:r>
              <w:rPr>
                <w:rFonts w:ascii="Noto Sans" w:hAnsi="Noto Sans" w:eastAsia="Noto Sans"/>
                <w:sz w:val="17"/>
              </w:rPr>
              <w:t>POST /api/v1/ingestion/suo/occupations</w:t>
            </w:r>
          </w:p>
        </w:tc>
        <w:tc>
          <w:tcPr>
            <w:tcW w:type="dxa" w:w="2268"/>
            <w:vAlign w:val="top"/>
            <w:shd w:fill="F4F6F7"/>
            <w:tcMar>
              <w:top w:w="70" w:type="dxa"/>
              <w:start w:w="90" w:type="dxa"/>
              <w:bottom w:w="70" w:type="dxa"/>
              <w:end w:w="90" w:type="dxa"/>
            </w:tcMar>
          </w:tcPr>
          <w:p>
            <w:r>
              <w:rPr>
                <w:rFonts w:ascii="Noto Sans" w:hAnsi="Noto Sans" w:eastAsia="Noto Sans"/>
                <w:sz w:val="17"/>
              </w:rPr>
              <w:t>Connector Framework</w:t>
            </w:r>
          </w:p>
        </w:tc>
        <w:tc>
          <w:tcPr>
            <w:tcW w:type="dxa" w:w="680"/>
            <w:vAlign w:val="top"/>
            <w:shd w:fill="F4F6F7"/>
            <w:tcMar>
              <w:top w:w="70" w:type="dxa"/>
              <w:start w:w="90" w:type="dxa"/>
              <w:bottom w:w="70" w:type="dxa"/>
              <w:end w:w="90" w:type="dxa"/>
            </w:tcMar>
          </w:tcPr>
          <w:p>
            <w:r>
              <w:rPr>
                <w:rFonts w:ascii="Noto Sans" w:hAnsi="Noto Sans" w:eastAsia="Noto Sans"/>
                <w:sz w:val="17"/>
              </w:rPr>
              <w:t>No</w:t>
            </w:r>
          </w:p>
        </w:tc>
      </w:tr>
      <w:tr>
        <w:trPr>
          <w:cantSplit/>
        </w:trPr>
        <w:tc>
          <w:tcPr>
            <w:tcW w:type="dxa" w:w="2891"/>
            <w:vAlign w:val="top"/>
            <w:tcMar>
              <w:top w:w="70" w:type="dxa"/>
              <w:start w:w="90" w:type="dxa"/>
              <w:bottom w:w="70" w:type="dxa"/>
              <w:end w:w="90" w:type="dxa"/>
            </w:tcMar>
          </w:tcPr>
          <w:p>
            <w:r>
              <w:rPr>
                <w:rFonts w:ascii="Noto Sans" w:hAnsi="Noto Sans" w:eastAsia="Noto Sans"/>
                <w:sz w:val="17"/>
              </w:rPr>
              <w:t>source.sue.building_interventions.ingest</w:t>
            </w:r>
          </w:p>
        </w:tc>
        <w:tc>
          <w:tcPr>
            <w:tcW w:type="dxa" w:w="1417"/>
            <w:vAlign w:val="top"/>
            <w:tcMar>
              <w:top w:w="70" w:type="dxa"/>
              <w:start w:w="90" w:type="dxa"/>
              <w:bottom w:w="70" w:type="dxa"/>
              <w:end w:w="90" w:type="dxa"/>
            </w:tcMar>
          </w:tcPr>
          <w:p>
            <w:r>
              <w:rPr>
                <w:rFonts w:ascii="Noto Sans" w:hAnsi="Noto Sans" w:eastAsia="Noto Sans"/>
                <w:sz w:val="17"/>
              </w:rPr>
              <w:t>SUE</w:t>
            </w:r>
          </w:p>
        </w:tc>
        <w:tc>
          <w:tcPr>
            <w:tcW w:type="dxa" w:w="3969"/>
            <w:vAlign w:val="top"/>
            <w:tcMar>
              <w:top w:w="70" w:type="dxa"/>
              <w:start w:w="90" w:type="dxa"/>
              <w:bottom w:w="70" w:type="dxa"/>
              <w:end w:w="90" w:type="dxa"/>
            </w:tcMar>
          </w:tcPr>
          <w:p>
            <w:r>
              <w:rPr>
                <w:rFonts w:ascii="Noto Sans" w:hAnsi="Noto Sans" w:eastAsia="Noto Sans"/>
                <w:sz w:val="17"/>
              </w:rPr>
              <w:t>POST /api/v1/ingestion/sue/building-interventions</w:t>
            </w:r>
          </w:p>
        </w:tc>
        <w:tc>
          <w:tcPr>
            <w:tcW w:type="dxa" w:w="2268"/>
            <w:vAlign w:val="top"/>
            <w:tcMar>
              <w:top w:w="70" w:type="dxa"/>
              <w:start w:w="90" w:type="dxa"/>
              <w:bottom w:w="70" w:type="dxa"/>
              <w:end w:w="90" w:type="dxa"/>
            </w:tcMar>
          </w:tcPr>
          <w:p>
            <w:r>
              <w:rPr>
                <w:rFonts w:ascii="Noto Sans" w:hAnsi="Noto Sans" w:eastAsia="Noto Sans"/>
                <w:sz w:val="17"/>
              </w:rPr>
              <w:t>Connector Framework</w:t>
            </w:r>
          </w:p>
        </w:tc>
        <w:tc>
          <w:tcPr>
            <w:tcW w:type="dxa" w:w="680"/>
            <w:vAlign w:val="top"/>
            <w:tcMar>
              <w:top w:w="70" w:type="dxa"/>
              <w:start w:w="90" w:type="dxa"/>
              <w:bottom w:w="70" w:type="dxa"/>
              <w:end w:w="90" w:type="dxa"/>
            </w:tcMar>
          </w:tcPr>
          <w:p>
            <w:r>
              <w:rPr>
                <w:rFonts w:ascii="Noto Sans" w:hAnsi="Noto Sans" w:eastAsia="Noto Sans"/>
                <w:sz w:val="17"/>
              </w:rPr>
              <w:t>No</w:t>
            </w:r>
          </w:p>
        </w:tc>
      </w:tr>
      <w:tr>
        <w:trPr>
          <w:cantSplit/>
        </w:trPr>
        <w:tc>
          <w:tcPr>
            <w:tcW w:type="dxa" w:w="2891"/>
            <w:vAlign w:val="top"/>
            <w:shd w:fill="F4F6F7"/>
            <w:tcMar>
              <w:top w:w="70" w:type="dxa"/>
              <w:start w:w="90" w:type="dxa"/>
              <w:bottom w:w="70" w:type="dxa"/>
              <w:end w:w="90" w:type="dxa"/>
            </w:tcMar>
          </w:tcPr>
          <w:p>
            <w:r>
              <w:rPr>
                <w:rFonts w:ascii="Noto Sans" w:hAnsi="Noto Sans" w:eastAsia="Noto Sans"/>
                <w:sz w:val="17"/>
              </w:rPr>
              <w:t>source.webgis.features.ingest</w:t>
            </w:r>
          </w:p>
        </w:tc>
        <w:tc>
          <w:tcPr>
            <w:tcW w:type="dxa" w:w="1417"/>
            <w:vAlign w:val="top"/>
            <w:shd w:fill="F4F6F7"/>
            <w:tcMar>
              <w:top w:w="70" w:type="dxa"/>
              <w:start w:w="90" w:type="dxa"/>
              <w:bottom w:w="70" w:type="dxa"/>
              <w:end w:w="90" w:type="dxa"/>
            </w:tcMar>
          </w:tcPr>
          <w:p>
            <w:r>
              <w:rPr>
                <w:rFonts w:ascii="Noto Sans" w:hAnsi="Noto Sans" w:eastAsia="Noto Sans"/>
                <w:sz w:val="17"/>
              </w:rPr>
              <w:t>WebGIS WFS</w:t>
            </w:r>
          </w:p>
        </w:tc>
        <w:tc>
          <w:tcPr>
            <w:tcW w:type="dxa" w:w="3969"/>
            <w:vAlign w:val="top"/>
            <w:shd w:fill="F4F6F7"/>
            <w:tcMar>
              <w:top w:w="70" w:type="dxa"/>
              <w:start w:w="90" w:type="dxa"/>
              <w:bottom w:w="70" w:type="dxa"/>
              <w:end w:w="90" w:type="dxa"/>
            </w:tcMar>
          </w:tcPr>
          <w:p>
            <w:r>
              <w:rPr>
                <w:rFonts w:ascii="Noto Sans" w:hAnsi="Noto Sans" w:eastAsia="Noto Sans"/>
                <w:sz w:val="17"/>
              </w:rPr>
              <w:t>southbound WFS → Connector</w:t>
            </w:r>
          </w:p>
        </w:tc>
        <w:tc>
          <w:tcPr>
            <w:tcW w:type="dxa" w:w="2268"/>
            <w:vAlign w:val="top"/>
            <w:shd w:fill="F4F6F7"/>
            <w:tcMar>
              <w:top w:w="70" w:type="dxa"/>
              <w:start w:w="90" w:type="dxa"/>
              <w:bottom w:w="70" w:type="dxa"/>
              <w:end w:w="90" w:type="dxa"/>
            </w:tcMar>
          </w:tcPr>
          <w:p>
            <w:r>
              <w:rPr>
                <w:rFonts w:ascii="Noto Sans" w:hAnsi="Noto Sans" w:eastAsia="Noto Sans"/>
                <w:sz w:val="17"/>
              </w:rPr>
              <w:t>OGC Connector</w:t>
            </w:r>
          </w:p>
        </w:tc>
        <w:tc>
          <w:tcPr>
            <w:tcW w:type="dxa" w:w="680"/>
            <w:vAlign w:val="top"/>
            <w:shd w:fill="F4F6F7"/>
            <w:tcMar>
              <w:top w:w="70" w:type="dxa"/>
              <w:start w:w="90" w:type="dxa"/>
              <w:bottom w:w="70" w:type="dxa"/>
              <w:end w:w="90" w:type="dxa"/>
            </w:tcMar>
          </w:tcPr>
          <w:p>
            <w:r>
              <w:rPr>
                <w:rFonts w:ascii="Noto Sans" w:hAnsi="Noto Sans" w:eastAsia="Noto Sans"/>
                <w:sz w:val="17"/>
              </w:rPr>
              <w:t>No</w:t>
            </w:r>
          </w:p>
        </w:tc>
      </w:tr>
    </w:tbl>
    <w:p>
      <w:pPr>
        <w:spacing w:after="40"/>
      </w:pPr>
    </w:p>
    <w:p>
      <w:pPr>
        <w:pStyle w:val="Heading2"/>
        <w:keepNext/>
        <w:spacing w:before="160"/>
      </w:pPr>
      <w:r>
        <w:rPr>
          <w:rFonts w:ascii="Noto Sans" w:hAnsi="Noto Sans" w:eastAsia="Noto Sans"/>
        </w:rPr>
        <w:t>A.8 Contratto minimo di una capability SEARCH</w:t>
      </w:r>
    </w:p>
    <w:p>
      <w:pPr>
        <w:spacing w:before="40" w:after="80"/>
        <w:ind w:left="397" w:right="170"/>
        <w:shd w:fill="F3F6F8"/>
      </w:pPr>
      <w:r>
        <w:rPr>
          <w:rFonts w:ascii="Noto Sans" w:hAnsi="Noto Sans" w:eastAsia="Noto Sans"/>
          <w:sz w:val="16"/>
        </w:rPr>
        <w:t>capabilityId: urban.activities.search</w:t>
        <w:br/>
        <w:t>version: 1.0.0</w:t>
        <w:br/>
        <w:t>type: SEARCH</w:t>
        <w:br/>
        <w:t>provider: udp-data-service</w:t>
        <w:br/>
        <w:t>inputSchema: UrbanActivitySearchRequest</w:t>
        <w:br/>
        <w:t>outputSchema: UrbanEconomicActivityCollection</w:t>
        <w:br/>
        <w:t>classification: [OPEN, ANONYMOUS]</w:t>
        <w:br/>
        <w:t>authorization:</w:t>
        <w:br/>
        <w:t xml:space="preserve">  scope: ouf.read.activities</w:t>
        <w:br/>
        <w:t>bindings:</w:t>
        <w:br/>
        <w:t xml:space="preserve">  rest:</w:t>
        <w:br/>
        <w:t xml:space="preserve">    method: GET</w:t>
        <w:br/>
        <w:t xml:space="preserve">    path: /api/v1/activities</w:t>
        <w:br/>
        <w:t xml:space="preserve">  mcp:</w:t>
        <w:br/>
        <w:t xml:space="preserve">    toolEligible: true</w:t>
        <w:br/>
        <w:t xml:space="preserve">    toolName: search_urban_activities</w:t>
        <w:br/>
        <w:t>nonFunctional:</w:t>
        <w:br/>
        <w:t xml:space="preserve">  idempotent: true</w:t>
        <w:br/>
        <w:t xml:space="preserve">  timeout: 10s</w:t>
        <w:br/>
        <w:t xml:space="preserve">  maxPageSize: 500</w:t>
      </w:r>
    </w:p>
    <w:p>
      <w:pPr>
        <w:pStyle w:val="Heading2"/>
        <w:keepNext/>
        <w:spacing w:before="160"/>
      </w:pPr>
      <w:r>
        <w:rPr>
          <w:rFonts w:ascii="Noto Sans" w:hAnsi="Noto Sans" w:eastAsia="Noto Sans"/>
        </w:rPr>
        <w:t>A.9 Regole comuni per le capability di ricerca</w:t>
      </w:r>
    </w:p>
    <w:p>
      <w:pPr>
        <w:pStyle w:val="ListBullet"/>
        <w:spacing w:after="20"/>
      </w:pPr>
      <w:r>
        <w:rPr>
          <w:rFonts w:ascii="Noto Sans" w:hAnsi="Noto Sans" w:eastAsia="Noto Sans"/>
        </w:rPr>
        <w:t>GET viene utilizzato per query semplici e filtri rappresentabili in query string; POST /search può essere introdotto per query strutturate complesse mantenendo lo stesso capabilityId o una capability esplicitamente distinta.</w:t>
      </w:r>
    </w:p>
    <w:p>
      <w:pPr>
        <w:pStyle w:val="ListBullet"/>
        <w:spacing w:after="20"/>
      </w:pPr>
      <w:r>
        <w:rPr>
          <w:rFonts w:ascii="Noto Sans" w:hAnsi="Noto Sans" w:eastAsia="Noto Sans"/>
        </w:rPr>
        <w:t>Ogni collection deve supportare page/pageSize o un meccanismo equivalente di cursor pagination.</w:t>
      </w:r>
    </w:p>
    <w:p>
      <w:pPr>
        <w:pStyle w:val="ListBullet"/>
        <w:spacing w:after="20"/>
      </w:pPr>
      <w:r>
        <w:rPr>
          <w:rFonts w:ascii="Noto Sans" w:hAnsi="Noto Sans" w:eastAsia="Noto Sans"/>
        </w:rPr>
        <w:t>Le query geografiche devono dichiarare il CRS e restituire geometrie secondo il profilo canonico GeoJSON/JSON-FG.</w:t>
      </w:r>
    </w:p>
    <w:p>
      <w:pPr>
        <w:pStyle w:val="ListBullet"/>
        <w:spacing w:after="20"/>
      </w:pPr>
      <w:r>
        <w:rPr>
          <w:rFonts w:ascii="Noto Sans" w:hAnsi="Noto Sans" w:eastAsia="Noto Sans"/>
        </w:rPr>
        <w:t>I filtri devono riferirsi a proprietà canoniche, non ai nomi fisici delle colonne dei verticali.</w:t>
      </w:r>
    </w:p>
    <w:p>
      <w:pPr>
        <w:pStyle w:val="ListBullet"/>
        <w:spacing w:after="20"/>
      </w:pPr>
      <w:r>
        <w:rPr>
          <w:rFonts w:ascii="Noto Sans" w:hAnsi="Noto Sans" w:eastAsia="Noto Sans"/>
        </w:rPr>
        <w:t>Il Gateway valida limiti, scope e parametri superficiali; la semantica della query è responsabilità del backend provider.</w:t>
      </w:r>
    </w:p>
    <w:p>
      <w:pPr>
        <w:pStyle w:val="ListBullet"/>
        <w:spacing w:after="20"/>
      </w:pPr>
      <w:r>
        <w:rPr>
          <w:rFonts w:ascii="Noto Sans" w:hAnsi="Noto Sans" w:eastAsia="Noto Sans"/>
        </w:rPr>
        <w:t>Le risposte devono contenere correlationId e, quando utile, informazioni di provenance e versione dello schema.</w:t>
      </w:r>
    </w:p>
    <w:p>
      <w:pPr>
        <w:pStyle w:val="ListBullet"/>
        <w:spacing w:after="20"/>
      </w:pPr>
      <w:r>
        <w:rPr>
          <w:rFonts w:ascii="Noto Sans" w:hAnsi="Noto Sans" w:eastAsia="Noto Sans"/>
        </w:rPr>
        <w:t>La ricerca deve essere read-only e non produrre side effect.</w:t>
      </w:r>
    </w:p>
    <w:p>
      <w:pPr>
        <w:pStyle w:val="Heading2"/>
        <w:keepNext/>
        <w:spacing w:before="160"/>
      </w:pPr>
      <w:r>
        <w:rPr>
          <w:rFonts w:ascii="Noto Sans" w:hAnsi="Noto Sans" w:eastAsia="Noto Sans"/>
        </w:rPr>
        <w:t>A.10 Esempio di consumo dalla UI</w:t>
      </w:r>
    </w:p>
    <w:p>
      <w:pPr>
        <w:spacing w:before="40" w:after="80"/>
        <w:ind w:left="397" w:right="170"/>
        <w:shd w:fill="F3F6F8"/>
      </w:pPr>
      <w:r>
        <w:rPr>
          <w:rFonts w:ascii="Noto Sans" w:hAnsi="Noto Sans" w:eastAsia="Noto Sans"/>
          <w:sz w:val="16"/>
        </w:rPr>
        <w:t>Browser / Frontend</w:t>
        <w:br/>
        <w:t xml:space="preserve">   ↓ HTTPS</w:t>
        <w:br/>
        <w:t>Urban API Gateway</w:t>
        <w:br/>
        <w:t xml:space="preserve">   ↓ resolve capability urban.objects.search</w:t>
        <w:br/>
        <w:t>UDP Object Service</w:t>
        <w:br/>
        <w:t xml:space="preserve">   ↓</w:t>
        <w:br/>
        <w:t>Urban Data Platform / indici e servizi dati</w:t>
        <w:br/>
        <w:t xml:space="preserve">   ↓</w:t>
        <w:br/>
        <w:t>JSON / JSON-FG</w:t>
        <w:br/>
        <w:t xml:space="preserve">   ↑</w:t>
        <w:br/>
        <w:t>Frontend</w:t>
      </w:r>
    </w:p>
    <w:p>
      <w:pPr>
        <w:pStyle w:val="BodyText"/>
        <w:widowControl/>
        <w:spacing w:after="80"/>
      </w:pPr>
      <w:r>
        <w:rPr>
          <w:rFonts w:ascii="Noto Sans" w:hAnsi="Noto Sans" w:eastAsia="Noto Sans"/>
        </w:rPr>
        <w:t>Il frontend può quindi realizzare maschere di ricerca, filtri, mappe, pagine di dettaglio e cataloghi usando esclusivamente capability pubblicate. L’aggiunta futura del MCP riutilizza le stesse capability abilitate come tool, senza introdurre un percorso privilegiato verso i dati.</w:t>
      </w:r>
    </w:p>
    <w:p>
      <w:pPr>
        <w:pStyle w:val="Heading2"/>
        <w:keepNext/>
        <w:spacing w:before="160"/>
      </w:pPr>
      <w:r>
        <w:rPr>
          <w:rFonts w:ascii="Noto Sans" w:hAnsi="Noto Sans" w:eastAsia="Noto Sans"/>
        </w:rPr>
        <w:t>A.11 Capability candidate per evoluzioni successive</w:t>
      </w:r>
    </w:p>
    <w:tbl>
      <w:tblPr>
        <w:tblStyle w:val="TableGrid"/>
        <w:tblW w:type="auto" w:w="0"/>
        <w:jc w:val="center"/>
        <w:tblLook w:firstColumn="1" w:firstRow="1" w:lastColumn="0" w:lastRow="0" w:noHBand="0" w:noVBand="1" w:val="04A0"/>
      </w:tblPr>
      <w:tblGrid>
        <w:gridCol w:w="3024"/>
        <w:gridCol w:w="3024"/>
        <w:gridCol w:w="3024"/>
      </w:tblGrid>
      <w:tr>
        <w:trPr>
          <w:tblHeader w:val="true"/>
          <w:cantSplit/>
          <w:tblHeader w:val="true"/>
          <w:cantSplit/>
        </w:trPr>
        <w:tc>
          <w:tcPr>
            <w:tcW w:type="dxa" w:w="2835"/>
            <w:vAlign w:val="top"/>
            <w:shd w:fill="0B5675"/>
            <w:tcMar>
              <w:top w:w="70" w:type="dxa"/>
              <w:start w:w="90" w:type="dxa"/>
              <w:bottom w:w="70" w:type="dxa"/>
              <w:end w:w="90" w:type="dxa"/>
            </w:tcMar>
          </w:tcPr>
          <w:p>
            <w:r>
              <w:rPr>
                <w:rFonts w:ascii="Noto Sans" w:hAnsi="Noto Sans" w:eastAsia="Noto Sans"/>
                <w:sz w:val="17"/>
              </w:rPr>
              <w:t>Capability candidate</w:t>
            </w:r>
          </w:p>
        </w:tc>
        <w:tc>
          <w:tcPr>
            <w:tcW w:type="dxa" w:w="5669"/>
            <w:vAlign w:val="top"/>
            <w:shd w:fill="0B5675"/>
            <w:tcMar>
              <w:top w:w="70" w:type="dxa"/>
              <w:start w:w="90" w:type="dxa"/>
              <w:bottom w:w="70" w:type="dxa"/>
              <w:end w:w="90" w:type="dxa"/>
            </w:tcMar>
          </w:tcPr>
          <w:p>
            <w:r>
              <w:rPr>
                <w:rFonts w:ascii="Noto Sans" w:hAnsi="Noto Sans" w:eastAsia="Noto Sans"/>
                <w:sz w:val="17"/>
              </w:rPr>
              <w:t>Descrizione</w:t>
            </w:r>
          </w:p>
        </w:tc>
        <w:tc>
          <w:tcPr>
            <w:tcW w:type="dxa" w:w="2835"/>
            <w:vAlign w:val="top"/>
            <w:shd w:fill="0B5675"/>
            <w:tcMar>
              <w:top w:w="70" w:type="dxa"/>
              <w:start w:w="90" w:type="dxa"/>
              <w:bottom w:w="70" w:type="dxa"/>
              <w:end w:w="90" w:type="dxa"/>
            </w:tcMar>
          </w:tcPr>
          <w:p>
            <w:r>
              <w:rPr>
                <w:rFonts w:ascii="Noto Sans" w:hAnsi="Noto Sans" w:eastAsia="Noto Sans"/>
                <w:sz w:val="17"/>
              </w:rPr>
              <w:t>Stato iniziale</w:t>
            </w:r>
          </w:p>
        </w:tc>
      </w:tr>
      <w:tr>
        <w:trPr>
          <w:cantSplit/>
        </w:trPr>
        <w:tc>
          <w:tcPr>
            <w:tcW w:type="dxa" w:w="2835"/>
            <w:vAlign w:val="top"/>
            <w:tcMar>
              <w:top w:w="70" w:type="dxa"/>
              <w:start w:w="90" w:type="dxa"/>
              <w:bottom w:w="70" w:type="dxa"/>
              <w:end w:w="90" w:type="dxa"/>
            </w:tcMar>
          </w:tcPr>
          <w:p>
            <w:r>
              <w:rPr>
                <w:rFonts w:ascii="Noto Sans" w:hAnsi="Noto Sans" w:eastAsia="Noto Sans"/>
                <w:sz w:val="17"/>
              </w:rPr>
              <w:t>urban.objects.related</w:t>
            </w:r>
          </w:p>
        </w:tc>
        <w:tc>
          <w:tcPr>
            <w:tcW w:type="dxa" w:w="5669"/>
            <w:vAlign w:val="top"/>
            <w:tcMar>
              <w:top w:w="70" w:type="dxa"/>
              <w:start w:w="90" w:type="dxa"/>
              <w:bottom w:w="70" w:type="dxa"/>
              <w:end w:w="90" w:type="dxa"/>
            </w:tcMar>
          </w:tcPr>
          <w:p>
            <w:r>
              <w:rPr>
                <w:rFonts w:ascii="Noto Sans" w:hAnsi="Noto Sans" w:eastAsia="Noto Sans"/>
                <w:sz w:val="17"/>
              </w:rPr>
              <w:t>Navigazione esplicita del grafo delle relazioni tra oggetti urbani.</w:t>
            </w:r>
          </w:p>
        </w:tc>
        <w:tc>
          <w:tcPr>
            <w:tcW w:type="dxa" w:w="2835"/>
            <w:vAlign w:val="top"/>
            <w:tcMar>
              <w:top w:w="70" w:type="dxa"/>
              <w:start w:w="90" w:type="dxa"/>
              <w:bottom w:w="70" w:type="dxa"/>
              <w:end w:w="90" w:type="dxa"/>
            </w:tcMar>
          </w:tcPr>
          <w:p>
            <w:r>
              <w:rPr>
                <w:rFonts w:ascii="Noto Sans" w:hAnsi="Noto Sans" w:eastAsia="Noto Sans"/>
                <w:sz w:val="17"/>
              </w:rPr>
              <w:t>Da attivare con maturità UDP/grafo</w:t>
            </w:r>
          </w:p>
        </w:tc>
      </w:tr>
      <w:tr>
        <w:trPr>
          <w:cantSplit/>
        </w:trPr>
        <w:tc>
          <w:tcPr>
            <w:tcW w:type="dxa" w:w="2835"/>
            <w:vAlign w:val="top"/>
            <w:shd w:fill="F4F6F7"/>
            <w:tcMar>
              <w:top w:w="70" w:type="dxa"/>
              <w:start w:w="90" w:type="dxa"/>
              <w:bottom w:w="70" w:type="dxa"/>
              <w:end w:w="90" w:type="dxa"/>
            </w:tcMar>
          </w:tcPr>
          <w:p>
            <w:r>
              <w:rPr>
                <w:rFonts w:ascii="Noto Sans" w:hAnsi="Noto Sans" w:eastAsia="Noto Sans"/>
                <w:sz w:val="17"/>
              </w:rPr>
              <w:t>urban.analytics.execute</w:t>
            </w:r>
          </w:p>
        </w:tc>
        <w:tc>
          <w:tcPr>
            <w:tcW w:type="dxa" w:w="5669"/>
            <w:vAlign w:val="top"/>
            <w:shd w:fill="F4F6F7"/>
            <w:tcMar>
              <w:top w:w="70" w:type="dxa"/>
              <w:start w:w="90" w:type="dxa"/>
              <w:bottom w:w="70" w:type="dxa"/>
              <w:end w:w="90" w:type="dxa"/>
            </w:tcMar>
          </w:tcPr>
          <w:p>
            <w:r>
              <w:rPr>
                <w:rFonts w:ascii="Noto Sans" w:hAnsi="Noto Sans" w:eastAsia="Noto Sans"/>
                <w:sz w:val="17"/>
              </w:rPr>
              <w:t>Esecuzione di indicatori o analisi governate.</w:t>
            </w:r>
          </w:p>
        </w:tc>
        <w:tc>
          <w:tcPr>
            <w:tcW w:type="dxa" w:w="2835"/>
            <w:vAlign w:val="top"/>
            <w:shd w:fill="F4F6F7"/>
            <w:tcMar>
              <w:top w:w="70" w:type="dxa"/>
              <w:start w:w="90" w:type="dxa"/>
              <w:bottom w:w="70" w:type="dxa"/>
              <w:end w:w="90" w:type="dxa"/>
            </w:tcMar>
          </w:tcPr>
          <w:p>
            <w:r>
              <w:rPr>
                <w:rFonts w:ascii="Noto Sans" w:hAnsi="Noto Sans" w:eastAsia="Noto Sans"/>
                <w:sz w:val="17"/>
              </w:rPr>
              <w:t>Fuori core iniziale</w:t>
            </w:r>
          </w:p>
        </w:tc>
      </w:tr>
      <w:tr>
        <w:trPr>
          <w:cantSplit/>
        </w:trPr>
        <w:tc>
          <w:tcPr>
            <w:tcW w:type="dxa" w:w="2835"/>
            <w:vAlign w:val="top"/>
            <w:tcMar>
              <w:top w:w="70" w:type="dxa"/>
              <w:start w:w="90" w:type="dxa"/>
              <w:bottom w:w="70" w:type="dxa"/>
              <w:end w:w="90" w:type="dxa"/>
            </w:tcMar>
          </w:tcPr>
          <w:p>
            <w:r>
              <w:rPr>
                <w:rFonts w:ascii="Noto Sans" w:hAnsi="Noto Sans" w:eastAsia="Noto Sans"/>
                <w:sz w:val="17"/>
              </w:rPr>
              <w:t>urban.data.export</w:t>
            </w:r>
          </w:p>
        </w:tc>
        <w:tc>
          <w:tcPr>
            <w:tcW w:type="dxa" w:w="5669"/>
            <w:vAlign w:val="top"/>
            <w:tcMar>
              <w:top w:w="70" w:type="dxa"/>
              <w:start w:w="90" w:type="dxa"/>
              <w:bottom w:w="70" w:type="dxa"/>
              <w:end w:w="90" w:type="dxa"/>
            </w:tcMar>
          </w:tcPr>
          <w:p>
            <w:r>
              <w:rPr>
                <w:rFonts w:ascii="Noto Sans" w:hAnsi="Noto Sans" w:eastAsia="Noto Sans"/>
                <w:sz w:val="17"/>
              </w:rPr>
              <w:t>Esportazione bulk di Data Product in formati approvati.</w:t>
            </w:r>
          </w:p>
        </w:tc>
        <w:tc>
          <w:tcPr>
            <w:tcW w:type="dxa" w:w="2835"/>
            <w:vAlign w:val="top"/>
            <w:tcMar>
              <w:top w:w="70" w:type="dxa"/>
              <w:start w:w="90" w:type="dxa"/>
              <w:bottom w:w="70" w:type="dxa"/>
              <w:end w:w="90" w:type="dxa"/>
            </w:tcMar>
          </w:tcPr>
          <w:p>
            <w:r>
              <w:rPr>
                <w:rFonts w:ascii="Noto Sans" w:hAnsi="Noto Sans" w:eastAsia="Noto Sans"/>
                <w:sz w:val="17"/>
              </w:rPr>
              <w:t>Da definire</w:t>
            </w:r>
          </w:p>
        </w:tc>
      </w:tr>
      <w:tr>
        <w:trPr>
          <w:cantSplit/>
        </w:trPr>
        <w:tc>
          <w:tcPr>
            <w:tcW w:type="dxa" w:w="2835"/>
            <w:vAlign w:val="top"/>
            <w:shd w:fill="F4F6F7"/>
            <w:tcMar>
              <w:top w:w="70" w:type="dxa"/>
              <w:start w:w="90" w:type="dxa"/>
              <w:bottom w:w="70" w:type="dxa"/>
              <w:end w:w="90" w:type="dxa"/>
            </w:tcMar>
          </w:tcPr>
          <w:p>
            <w:r>
              <w:rPr>
                <w:rFonts w:ascii="Noto Sans" w:hAnsi="Noto Sans" w:eastAsia="Noto Sans"/>
                <w:sz w:val="17"/>
              </w:rPr>
              <w:t>urban.workflow.propose</w:t>
            </w:r>
          </w:p>
        </w:tc>
        <w:tc>
          <w:tcPr>
            <w:tcW w:type="dxa" w:w="5669"/>
            <w:vAlign w:val="top"/>
            <w:shd w:fill="F4F6F7"/>
            <w:tcMar>
              <w:top w:w="70" w:type="dxa"/>
              <w:start w:w="90" w:type="dxa"/>
              <w:bottom w:w="70" w:type="dxa"/>
              <w:end w:w="90" w:type="dxa"/>
            </w:tcMar>
          </w:tcPr>
          <w:p>
            <w:r>
              <w:rPr>
                <w:rFonts w:ascii="Noto Sans" w:hAnsi="Noto Sans" w:eastAsia="Noto Sans"/>
                <w:sz w:val="17"/>
              </w:rPr>
              <w:t>Proposta di modifica/azione da sottoporre a workflow.</w:t>
            </w:r>
          </w:p>
        </w:tc>
        <w:tc>
          <w:tcPr>
            <w:tcW w:type="dxa" w:w="2835"/>
            <w:vAlign w:val="top"/>
            <w:shd w:fill="F4F6F7"/>
            <w:tcMar>
              <w:top w:w="70" w:type="dxa"/>
              <w:start w:w="90" w:type="dxa"/>
              <w:bottom w:w="70" w:type="dxa"/>
              <w:end w:w="90" w:type="dxa"/>
            </w:tcMar>
          </w:tcPr>
          <w:p>
            <w:r>
              <w:rPr>
                <w:rFonts w:ascii="Noto Sans" w:hAnsi="Noto Sans" w:eastAsia="Noto Sans"/>
                <w:sz w:val="17"/>
              </w:rPr>
              <w:t>Fuori core iniziale</w:t>
            </w:r>
          </w:p>
        </w:tc>
      </w:tr>
      <w:tr>
        <w:trPr>
          <w:cantSplit/>
        </w:trPr>
        <w:tc>
          <w:tcPr>
            <w:tcW w:type="dxa" w:w="2835"/>
            <w:vAlign w:val="top"/>
            <w:tcMar>
              <w:top w:w="70" w:type="dxa"/>
              <w:start w:w="90" w:type="dxa"/>
              <w:bottom w:w="70" w:type="dxa"/>
              <w:end w:w="90" w:type="dxa"/>
            </w:tcMar>
          </w:tcPr>
          <w:p>
            <w:r>
              <w:rPr>
                <w:rFonts w:ascii="Noto Sans" w:hAnsi="Noto Sans" w:eastAsia="Noto Sans"/>
                <w:sz w:val="17"/>
              </w:rPr>
              <w:t>urban.command.execute</w:t>
            </w:r>
          </w:p>
        </w:tc>
        <w:tc>
          <w:tcPr>
            <w:tcW w:type="dxa" w:w="5669"/>
            <w:vAlign w:val="top"/>
            <w:tcMar>
              <w:top w:w="70" w:type="dxa"/>
              <w:start w:w="90" w:type="dxa"/>
              <w:bottom w:w="70" w:type="dxa"/>
              <w:end w:w="90" w:type="dxa"/>
            </w:tcMar>
          </w:tcPr>
          <w:p>
            <w:r>
              <w:rPr>
                <w:rFonts w:ascii="Noto Sans" w:hAnsi="Noto Sans" w:eastAsia="Noto Sans"/>
                <w:sz w:val="17"/>
              </w:rPr>
              <w:t>Esecuzione di aggiornamento verso sistemi autorevoli.</w:t>
            </w:r>
          </w:p>
        </w:tc>
        <w:tc>
          <w:tcPr>
            <w:tcW w:type="dxa" w:w="2835"/>
            <w:vAlign w:val="top"/>
            <w:tcMar>
              <w:top w:w="70" w:type="dxa"/>
              <w:start w:w="90" w:type="dxa"/>
              <w:bottom w:w="70" w:type="dxa"/>
              <w:end w:w="90" w:type="dxa"/>
            </w:tcMar>
          </w:tcPr>
          <w:p>
            <w:r>
              <w:rPr>
                <w:rFonts w:ascii="Noto Sans" w:hAnsi="Noto Sans" w:eastAsia="Noto Sans"/>
                <w:sz w:val="17"/>
              </w:rPr>
              <w:t>Non ammessa nel profilo iniziale</w:t>
            </w:r>
          </w:p>
        </w:tc>
      </w:tr>
    </w:tbl>
    <w:p>
      <w:pPr>
        <w:spacing w:after="40"/>
      </w:pPr>
    </w:p>
    <w:p>
      <w:pPr>
        <w:pStyle w:val="Heading2"/>
        <w:keepNext/>
        <w:spacing w:before="160"/>
      </w:pPr>
      <w:r>
        <w:rPr>
          <w:rFonts w:ascii="Noto Sans" w:hAnsi="Noto Sans" w:eastAsia="Noto Sans"/>
        </w:rPr>
        <w:t>A.12 Criteri di accettazione del Capability Catalog</w:t>
      </w:r>
    </w:p>
    <w:p>
      <w:pPr>
        <w:pStyle w:val="ListBullet"/>
        <w:spacing w:after="20"/>
      </w:pPr>
      <w:r>
        <w:rPr>
          <w:rFonts w:ascii="Noto Sans" w:hAnsi="Noto Sans" w:eastAsia="Noto Sans"/>
        </w:rPr>
        <w:t>Una UI può effettuare almeno una ricerca SUAP, una ricerca SUO, una ricerca SUE e una ricerca cross-domain attraverso il Gateway.</w:t>
      </w:r>
    </w:p>
    <w:p>
      <w:pPr>
        <w:pStyle w:val="ListBullet"/>
        <w:spacing w:after="20"/>
      </w:pPr>
      <w:r>
        <w:rPr>
          <w:rFonts w:ascii="Noto Sans" w:hAnsi="Noto Sans" w:eastAsia="Noto Sans"/>
        </w:rPr>
        <w:t>Tutte le capability consumer-facing sono risolvibili nel Capability Registry e mappate a un provider logico.</w:t>
      </w:r>
    </w:p>
    <w:p>
      <w:pPr>
        <w:pStyle w:val="ListBullet"/>
        <w:spacing w:after="20"/>
      </w:pPr>
      <w:r>
        <w:rPr>
          <w:rFonts w:ascii="Noto Sans" w:hAnsi="Noto Sans" w:eastAsia="Noto Sans"/>
        </w:rPr>
        <w:t>I path esterni possono cambiare versione senza cambiare il significato del capabilityId, salvo breaking change semantico.</w:t>
      </w:r>
    </w:p>
    <w:p>
      <w:pPr>
        <w:pStyle w:val="ListBullet"/>
        <w:spacing w:after="20"/>
      </w:pPr>
      <w:r>
        <w:rPr>
          <w:rFonts w:ascii="Noto Sans" w:hAnsi="Noto Sans" w:eastAsia="Noto Sans"/>
        </w:rPr>
        <w:t>Le capability MCP-eligible non introducono endpoint aggiuntivi verso la UDP.</w:t>
      </w:r>
    </w:p>
    <w:p>
      <w:pPr>
        <w:pStyle w:val="ListBullet"/>
        <w:spacing w:after="20"/>
      </w:pPr>
      <w:r>
        <w:rPr>
          <w:rFonts w:ascii="Noto Sans" w:hAnsi="Noto Sans" w:eastAsia="Noto Sans"/>
        </w:rPr>
        <w:t>La UI non necessita di conoscere sourceId, tabelle, database, feature type WFS o URL originari.</w:t>
      </w:r>
    </w:p>
    <w:p>
      <w:pPr>
        <w:pStyle w:val="ListBullet"/>
        <w:spacing w:after="20"/>
      </w:pPr>
      <w:r>
        <w:rPr>
          <w:rFonts w:ascii="Noto Sans" w:hAnsi="Noto Sans" w:eastAsia="Noto Sans"/>
        </w:rPr>
        <w:t>I dati OPEN/ANONYMOUS sono gli unici risultati ammessi nel profilo iniziale.</w:t>
      </w:r>
    </w:p>
    <w:p>
      <w:pPr>
        <w:pStyle w:val="ListBullet"/>
        <w:spacing w:after="20"/>
      </w:pPr>
      <w:r>
        <w:rPr>
          <w:rFonts w:ascii="Noto Sans" w:hAnsi="Noto Sans" w:eastAsia="Noto Sans"/>
        </w:rPr>
        <w:t>Le capability di ingestion non compaiono nel catalogo consumer-facing standard.</w:t>
      </w:r>
    </w:p>
    <w:p>
      <w:r>
        <w:rPr>
          <w:rFonts w:ascii="Noto Sans" w:hAnsi="Noto Sans" w:eastAsia="Noto Sans"/>
        </w:rPr>
        <w:br/>
      </w:r>
    </w:p>
    <w:p>
      <w:pPr>
        <w:pStyle w:val="Heading1"/>
        <w:keepNext/>
        <w:spacing w:before="160"/>
      </w:pPr>
      <w:r>
        <w:rPr>
          <w:rFonts w:ascii="Noto Sans" w:hAnsi="Noto Sans" w:eastAsia="Noto Sans"/>
        </w:rPr>
        <w:t>PARTE II - PROGETTO ESECUTIVO TECNOLOGICO</w:t>
      </w:r>
    </w:p>
    <w:p>
      <w:pPr>
        <w:pStyle w:val="BodyText"/>
        <w:widowControl/>
      </w:pPr>
      <w:r>
        <w:rPr>
          <w:rFonts w:ascii="Noto Sans" w:hAnsi="Noto Sans" w:eastAsia="Noto Sans"/>
        </w:rPr>
        <w:t>Questa parte traduce la baseline logico-funzionale in una configurazione tecnologica implementabile. Le versioni di prodotto indicate sono la baseline di collaudo alla data del documento; in esercizio si utilizzano patch supportate e compatibili, previa verifica di regressione e sicurezza.</w:t>
      </w:r>
    </w:p>
    <w:tbl>
      <w:tblPr>
        <w:tblStyle w:val="TableGrid"/>
        <w:tblW w:type="auto" w:w="0"/>
        <w:jc w:val="center"/>
        <w:tblLook w:firstColumn="1" w:firstRow="1" w:lastColumn="0" w:lastRow="0" w:noHBand="0" w:noVBand="1" w:val="04A0"/>
      </w:tblPr>
      <w:tblGrid>
        <w:gridCol w:w="9072"/>
      </w:tblGrid>
      <w:tr>
        <w:trPr>
          <w:tblHeader w:val="true"/>
          <w:cantSplit/>
        </w:trPr>
        <w:tc>
          <w:tcPr>
            <w:tcW w:type="dxa" w:w="9072"/>
            <w:shd w:fill="DDEBF3"/>
            <w:tcMar>
              <w:top w:w="70" w:type="dxa"/>
              <w:start w:w="90" w:type="dxa"/>
              <w:bottom w:w="70" w:type="dxa"/>
              <w:end w:w="90" w:type="dxa"/>
            </w:tcMar>
          </w:tcPr>
          <w:p>
            <w:r>
              <w:rPr>
                <w:rFonts w:ascii="Noto Sans" w:hAnsi="Noto Sans" w:eastAsia="Noto Sans"/>
                <w:sz w:val="17"/>
              </w:rPr>
              <w:t>Decisione tecnologica</w:t>
              <w:br/>
              <w:t>Stack di riferimento: Kubernetes 1.36.x; Apache APISIX 3.18.x; APISIX Ingress Controller 2.2.x; etcd 3.6.x; Keycloak 26.7.x come IAM di riferimento quando non sia riusato un IAM comunale; OpenBao 2.6.x per secret/PKI; cert-manager 1.21.x; Prometheus 3.14.x; Grafana OSS 13.1.x; Loki 3.7.x; OpenTelemetry Collector 0.159.x; Argo CD 3.5.x.</w:t>
            </w:r>
          </w:p>
        </w:tc>
      </w:tr>
    </w:tbl>
    <w:p>
      <w:pPr>
        <w:pStyle w:val="Heading1"/>
        <w:keepNext/>
        <w:spacing w:before="160"/>
      </w:pPr>
      <w:r>
        <w:rPr>
          <w:rFonts w:ascii="Noto Sans" w:hAnsi="Noto Sans" w:eastAsia="Noto Sans"/>
        </w:rPr>
        <w:t>T1. Stack tecnologico selezionato</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blHeader w:val="true"/>
          <w:cantSplit/>
        </w:trPr>
        <w:tc>
          <w:tcPr>
            <w:tcW w:type="dxa" w:w="2232"/>
            <w:shd w:fill="0B5A73"/>
            <w:vAlign w:val="center"/>
            <w:tcMar>
              <w:top w:w="70" w:type="dxa"/>
              <w:start w:w="90" w:type="dxa"/>
              <w:bottom w:w="70" w:type="dxa"/>
              <w:end w:w="90" w:type="dxa"/>
            </w:tcMar>
          </w:tcPr>
          <w:p>
            <w:r>
              <w:rPr>
                <w:rFonts w:ascii="Noto Sans" w:hAnsi="Noto Sans" w:eastAsia="Noto Sans"/>
                <w:sz w:val="17"/>
              </w:rPr>
              <w:t>Componente</w:t>
            </w:r>
          </w:p>
        </w:tc>
        <w:tc>
          <w:tcPr>
            <w:tcW w:type="dxa" w:w="1656"/>
            <w:shd w:fill="0B5A73"/>
            <w:vAlign w:val="center"/>
            <w:tcMar>
              <w:top w:w="70" w:type="dxa"/>
              <w:start w:w="90" w:type="dxa"/>
              <w:bottom w:w="70" w:type="dxa"/>
              <w:end w:w="90" w:type="dxa"/>
            </w:tcMar>
          </w:tcPr>
          <w:p>
            <w:r>
              <w:rPr>
                <w:rFonts w:ascii="Noto Sans" w:hAnsi="Noto Sans" w:eastAsia="Noto Sans"/>
                <w:sz w:val="17"/>
              </w:rPr>
              <w:t>Baseline v1.0</w:t>
            </w:r>
          </w:p>
        </w:tc>
        <w:tc>
          <w:tcPr>
            <w:tcW w:type="dxa" w:w="3024"/>
            <w:shd w:fill="0B5A73"/>
            <w:vAlign w:val="center"/>
            <w:tcMar>
              <w:top w:w="70" w:type="dxa"/>
              <w:start w:w="90" w:type="dxa"/>
              <w:bottom w:w="70" w:type="dxa"/>
              <w:end w:w="90" w:type="dxa"/>
            </w:tcMar>
          </w:tcPr>
          <w:p>
            <w:r>
              <w:rPr>
                <w:rFonts w:ascii="Noto Sans" w:hAnsi="Noto Sans" w:eastAsia="Noto Sans"/>
                <w:sz w:val="17"/>
              </w:rPr>
              <w:t>Ruolo</w:t>
            </w:r>
          </w:p>
        </w:tc>
        <w:tc>
          <w:tcPr>
            <w:tcW w:type="dxa" w:w="4320"/>
            <w:shd w:fill="0B5A73"/>
            <w:vAlign w:val="center"/>
            <w:tcMar>
              <w:top w:w="70" w:type="dxa"/>
              <w:start w:w="90" w:type="dxa"/>
              <w:bottom w:w="70" w:type="dxa"/>
              <w:end w:w="90" w:type="dxa"/>
            </w:tcMar>
          </w:tcPr>
          <w:p>
            <w:r>
              <w:rPr>
                <w:rFonts w:ascii="Noto Sans" w:hAnsi="Noto Sans" w:eastAsia="Noto Sans"/>
                <w:sz w:val="17"/>
              </w:rPr>
              <w:t>Decisione</w:t>
            </w:r>
          </w:p>
        </w:tc>
      </w:tr>
      <w:tr>
        <w:trPr>
          <w:cantSplit/>
        </w:trPr>
        <w:tc>
          <w:tcPr>
            <w:tcW w:type="dxa" w:w="2232"/>
            <w:tcMar>
              <w:top w:w="70" w:type="dxa"/>
              <w:start w:w="90" w:type="dxa"/>
              <w:bottom w:w="70" w:type="dxa"/>
              <w:end w:w="90" w:type="dxa"/>
            </w:tcMar>
            <w:vAlign w:val="top"/>
          </w:tcPr>
          <w:p>
            <w:r>
              <w:rPr>
                <w:rFonts w:ascii="Noto Sans" w:hAnsi="Noto Sans" w:eastAsia="Noto Sans"/>
                <w:sz w:val="17"/>
              </w:rPr>
              <w:t>Kubernetes</w:t>
            </w:r>
          </w:p>
        </w:tc>
        <w:tc>
          <w:tcPr>
            <w:tcW w:type="dxa" w:w="1656"/>
            <w:tcMar>
              <w:top w:w="70" w:type="dxa"/>
              <w:start w:w="90" w:type="dxa"/>
              <w:bottom w:w="70" w:type="dxa"/>
              <w:end w:w="90" w:type="dxa"/>
            </w:tcMar>
            <w:vAlign w:val="top"/>
          </w:tcPr>
          <w:p>
            <w:r>
              <w:rPr>
                <w:rFonts w:ascii="Noto Sans" w:hAnsi="Noto Sans" w:eastAsia="Noto Sans"/>
                <w:sz w:val="17"/>
              </w:rPr>
              <w:t>1.36.x</w:t>
            </w:r>
          </w:p>
        </w:tc>
        <w:tc>
          <w:tcPr>
            <w:tcW w:type="dxa" w:w="3024"/>
            <w:tcMar>
              <w:top w:w="70" w:type="dxa"/>
              <w:start w:w="90" w:type="dxa"/>
              <w:bottom w:w="70" w:type="dxa"/>
              <w:end w:w="90" w:type="dxa"/>
            </w:tcMar>
            <w:vAlign w:val="top"/>
          </w:tcPr>
          <w:p>
            <w:r>
              <w:rPr>
                <w:rFonts w:ascii="Noto Sans" w:hAnsi="Noto Sans" w:eastAsia="Noto Sans"/>
                <w:sz w:val="17"/>
              </w:rPr>
              <w:t>Runtime e orchestrazione</w:t>
            </w:r>
          </w:p>
        </w:tc>
        <w:tc>
          <w:tcPr>
            <w:tcW w:type="dxa" w:w="4320"/>
            <w:tcMar>
              <w:top w:w="70" w:type="dxa"/>
              <w:start w:w="90" w:type="dxa"/>
              <w:bottom w:w="70" w:type="dxa"/>
              <w:end w:w="90" w:type="dxa"/>
            </w:tcMar>
            <w:vAlign w:val="top"/>
          </w:tcPr>
          <w:p>
            <w:r>
              <w:rPr>
                <w:rFonts w:ascii="Noto Sans" w:hAnsi="Noto Sans" w:eastAsia="Noto Sans"/>
                <w:sz w:val="17"/>
              </w:rPr>
              <w:t>Cluster HA; API Gateway e componenti di supporto containerizzati.</w:t>
            </w:r>
          </w:p>
        </w:tc>
      </w:tr>
      <w:tr>
        <w:trPr>
          <w:cantSplit/>
        </w:trPr>
        <w:tc>
          <w:tcPr>
            <w:tcW w:type="dxa" w:w="2232"/>
            <w:tcMar>
              <w:top w:w="70" w:type="dxa"/>
              <w:start w:w="90" w:type="dxa"/>
              <w:bottom w:w="70" w:type="dxa"/>
              <w:end w:w="90" w:type="dxa"/>
            </w:tcMar>
            <w:vAlign w:val="top"/>
            <w:shd w:fill="F7F9FA"/>
          </w:tcPr>
          <w:p>
            <w:r>
              <w:rPr>
                <w:rFonts w:ascii="Noto Sans" w:hAnsi="Noto Sans" w:eastAsia="Noto Sans"/>
                <w:sz w:val="17"/>
              </w:rPr>
              <w:t>Apache APISIX</w:t>
            </w:r>
          </w:p>
        </w:tc>
        <w:tc>
          <w:tcPr>
            <w:tcW w:type="dxa" w:w="1656"/>
            <w:tcMar>
              <w:top w:w="70" w:type="dxa"/>
              <w:start w:w="90" w:type="dxa"/>
              <w:bottom w:w="70" w:type="dxa"/>
              <w:end w:w="90" w:type="dxa"/>
            </w:tcMar>
            <w:vAlign w:val="top"/>
            <w:shd w:fill="F7F9FA"/>
          </w:tcPr>
          <w:p>
            <w:r>
              <w:rPr>
                <w:rFonts w:ascii="Noto Sans" w:hAnsi="Noto Sans" w:eastAsia="Noto Sans"/>
                <w:sz w:val="17"/>
              </w:rPr>
              <w:t>3.18.x</w:t>
            </w:r>
          </w:p>
        </w:tc>
        <w:tc>
          <w:tcPr>
            <w:tcW w:type="dxa" w:w="3024"/>
            <w:tcMar>
              <w:top w:w="70" w:type="dxa"/>
              <w:start w:w="90" w:type="dxa"/>
              <w:bottom w:w="70" w:type="dxa"/>
              <w:end w:w="90" w:type="dxa"/>
            </w:tcMar>
            <w:vAlign w:val="top"/>
            <w:shd w:fill="F7F9FA"/>
          </w:tcPr>
          <w:p>
            <w:r>
              <w:rPr>
                <w:rFonts w:ascii="Noto Sans" w:hAnsi="Noto Sans" w:eastAsia="Noto Sans"/>
                <w:sz w:val="17"/>
              </w:rPr>
              <w:t>Data plane API Gateway</w:t>
            </w:r>
          </w:p>
        </w:tc>
        <w:tc>
          <w:tcPr>
            <w:tcW w:type="dxa" w:w="4320"/>
            <w:tcMar>
              <w:top w:w="70" w:type="dxa"/>
              <w:start w:w="90" w:type="dxa"/>
              <w:bottom w:w="70" w:type="dxa"/>
              <w:end w:w="90" w:type="dxa"/>
            </w:tcMar>
            <w:vAlign w:val="top"/>
            <w:shd w:fill="F7F9FA"/>
          </w:tcPr>
          <w:p>
            <w:r>
              <w:rPr>
                <w:rFonts w:ascii="Noto Sans" w:hAnsi="Noto Sans" w:eastAsia="Noto Sans"/>
                <w:sz w:val="17"/>
              </w:rPr>
              <w:t>Prodotto Gateway di riferimento per northbound e southbound.</w:t>
            </w:r>
          </w:p>
        </w:tc>
      </w:tr>
      <w:tr>
        <w:trPr>
          <w:cantSplit/>
        </w:trPr>
        <w:tc>
          <w:tcPr>
            <w:tcW w:type="dxa" w:w="2232"/>
            <w:tcMar>
              <w:top w:w="70" w:type="dxa"/>
              <w:start w:w="90" w:type="dxa"/>
              <w:bottom w:w="70" w:type="dxa"/>
              <w:end w:w="90" w:type="dxa"/>
            </w:tcMar>
            <w:vAlign w:val="top"/>
          </w:tcPr>
          <w:p>
            <w:r>
              <w:rPr>
                <w:rFonts w:ascii="Noto Sans" w:hAnsi="Noto Sans" w:eastAsia="Noto Sans"/>
                <w:sz w:val="17"/>
              </w:rPr>
              <w:t>APISIX Ingress Controller</w:t>
            </w:r>
          </w:p>
        </w:tc>
        <w:tc>
          <w:tcPr>
            <w:tcW w:type="dxa" w:w="1656"/>
            <w:tcMar>
              <w:top w:w="70" w:type="dxa"/>
              <w:start w:w="90" w:type="dxa"/>
              <w:bottom w:w="70" w:type="dxa"/>
              <w:end w:w="90" w:type="dxa"/>
            </w:tcMar>
            <w:vAlign w:val="top"/>
          </w:tcPr>
          <w:p>
            <w:r>
              <w:rPr>
                <w:rFonts w:ascii="Noto Sans" w:hAnsi="Noto Sans" w:eastAsia="Noto Sans"/>
                <w:sz w:val="17"/>
              </w:rPr>
              <w:t>2.2.x</w:t>
            </w:r>
          </w:p>
        </w:tc>
        <w:tc>
          <w:tcPr>
            <w:tcW w:type="dxa" w:w="3024"/>
            <w:tcMar>
              <w:top w:w="70" w:type="dxa"/>
              <w:start w:w="90" w:type="dxa"/>
              <w:bottom w:w="70" w:type="dxa"/>
              <w:end w:w="90" w:type="dxa"/>
            </w:tcMar>
            <w:vAlign w:val="top"/>
          </w:tcPr>
          <w:p>
            <w:r>
              <w:rPr>
                <w:rFonts w:ascii="Noto Sans" w:hAnsi="Noto Sans" w:eastAsia="Noto Sans"/>
                <w:sz w:val="17"/>
              </w:rPr>
              <w:t>Control plane Kubernetes</w:t>
            </w:r>
          </w:p>
        </w:tc>
        <w:tc>
          <w:tcPr>
            <w:tcW w:type="dxa" w:w="4320"/>
            <w:tcMar>
              <w:top w:w="70" w:type="dxa"/>
              <w:start w:w="90" w:type="dxa"/>
              <w:bottom w:w="70" w:type="dxa"/>
              <w:end w:w="90" w:type="dxa"/>
            </w:tcMar>
            <w:vAlign w:val="top"/>
          </w:tcPr>
          <w:p>
            <w:r>
              <w:rPr>
                <w:rFonts w:ascii="Noto Sans" w:hAnsi="Noto Sans" w:eastAsia="Noto Sans"/>
                <w:sz w:val="17"/>
              </w:rPr>
              <w:t>Traduce Gateway API/CRD in configurazione APISIX.</w:t>
            </w:r>
          </w:p>
        </w:tc>
      </w:tr>
      <w:tr>
        <w:trPr>
          <w:cantSplit/>
        </w:trPr>
        <w:tc>
          <w:tcPr>
            <w:tcW w:type="dxa" w:w="2232"/>
            <w:tcMar>
              <w:top w:w="70" w:type="dxa"/>
              <w:start w:w="90" w:type="dxa"/>
              <w:bottom w:w="70" w:type="dxa"/>
              <w:end w:w="90" w:type="dxa"/>
            </w:tcMar>
            <w:vAlign w:val="top"/>
            <w:shd w:fill="F7F9FA"/>
          </w:tcPr>
          <w:p>
            <w:r>
              <w:rPr>
                <w:rFonts w:ascii="Noto Sans" w:hAnsi="Noto Sans" w:eastAsia="Noto Sans"/>
                <w:sz w:val="17"/>
              </w:rPr>
              <w:t>etcd</w:t>
            </w:r>
          </w:p>
        </w:tc>
        <w:tc>
          <w:tcPr>
            <w:tcW w:type="dxa" w:w="1656"/>
            <w:tcMar>
              <w:top w:w="70" w:type="dxa"/>
              <w:start w:w="90" w:type="dxa"/>
              <w:bottom w:w="70" w:type="dxa"/>
              <w:end w:w="90" w:type="dxa"/>
            </w:tcMar>
            <w:vAlign w:val="top"/>
            <w:shd w:fill="F7F9FA"/>
          </w:tcPr>
          <w:p>
            <w:r>
              <w:rPr>
                <w:rFonts w:ascii="Noto Sans" w:hAnsi="Noto Sans" w:eastAsia="Noto Sans"/>
                <w:sz w:val="17"/>
              </w:rPr>
              <w:t>3.6.x</w:t>
            </w:r>
          </w:p>
        </w:tc>
        <w:tc>
          <w:tcPr>
            <w:tcW w:type="dxa" w:w="3024"/>
            <w:tcMar>
              <w:top w:w="70" w:type="dxa"/>
              <w:start w:w="90" w:type="dxa"/>
              <w:bottom w:w="70" w:type="dxa"/>
              <w:end w:w="90" w:type="dxa"/>
            </w:tcMar>
            <w:vAlign w:val="top"/>
            <w:shd w:fill="F7F9FA"/>
          </w:tcPr>
          <w:p>
            <w:r>
              <w:rPr>
                <w:rFonts w:ascii="Noto Sans" w:hAnsi="Noto Sans" w:eastAsia="Noto Sans"/>
                <w:sz w:val="17"/>
              </w:rPr>
              <w:t>Configuration store APISIX</w:t>
            </w:r>
          </w:p>
        </w:tc>
        <w:tc>
          <w:tcPr>
            <w:tcW w:type="dxa" w:w="4320"/>
            <w:tcMar>
              <w:top w:w="70" w:type="dxa"/>
              <w:start w:w="90" w:type="dxa"/>
              <w:bottom w:w="70" w:type="dxa"/>
              <w:end w:w="90" w:type="dxa"/>
            </w:tcMar>
            <w:vAlign w:val="top"/>
            <w:shd w:fill="F7F9FA"/>
          </w:tcPr>
          <w:p>
            <w:r>
              <w:rPr>
                <w:rFonts w:ascii="Noto Sans" w:hAnsi="Noto Sans" w:eastAsia="Noto Sans"/>
                <w:sz w:val="17"/>
              </w:rPr>
              <w:t>Cluster 3 nodi dedicato al control plane; TLS e autenticazione attivi.</w:t>
            </w:r>
          </w:p>
        </w:tc>
      </w:tr>
      <w:tr>
        <w:trPr>
          <w:cantSplit/>
        </w:trPr>
        <w:tc>
          <w:tcPr>
            <w:tcW w:type="dxa" w:w="2232"/>
            <w:tcMar>
              <w:top w:w="70" w:type="dxa"/>
              <w:start w:w="90" w:type="dxa"/>
              <w:bottom w:w="70" w:type="dxa"/>
              <w:end w:w="90" w:type="dxa"/>
            </w:tcMar>
            <w:vAlign w:val="top"/>
          </w:tcPr>
          <w:p>
            <w:r>
              <w:rPr>
                <w:rFonts w:ascii="Noto Sans" w:hAnsi="Noto Sans" w:eastAsia="Noto Sans"/>
                <w:sz w:val="17"/>
              </w:rPr>
              <w:t>Keycloak</w:t>
            </w:r>
          </w:p>
        </w:tc>
        <w:tc>
          <w:tcPr>
            <w:tcW w:type="dxa" w:w="1656"/>
            <w:tcMar>
              <w:top w:w="70" w:type="dxa"/>
              <w:start w:w="90" w:type="dxa"/>
              <w:bottom w:w="70" w:type="dxa"/>
              <w:end w:w="90" w:type="dxa"/>
            </w:tcMar>
            <w:vAlign w:val="top"/>
          </w:tcPr>
          <w:p>
            <w:r>
              <w:rPr>
                <w:rFonts w:ascii="Noto Sans" w:hAnsi="Noto Sans" w:eastAsia="Noto Sans"/>
                <w:sz w:val="17"/>
              </w:rPr>
              <w:t>26.7.x</w:t>
            </w:r>
          </w:p>
        </w:tc>
        <w:tc>
          <w:tcPr>
            <w:tcW w:type="dxa" w:w="3024"/>
            <w:tcMar>
              <w:top w:w="70" w:type="dxa"/>
              <w:start w:w="90" w:type="dxa"/>
              <w:bottom w:w="70" w:type="dxa"/>
              <w:end w:w="90" w:type="dxa"/>
            </w:tcMar>
            <w:vAlign w:val="top"/>
          </w:tcPr>
          <w:p>
            <w:r>
              <w:rPr>
                <w:rFonts w:ascii="Noto Sans" w:hAnsi="Noto Sans" w:eastAsia="Noto Sans"/>
                <w:sz w:val="17"/>
              </w:rPr>
              <w:t>IAM di riferimento</w:t>
            </w:r>
          </w:p>
        </w:tc>
        <w:tc>
          <w:tcPr>
            <w:tcW w:type="dxa" w:w="4320"/>
            <w:tcMar>
              <w:top w:w="70" w:type="dxa"/>
              <w:start w:w="90" w:type="dxa"/>
              <w:bottom w:w="70" w:type="dxa"/>
              <w:end w:w="90" w:type="dxa"/>
            </w:tcMar>
            <w:vAlign w:val="top"/>
          </w:tcPr>
          <w:p>
            <w:r>
              <w:rPr>
                <w:rFonts w:ascii="Noto Sans" w:hAnsi="Noto Sans" w:eastAsia="Noto Sans"/>
                <w:sz w:val="17"/>
              </w:rPr>
              <w:t>OIDC/OAuth2; sostituibile con IAM comunale compatibile.</w:t>
            </w:r>
          </w:p>
        </w:tc>
      </w:tr>
      <w:tr>
        <w:trPr>
          <w:cantSplit/>
        </w:trPr>
        <w:tc>
          <w:tcPr>
            <w:tcW w:type="dxa" w:w="2232"/>
            <w:tcMar>
              <w:top w:w="70" w:type="dxa"/>
              <w:start w:w="90" w:type="dxa"/>
              <w:bottom w:w="70" w:type="dxa"/>
              <w:end w:w="90" w:type="dxa"/>
            </w:tcMar>
            <w:vAlign w:val="top"/>
            <w:shd w:fill="F7F9FA"/>
          </w:tcPr>
          <w:p>
            <w:r>
              <w:rPr>
                <w:rFonts w:ascii="Noto Sans" w:hAnsi="Noto Sans" w:eastAsia="Noto Sans"/>
                <w:sz w:val="17"/>
              </w:rPr>
              <w:t>OpenBao</w:t>
            </w:r>
          </w:p>
        </w:tc>
        <w:tc>
          <w:tcPr>
            <w:tcW w:type="dxa" w:w="1656"/>
            <w:tcMar>
              <w:top w:w="70" w:type="dxa"/>
              <w:start w:w="90" w:type="dxa"/>
              <w:bottom w:w="70" w:type="dxa"/>
              <w:end w:w="90" w:type="dxa"/>
            </w:tcMar>
            <w:vAlign w:val="top"/>
            <w:shd w:fill="F7F9FA"/>
          </w:tcPr>
          <w:p>
            <w:r>
              <w:rPr>
                <w:rFonts w:ascii="Noto Sans" w:hAnsi="Noto Sans" w:eastAsia="Noto Sans"/>
                <w:sz w:val="17"/>
              </w:rPr>
              <w:t>2.6.x</w:t>
            </w:r>
          </w:p>
        </w:tc>
        <w:tc>
          <w:tcPr>
            <w:tcW w:type="dxa" w:w="3024"/>
            <w:tcMar>
              <w:top w:w="70" w:type="dxa"/>
              <w:start w:w="90" w:type="dxa"/>
              <w:bottom w:w="70" w:type="dxa"/>
              <w:end w:w="90" w:type="dxa"/>
            </w:tcMar>
            <w:vAlign w:val="top"/>
            <w:shd w:fill="F7F9FA"/>
          </w:tcPr>
          <w:p>
            <w:r>
              <w:rPr>
                <w:rFonts w:ascii="Noto Sans" w:hAnsi="Noto Sans" w:eastAsia="Noto Sans"/>
                <w:sz w:val="17"/>
              </w:rPr>
              <w:t>Secret management e PKI</w:t>
            </w:r>
          </w:p>
        </w:tc>
        <w:tc>
          <w:tcPr>
            <w:tcW w:type="dxa" w:w="4320"/>
            <w:tcMar>
              <w:top w:w="70" w:type="dxa"/>
              <w:start w:w="90" w:type="dxa"/>
              <w:bottom w:w="70" w:type="dxa"/>
              <w:end w:w="90" w:type="dxa"/>
            </w:tcMar>
            <w:vAlign w:val="top"/>
            <w:shd w:fill="F7F9FA"/>
          </w:tcPr>
          <w:p>
            <w:r>
              <w:rPr>
                <w:rFonts w:ascii="Noto Sans" w:hAnsi="Noto Sans" w:eastAsia="Noto Sans"/>
                <w:sz w:val="17"/>
              </w:rPr>
              <w:t>Secret dinamici/statici, credenziali tecniche e certificati.</w:t>
            </w:r>
          </w:p>
        </w:tc>
      </w:tr>
      <w:tr>
        <w:trPr>
          <w:cantSplit/>
        </w:trPr>
        <w:tc>
          <w:tcPr>
            <w:tcW w:type="dxa" w:w="2232"/>
            <w:tcMar>
              <w:top w:w="70" w:type="dxa"/>
              <w:start w:w="90" w:type="dxa"/>
              <w:bottom w:w="70" w:type="dxa"/>
              <w:end w:w="90" w:type="dxa"/>
            </w:tcMar>
            <w:vAlign w:val="top"/>
          </w:tcPr>
          <w:p>
            <w:r>
              <w:rPr>
                <w:rFonts w:ascii="Noto Sans" w:hAnsi="Noto Sans" w:eastAsia="Noto Sans"/>
                <w:sz w:val="17"/>
              </w:rPr>
              <w:t>cert-manager</w:t>
            </w:r>
          </w:p>
        </w:tc>
        <w:tc>
          <w:tcPr>
            <w:tcW w:type="dxa" w:w="1656"/>
            <w:tcMar>
              <w:top w:w="70" w:type="dxa"/>
              <w:start w:w="90" w:type="dxa"/>
              <w:bottom w:w="70" w:type="dxa"/>
              <w:end w:w="90" w:type="dxa"/>
            </w:tcMar>
            <w:vAlign w:val="top"/>
          </w:tcPr>
          <w:p>
            <w:r>
              <w:rPr>
                <w:rFonts w:ascii="Noto Sans" w:hAnsi="Noto Sans" w:eastAsia="Noto Sans"/>
                <w:sz w:val="17"/>
              </w:rPr>
              <w:t>1.21.x</w:t>
            </w:r>
          </w:p>
        </w:tc>
        <w:tc>
          <w:tcPr>
            <w:tcW w:type="dxa" w:w="3024"/>
            <w:tcMar>
              <w:top w:w="70" w:type="dxa"/>
              <w:start w:w="90" w:type="dxa"/>
              <w:bottom w:w="70" w:type="dxa"/>
              <w:end w:w="90" w:type="dxa"/>
            </w:tcMar>
            <w:vAlign w:val="top"/>
          </w:tcPr>
          <w:p>
            <w:r>
              <w:rPr>
                <w:rFonts w:ascii="Noto Sans" w:hAnsi="Noto Sans" w:eastAsia="Noto Sans"/>
                <w:sz w:val="17"/>
              </w:rPr>
              <w:t>Automazione certificati K8s</w:t>
            </w:r>
          </w:p>
        </w:tc>
        <w:tc>
          <w:tcPr>
            <w:tcW w:type="dxa" w:w="4320"/>
            <w:tcMar>
              <w:top w:w="70" w:type="dxa"/>
              <w:start w:w="90" w:type="dxa"/>
              <w:bottom w:w="70" w:type="dxa"/>
              <w:end w:w="90" w:type="dxa"/>
            </w:tcMar>
            <w:vAlign w:val="top"/>
          </w:tcPr>
          <w:p>
            <w:r>
              <w:rPr>
                <w:rFonts w:ascii="Noto Sans" w:hAnsi="Noto Sans" w:eastAsia="Noto Sans"/>
                <w:sz w:val="17"/>
              </w:rPr>
              <w:t>Emissione/rinnovo certificati tramite CA approvata/OpenBao PKI.</w:t>
            </w:r>
          </w:p>
        </w:tc>
      </w:tr>
      <w:tr>
        <w:trPr>
          <w:cantSplit/>
        </w:trPr>
        <w:tc>
          <w:tcPr>
            <w:tcW w:type="dxa" w:w="2232"/>
            <w:tcMar>
              <w:top w:w="70" w:type="dxa"/>
              <w:start w:w="90" w:type="dxa"/>
              <w:bottom w:w="70" w:type="dxa"/>
              <w:end w:w="90" w:type="dxa"/>
            </w:tcMar>
            <w:vAlign w:val="top"/>
            <w:shd w:fill="F7F9FA"/>
          </w:tcPr>
          <w:p>
            <w:r>
              <w:rPr>
                <w:rFonts w:ascii="Noto Sans" w:hAnsi="Noto Sans" w:eastAsia="Noto Sans"/>
                <w:sz w:val="17"/>
              </w:rPr>
              <w:t>Prometheus</w:t>
            </w:r>
          </w:p>
        </w:tc>
        <w:tc>
          <w:tcPr>
            <w:tcW w:type="dxa" w:w="1656"/>
            <w:tcMar>
              <w:top w:w="70" w:type="dxa"/>
              <w:start w:w="90" w:type="dxa"/>
              <w:bottom w:w="70" w:type="dxa"/>
              <w:end w:w="90" w:type="dxa"/>
            </w:tcMar>
            <w:vAlign w:val="top"/>
            <w:shd w:fill="F7F9FA"/>
          </w:tcPr>
          <w:p>
            <w:r>
              <w:rPr>
                <w:rFonts w:ascii="Noto Sans" w:hAnsi="Noto Sans" w:eastAsia="Noto Sans"/>
                <w:sz w:val="17"/>
              </w:rPr>
              <w:t>3.14.x</w:t>
            </w:r>
          </w:p>
        </w:tc>
        <w:tc>
          <w:tcPr>
            <w:tcW w:type="dxa" w:w="3024"/>
            <w:tcMar>
              <w:top w:w="70" w:type="dxa"/>
              <w:start w:w="90" w:type="dxa"/>
              <w:bottom w:w="70" w:type="dxa"/>
              <w:end w:w="90" w:type="dxa"/>
            </w:tcMar>
            <w:vAlign w:val="top"/>
            <w:shd w:fill="F7F9FA"/>
          </w:tcPr>
          <w:p>
            <w:r>
              <w:rPr>
                <w:rFonts w:ascii="Noto Sans" w:hAnsi="Noto Sans" w:eastAsia="Noto Sans"/>
                <w:sz w:val="17"/>
              </w:rPr>
              <w:t>Metriche</w:t>
            </w:r>
          </w:p>
        </w:tc>
        <w:tc>
          <w:tcPr>
            <w:tcW w:type="dxa" w:w="4320"/>
            <w:tcMar>
              <w:top w:w="70" w:type="dxa"/>
              <w:start w:w="90" w:type="dxa"/>
              <w:bottom w:w="70" w:type="dxa"/>
              <w:end w:w="90" w:type="dxa"/>
            </w:tcMar>
            <w:vAlign w:val="top"/>
            <w:shd w:fill="F7F9FA"/>
          </w:tcPr>
          <w:p>
            <w:r>
              <w:rPr>
                <w:rFonts w:ascii="Noto Sans" w:hAnsi="Noto Sans" w:eastAsia="Noto Sans"/>
                <w:sz w:val="17"/>
              </w:rPr>
              <w:t>Scraping metriche APISIX/Kubernetes e alerting.</w:t>
            </w:r>
          </w:p>
        </w:tc>
      </w:tr>
      <w:tr>
        <w:trPr>
          <w:cantSplit/>
        </w:trPr>
        <w:tc>
          <w:tcPr>
            <w:tcW w:type="dxa" w:w="2232"/>
            <w:tcMar>
              <w:top w:w="70" w:type="dxa"/>
              <w:start w:w="90" w:type="dxa"/>
              <w:bottom w:w="70" w:type="dxa"/>
              <w:end w:w="90" w:type="dxa"/>
            </w:tcMar>
            <w:vAlign w:val="top"/>
          </w:tcPr>
          <w:p>
            <w:r>
              <w:rPr>
                <w:rFonts w:ascii="Noto Sans" w:hAnsi="Noto Sans" w:eastAsia="Noto Sans"/>
                <w:sz w:val="17"/>
              </w:rPr>
              <w:t>Grafana OSS</w:t>
            </w:r>
          </w:p>
        </w:tc>
        <w:tc>
          <w:tcPr>
            <w:tcW w:type="dxa" w:w="1656"/>
            <w:tcMar>
              <w:top w:w="70" w:type="dxa"/>
              <w:start w:w="90" w:type="dxa"/>
              <w:bottom w:w="70" w:type="dxa"/>
              <w:end w:w="90" w:type="dxa"/>
            </w:tcMar>
            <w:vAlign w:val="top"/>
          </w:tcPr>
          <w:p>
            <w:r>
              <w:rPr>
                <w:rFonts w:ascii="Noto Sans" w:hAnsi="Noto Sans" w:eastAsia="Noto Sans"/>
                <w:sz w:val="17"/>
              </w:rPr>
              <w:t>13.1.x</w:t>
            </w:r>
          </w:p>
        </w:tc>
        <w:tc>
          <w:tcPr>
            <w:tcW w:type="dxa" w:w="3024"/>
            <w:tcMar>
              <w:top w:w="70" w:type="dxa"/>
              <w:start w:w="90" w:type="dxa"/>
              <w:bottom w:w="70" w:type="dxa"/>
              <w:end w:w="90" w:type="dxa"/>
            </w:tcMar>
            <w:vAlign w:val="top"/>
          </w:tcPr>
          <w:p>
            <w:r>
              <w:rPr>
                <w:rFonts w:ascii="Noto Sans" w:hAnsi="Noto Sans" w:eastAsia="Noto Sans"/>
                <w:sz w:val="17"/>
              </w:rPr>
              <w:t>Dashboard</w:t>
            </w:r>
          </w:p>
        </w:tc>
        <w:tc>
          <w:tcPr>
            <w:tcW w:type="dxa" w:w="4320"/>
            <w:tcMar>
              <w:top w:w="70" w:type="dxa"/>
              <w:start w:w="90" w:type="dxa"/>
              <w:bottom w:w="70" w:type="dxa"/>
              <w:end w:w="90" w:type="dxa"/>
            </w:tcMar>
            <w:vAlign w:val="top"/>
          </w:tcPr>
          <w:p>
            <w:r>
              <w:rPr>
                <w:rFonts w:ascii="Noto Sans" w:hAnsi="Noto Sans" w:eastAsia="Noto Sans"/>
                <w:sz w:val="17"/>
              </w:rPr>
              <w:t>Dashboard e visualizzazione operativa.</w:t>
            </w:r>
          </w:p>
        </w:tc>
      </w:tr>
      <w:tr>
        <w:trPr>
          <w:cantSplit/>
        </w:trPr>
        <w:tc>
          <w:tcPr>
            <w:tcW w:type="dxa" w:w="2232"/>
            <w:tcMar>
              <w:top w:w="70" w:type="dxa"/>
              <w:start w:w="90" w:type="dxa"/>
              <w:bottom w:w="70" w:type="dxa"/>
              <w:end w:w="90" w:type="dxa"/>
            </w:tcMar>
            <w:vAlign w:val="top"/>
            <w:shd w:fill="F7F9FA"/>
          </w:tcPr>
          <w:p>
            <w:r>
              <w:rPr>
                <w:rFonts w:ascii="Noto Sans" w:hAnsi="Noto Sans" w:eastAsia="Noto Sans"/>
                <w:sz w:val="17"/>
              </w:rPr>
              <w:t>Loki</w:t>
            </w:r>
          </w:p>
        </w:tc>
        <w:tc>
          <w:tcPr>
            <w:tcW w:type="dxa" w:w="1656"/>
            <w:tcMar>
              <w:top w:w="70" w:type="dxa"/>
              <w:start w:w="90" w:type="dxa"/>
              <w:bottom w:w="70" w:type="dxa"/>
              <w:end w:w="90" w:type="dxa"/>
            </w:tcMar>
            <w:vAlign w:val="top"/>
            <w:shd w:fill="F7F9FA"/>
          </w:tcPr>
          <w:p>
            <w:r>
              <w:rPr>
                <w:rFonts w:ascii="Noto Sans" w:hAnsi="Noto Sans" w:eastAsia="Noto Sans"/>
                <w:sz w:val="17"/>
              </w:rPr>
              <w:t>3.7.x</w:t>
            </w:r>
          </w:p>
        </w:tc>
        <w:tc>
          <w:tcPr>
            <w:tcW w:type="dxa" w:w="3024"/>
            <w:tcMar>
              <w:top w:w="70" w:type="dxa"/>
              <w:start w:w="90" w:type="dxa"/>
              <w:bottom w:w="70" w:type="dxa"/>
              <w:end w:w="90" w:type="dxa"/>
            </w:tcMar>
            <w:vAlign w:val="top"/>
            <w:shd w:fill="F7F9FA"/>
          </w:tcPr>
          <w:p>
            <w:r>
              <w:rPr>
                <w:rFonts w:ascii="Noto Sans" w:hAnsi="Noto Sans" w:eastAsia="Noto Sans"/>
                <w:sz w:val="17"/>
              </w:rPr>
              <w:t>Log centralizzati</w:t>
            </w:r>
          </w:p>
        </w:tc>
        <w:tc>
          <w:tcPr>
            <w:tcW w:type="dxa" w:w="4320"/>
            <w:tcMar>
              <w:top w:w="70" w:type="dxa"/>
              <w:start w:w="90" w:type="dxa"/>
              <w:bottom w:w="70" w:type="dxa"/>
              <w:end w:w="90" w:type="dxa"/>
            </w:tcMar>
            <w:vAlign w:val="top"/>
            <w:shd w:fill="F7F9FA"/>
          </w:tcPr>
          <w:p>
            <w:r>
              <w:rPr>
                <w:rFonts w:ascii="Noto Sans" w:hAnsi="Noto Sans" w:eastAsia="Noto Sans"/>
                <w:sz w:val="17"/>
              </w:rPr>
              <w:t>Access/error log strutturati; retention definita per ambiente.</w:t>
            </w:r>
          </w:p>
        </w:tc>
      </w:tr>
      <w:tr>
        <w:trPr>
          <w:cantSplit/>
        </w:trPr>
        <w:tc>
          <w:tcPr>
            <w:tcW w:type="dxa" w:w="2232"/>
            <w:tcMar>
              <w:top w:w="70" w:type="dxa"/>
              <w:start w:w="90" w:type="dxa"/>
              <w:bottom w:w="70" w:type="dxa"/>
              <w:end w:w="90" w:type="dxa"/>
            </w:tcMar>
            <w:vAlign w:val="top"/>
          </w:tcPr>
          <w:p>
            <w:r>
              <w:rPr>
                <w:rFonts w:ascii="Noto Sans" w:hAnsi="Noto Sans" w:eastAsia="Noto Sans"/>
                <w:sz w:val="17"/>
              </w:rPr>
              <w:t>OpenTelemetry Collector</w:t>
            </w:r>
          </w:p>
        </w:tc>
        <w:tc>
          <w:tcPr>
            <w:tcW w:type="dxa" w:w="1656"/>
            <w:tcMar>
              <w:top w:w="70" w:type="dxa"/>
              <w:start w:w="90" w:type="dxa"/>
              <w:bottom w:w="70" w:type="dxa"/>
              <w:end w:w="90" w:type="dxa"/>
            </w:tcMar>
            <w:vAlign w:val="top"/>
          </w:tcPr>
          <w:p>
            <w:r>
              <w:rPr>
                <w:rFonts w:ascii="Noto Sans" w:hAnsi="Noto Sans" w:eastAsia="Noto Sans"/>
                <w:sz w:val="17"/>
              </w:rPr>
              <w:t>0.159.x</w:t>
            </w:r>
          </w:p>
        </w:tc>
        <w:tc>
          <w:tcPr>
            <w:tcW w:type="dxa" w:w="3024"/>
            <w:tcMar>
              <w:top w:w="70" w:type="dxa"/>
              <w:start w:w="90" w:type="dxa"/>
              <w:bottom w:w="70" w:type="dxa"/>
              <w:end w:w="90" w:type="dxa"/>
            </w:tcMar>
            <w:vAlign w:val="top"/>
          </w:tcPr>
          <w:p>
            <w:r>
              <w:rPr>
                <w:rFonts w:ascii="Noto Sans" w:hAnsi="Noto Sans" w:eastAsia="Noto Sans"/>
                <w:sz w:val="17"/>
              </w:rPr>
              <w:t>Tracing</w:t>
            </w:r>
          </w:p>
        </w:tc>
        <w:tc>
          <w:tcPr>
            <w:tcW w:type="dxa" w:w="4320"/>
            <w:tcMar>
              <w:top w:w="70" w:type="dxa"/>
              <w:start w:w="90" w:type="dxa"/>
              <w:bottom w:w="70" w:type="dxa"/>
              <w:end w:w="90" w:type="dxa"/>
            </w:tcMar>
            <w:vAlign w:val="top"/>
          </w:tcPr>
          <w:p>
            <w:r>
              <w:rPr>
                <w:rFonts w:ascii="Noto Sans" w:hAnsi="Noto Sans" w:eastAsia="Noto Sans"/>
                <w:sz w:val="17"/>
              </w:rPr>
              <w:t>Raccolta OTLP/HTTP e inoltro al backend di tracing.</w:t>
            </w:r>
          </w:p>
        </w:tc>
      </w:tr>
      <w:tr>
        <w:trPr>
          <w:cantSplit/>
        </w:trPr>
        <w:tc>
          <w:tcPr>
            <w:tcW w:type="dxa" w:w="2232"/>
            <w:tcMar>
              <w:top w:w="70" w:type="dxa"/>
              <w:start w:w="90" w:type="dxa"/>
              <w:bottom w:w="70" w:type="dxa"/>
              <w:end w:w="90" w:type="dxa"/>
            </w:tcMar>
            <w:vAlign w:val="top"/>
            <w:shd w:fill="F7F9FA"/>
          </w:tcPr>
          <w:p>
            <w:r>
              <w:rPr>
                <w:rFonts w:ascii="Noto Sans" w:hAnsi="Noto Sans" w:eastAsia="Noto Sans"/>
                <w:sz w:val="17"/>
              </w:rPr>
              <w:t>Argo CD</w:t>
            </w:r>
          </w:p>
        </w:tc>
        <w:tc>
          <w:tcPr>
            <w:tcW w:type="dxa" w:w="1656"/>
            <w:tcMar>
              <w:top w:w="70" w:type="dxa"/>
              <w:start w:w="90" w:type="dxa"/>
              <w:bottom w:w="70" w:type="dxa"/>
              <w:end w:w="90" w:type="dxa"/>
            </w:tcMar>
            <w:vAlign w:val="top"/>
            <w:shd w:fill="F7F9FA"/>
          </w:tcPr>
          <w:p>
            <w:r>
              <w:rPr>
                <w:rFonts w:ascii="Noto Sans" w:hAnsi="Noto Sans" w:eastAsia="Noto Sans"/>
                <w:sz w:val="17"/>
              </w:rPr>
              <w:t>3.5.x</w:t>
            </w:r>
          </w:p>
        </w:tc>
        <w:tc>
          <w:tcPr>
            <w:tcW w:type="dxa" w:w="3024"/>
            <w:tcMar>
              <w:top w:w="70" w:type="dxa"/>
              <w:start w:w="90" w:type="dxa"/>
              <w:bottom w:w="70" w:type="dxa"/>
              <w:end w:w="90" w:type="dxa"/>
            </w:tcMar>
            <w:vAlign w:val="top"/>
            <w:shd w:fill="F7F9FA"/>
          </w:tcPr>
          <w:p>
            <w:r>
              <w:rPr>
                <w:rFonts w:ascii="Noto Sans" w:hAnsi="Noto Sans" w:eastAsia="Noto Sans"/>
                <w:sz w:val="17"/>
              </w:rPr>
              <w:t>GitOps</w:t>
            </w:r>
          </w:p>
        </w:tc>
        <w:tc>
          <w:tcPr>
            <w:tcW w:type="dxa" w:w="4320"/>
            <w:tcMar>
              <w:top w:w="70" w:type="dxa"/>
              <w:start w:w="90" w:type="dxa"/>
              <w:bottom w:w="70" w:type="dxa"/>
              <w:end w:w="90" w:type="dxa"/>
            </w:tcMar>
            <w:vAlign w:val="top"/>
            <w:shd w:fill="F7F9FA"/>
          </w:tcPr>
          <w:p>
            <w:r>
              <w:rPr>
                <w:rFonts w:ascii="Noto Sans" w:hAnsi="Noto Sans" w:eastAsia="Noto Sans"/>
                <w:sz w:val="17"/>
              </w:rPr>
              <w:t>Promozione dichiarativa di route, policy e configurazioni.</w:t>
            </w:r>
          </w:p>
        </w:tc>
      </w:tr>
    </w:tbl>
    <w:p>
      <w:pPr>
        <w:pStyle w:val="BodyText"/>
        <w:widowControl/>
      </w:pPr>
      <w:r>
        <w:rPr>
          <w:rFonts w:ascii="Noto Sans" w:hAnsi="Noto Sans" w:eastAsia="Noto Sans"/>
        </w:rPr>
        <w:t>Politica versioni: si pinna la minor release approvata e si aggiornano le patch dopo test automatici, vulnerability scan e canary. Upgrade di minor/major release richiedono ambiente di staging e rollback documentato.</w:t>
      </w:r>
    </w:p>
    <w:p>
      <w:pPr>
        <w:pStyle w:val="Heading1"/>
        <w:keepNext/>
        <w:spacing w:before="160"/>
      </w:pPr>
      <w:r>
        <w:rPr>
          <w:rFonts w:ascii="Noto Sans" w:hAnsi="Noto Sans" w:eastAsia="Noto Sans"/>
        </w:rPr>
        <w:t>T2. Topologia di deployment</w:t>
      </w:r>
    </w:p>
    <w:p>
      <w:pPr>
        <w:spacing w:before="80" w:after="100"/>
        <w:ind w:left="173" w:right="173"/>
        <w:shd w:fill="F3F5F7"/>
      </w:pPr>
      <w:r>
        <w:rPr>
          <w:rFonts w:ascii="Noto Sans" w:hAnsi="Noto Sans" w:eastAsia="DejaVu Sans Mono"/>
          <w:sz w:val="17"/>
        </w:rPr>
        <w:t>Internet / reti esterne</w:t>
        <w:br/>
        <w:t xml:space="preserve">        |</w:t>
        <w:br/>
        <w:t xml:space="preserve">  Load Balancer / VIP :443</w:t>
        <w:br/>
        <w:t xml:space="preserve">        |</w:t>
        <w:br/>
        <w:t xml:space="preserve">  +-----------------------------+</w:t>
        <w:br/>
        <w:t xml:space="preserve">  | APISIX NORTHBOUND DATA PLANE|  3+ replica, HPA 3..10</w:t>
        <w:br/>
        <w:t xml:space="preserve">  +-----------------------------+</w:t>
        <w:br/>
        <w:t xml:space="preserve">        |</w:t>
        <w:br/>
        <w:t xml:space="preserve">   Backend OUF / capability services</w:t>
        <w:br/>
        <w:br/>
        <w:t>Connector / ETL workloads</w:t>
        <w:br/>
        <w:t xml:space="preserve">        |</w:t>
        <w:br/>
        <w:t xml:space="preserve">  +-----------------------------+</w:t>
        <w:br/>
        <w:t xml:space="preserve">  | APISIX SOUTHBOUND DATA PLANE|  2+ replica, solo ClusterIP</w:t>
        <w:br/>
        <w:t xml:space="preserve">  +-----------------------------+</w:t>
        <w:br/>
        <w:t xml:space="preserve">        | allowlist egress</w:t>
        <w:br/>
        <w:t xml:space="preserve">   SUAP / SUO / SUE / WFS / WMS</w:t>
        <w:br/>
        <w:br/>
        <w:t>Control plane: APISIX Ingress Controller (2 replica) -&gt; APISIX Control Plane -&gt; etcd (3 nodi)</w:t>
      </w:r>
    </w:p>
    <w:p>
      <w:pPr>
        <w:pStyle w:val="BodyText"/>
        <w:widowControl/>
      </w:pPr>
      <w:r>
        <w:rPr>
          <w:rFonts w:ascii="Noto Sans" w:hAnsi="Noto Sans" w:eastAsia="Noto Sans"/>
        </w:rPr>
        <w:t>Northbound e southbound sono implementati come due deployment APISIX distinti, con configurazioni, service account, NetworkPolicy, route e metriche separate. Il southbound non possiede alcun Service pubblico: è raggiungibile esclusivamente dai workload OUF autorizzati.</w:t>
      </w:r>
    </w:p>
    <w:p>
      <w:pPr>
        <w:pStyle w:val="Heading2"/>
        <w:keepNext/>
        <w:spacing w:before="160"/>
      </w:pPr>
      <w:r>
        <w:rPr>
          <w:rFonts w:ascii="Noto Sans" w:hAnsi="Noto Sans" w:eastAsia="Noto Sans"/>
        </w:rPr>
        <w:t>T2.1 Profili APISIX</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blHeader w:val="true"/>
          <w:cantSplit/>
        </w:trPr>
        <w:tc>
          <w:tcPr>
            <w:tcW w:type="dxa" w:w="2016"/>
            <w:shd w:fill="0B5A73"/>
            <w:vAlign w:val="center"/>
            <w:tcMar>
              <w:top w:w="70" w:type="dxa"/>
              <w:start w:w="90" w:type="dxa"/>
              <w:bottom w:w="70" w:type="dxa"/>
              <w:end w:w="90" w:type="dxa"/>
            </w:tcMar>
          </w:tcPr>
          <w:p>
            <w:r>
              <w:rPr>
                <w:rFonts w:ascii="Noto Sans" w:hAnsi="Noto Sans" w:eastAsia="Noto Sans"/>
                <w:sz w:val="17"/>
              </w:rPr>
              <w:t>Profilo</w:t>
            </w:r>
          </w:p>
        </w:tc>
        <w:tc>
          <w:tcPr>
            <w:tcW w:type="dxa" w:w="2448"/>
            <w:shd w:fill="0B5A73"/>
            <w:vAlign w:val="center"/>
            <w:tcMar>
              <w:top w:w="70" w:type="dxa"/>
              <w:start w:w="90" w:type="dxa"/>
              <w:bottom w:w="70" w:type="dxa"/>
              <w:end w:w="90" w:type="dxa"/>
            </w:tcMar>
          </w:tcPr>
          <w:p>
            <w:r>
              <w:rPr>
                <w:rFonts w:ascii="Noto Sans" w:hAnsi="Noto Sans" w:eastAsia="Noto Sans"/>
                <w:sz w:val="17"/>
              </w:rPr>
              <w:t>Service K8s</w:t>
            </w:r>
          </w:p>
        </w:tc>
        <w:tc>
          <w:tcPr>
            <w:tcW w:type="dxa" w:w="2880"/>
            <w:shd w:fill="0B5A73"/>
            <w:vAlign w:val="center"/>
            <w:tcMar>
              <w:top w:w="70" w:type="dxa"/>
              <w:start w:w="90" w:type="dxa"/>
              <w:bottom w:w="70" w:type="dxa"/>
              <w:end w:w="90" w:type="dxa"/>
            </w:tcMar>
          </w:tcPr>
          <w:p>
            <w:r>
              <w:rPr>
                <w:rFonts w:ascii="Noto Sans" w:hAnsi="Noto Sans" w:eastAsia="Noto Sans"/>
                <w:sz w:val="17"/>
              </w:rPr>
              <w:t>Esposizione</w:t>
            </w:r>
          </w:p>
        </w:tc>
        <w:tc>
          <w:tcPr>
            <w:tcW w:type="dxa" w:w="1728"/>
            <w:shd w:fill="0B5A73"/>
            <w:vAlign w:val="center"/>
            <w:tcMar>
              <w:top w:w="70" w:type="dxa"/>
              <w:start w:w="90" w:type="dxa"/>
              <w:bottom w:w="70" w:type="dxa"/>
              <w:end w:w="90" w:type="dxa"/>
            </w:tcMar>
          </w:tcPr>
          <w:p>
            <w:r>
              <w:rPr>
                <w:rFonts w:ascii="Noto Sans" w:hAnsi="Noto Sans" w:eastAsia="Noto Sans"/>
                <w:sz w:val="17"/>
              </w:rPr>
              <w:t>Replica iniziali</w:t>
            </w:r>
          </w:p>
        </w:tc>
        <w:tc>
          <w:tcPr>
            <w:tcW w:type="dxa" w:w="3600"/>
            <w:shd w:fill="0B5A73"/>
            <w:vAlign w:val="center"/>
            <w:tcMar>
              <w:top w:w="70" w:type="dxa"/>
              <w:start w:w="90" w:type="dxa"/>
              <w:bottom w:w="70" w:type="dxa"/>
              <w:end w:w="90" w:type="dxa"/>
            </w:tcMar>
          </w:tcPr>
          <w:p>
            <w:r>
              <w:rPr>
                <w:rFonts w:ascii="Noto Sans" w:hAnsi="Noto Sans" w:eastAsia="Noto Sans"/>
                <w:sz w:val="17"/>
              </w:rPr>
              <w:t>Funzione</w:t>
            </w:r>
          </w:p>
        </w:tc>
      </w:tr>
      <w:tr>
        <w:trPr>
          <w:cantSplit/>
        </w:trPr>
        <w:tc>
          <w:tcPr>
            <w:tcW w:type="dxa" w:w="2016"/>
            <w:tcMar>
              <w:top w:w="70" w:type="dxa"/>
              <w:start w:w="90" w:type="dxa"/>
              <w:bottom w:w="70" w:type="dxa"/>
              <w:end w:w="90" w:type="dxa"/>
            </w:tcMar>
            <w:vAlign w:val="top"/>
          </w:tcPr>
          <w:p>
            <w:r>
              <w:rPr>
                <w:rFonts w:ascii="Noto Sans" w:hAnsi="Noto Sans" w:eastAsia="Noto Sans"/>
                <w:sz w:val="17"/>
              </w:rPr>
              <w:t>northbound</w:t>
            </w:r>
          </w:p>
        </w:tc>
        <w:tc>
          <w:tcPr>
            <w:tcW w:type="dxa" w:w="2448"/>
            <w:tcMar>
              <w:top w:w="70" w:type="dxa"/>
              <w:start w:w="90" w:type="dxa"/>
              <w:bottom w:w="70" w:type="dxa"/>
              <w:end w:w="90" w:type="dxa"/>
            </w:tcMar>
            <w:vAlign w:val="top"/>
          </w:tcPr>
          <w:p>
            <w:r>
              <w:rPr>
                <w:rFonts w:ascii="Noto Sans" w:hAnsi="Noto Sans" w:eastAsia="Noto Sans"/>
                <w:sz w:val="17"/>
              </w:rPr>
              <w:t>apisix-northbound</w:t>
            </w:r>
          </w:p>
        </w:tc>
        <w:tc>
          <w:tcPr>
            <w:tcW w:type="dxa" w:w="2880"/>
            <w:tcMar>
              <w:top w:w="70" w:type="dxa"/>
              <w:start w:w="90" w:type="dxa"/>
              <w:bottom w:w="70" w:type="dxa"/>
              <w:end w:w="90" w:type="dxa"/>
            </w:tcMar>
            <w:vAlign w:val="top"/>
          </w:tcPr>
          <w:p>
            <w:r>
              <w:rPr>
                <w:rFonts w:ascii="Noto Sans" w:hAnsi="Noto Sans" w:eastAsia="Noto Sans"/>
                <w:sz w:val="17"/>
              </w:rPr>
              <w:t>LoadBalancer/NodePort dietro LB</w:t>
            </w:r>
          </w:p>
        </w:tc>
        <w:tc>
          <w:tcPr>
            <w:tcW w:type="dxa" w:w="1728"/>
            <w:tcMar>
              <w:top w:w="70" w:type="dxa"/>
              <w:start w:w="90" w:type="dxa"/>
              <w:bottom w:w="70" w:type="dxa"/>
              <w:end w:w="90" w:type="dxa"/>
            </w:tcMar>
            <w:vAlign w:val="top"/>
          </w:tcPr>
          <w:p>
            <w:r>
              <w:rPr>
                <w:rFonts w:ascii="Noto Sans" w:hAnsi="Noto Sans" w:eastAsia="Noto Sans"/>
                <w:sz w:val="17"/>
              </w:rPr>
              <w:t>3</w:t>
            </w:r>
          </w:p>
        </w:tc>
        <w:tc>
          <w:tcPr>
            <w:tcW w:type="dxa" w:w="3600"/>
            <w:tcMar>
              <w:top w:w="70" w:type="dxa"/>
              <w:start w:w="90" w:type="dxa"/>
              <w:bottom w:w="70" w:type="dxa"/>
              <w:end w:w="90" w:type="dxa"/>
            </w:tcMar>
            <w:vAlign w:val="top"/>
          </w:tcPr>
          <w:p>
            <w:r>
              <w:rPr>
                <w:rFonts w:ascii="Noto Sans" w:hAnsi="Noto Sans" w:eastAsia="Noto Sans"/>
                <w:sz w:val="17"/>
              </w:rPr>
              <w:t>Ingress consumer, push verticali, API/OGC/WMS proxy.</w:t>
            </w:r>
          </w:p>
        </w:tc>
      </w:tr>
      <w:tr>
        <w:trPr>
          <w:cantSplit/>
        </w:trPr>
        <w:tc>
          <w:tcPr>
            <w:tcW w:type="dxa" w:w="2016"/>
            <w:tcMar>
              <w:top w:w="70" w:type="dxa"/>
              <w:start w:w="90" w:type="dxa"/>
              <w:bottom w:w="70" w:type="dxa"/>
              <w:end w:w="90" w:type="dxa"/>
            </w:tcMar>
            <w:vAlign w:val="top"/>
            <w:shd w:fill="F7F9FA"/>
          </w:tcPr>
          <w:p>
            <w:r>
              <w:rPr>
                <w:rFonts w:ascii="Noto Sans" w:hAnsi="Noto Sans" w:eastAsia="Noto Sans"/>
                <w:sz w:val="17"/>
              </w:rPr>
              <w:t>southbound</w:t>
            </w:r>
          </w:p>
        </w:tc>
        <w:tc>
          <w:tcPr>
            <w:tcW w:type="dxa" w:w="2448"/>
            <w:tcMar>
              <w:top w:w="70" w:type="dxa"/>
              <w:start w:w="90" w:type="dxa"/>
              <w:bottom w:w="70" w:type="dxa"/>
              <w:end w:w="90" w:type="dxa"/>
            </w:tcMar>
            <w:vAlign w:val="top"/>
            <w:shd w:fill="F7F9FA"/>
          </w:tcPr>
          <w:p>
            <w:r>
              <w:rPr>
                <w:rFonts w:ascii="Noto Sans" w:hAnsi="Noto Sans" w:eastAsia="Noto Sans"/>
                <w:sz w:val="17"/>
              </w:rPr>
              <w:t>apisix-southbound</w:t>
            </w:r>
          </w:p>
        </w:tc>
        <w:tc>
          <w:tcPr>
            <w:tcW w:type="dxa" w:w="2880"/>
            <w:tcMar>
              <w:top w:w="70" w:type="dxa"/>
              <w:start w:w="90" w:type="dxa"/>
              <w:bottom w:w="70" w:type="dxa"/>
              <w:end w:w="90" w:type="dxa"/>
            </w:tcMar>
            <w:vAlign w:val="top"/>
            <w:shd w:fill="F7F9FA"/>
          </w:tcPr>
          <w:p>
            <w:r>
              <w:rPr>
                <w:rFonts w:ascii="Noto Sans" w:hAnsi="Noto Sans" w:eastAsia="Noto Sans"/>
                <w:sz w:val="17"/>
              </w:rPr>
              <w:t>ClusterIP only</w:t>
            </w:r>
          </w:p>
        </w:tc>
        <w:tc>
          <w:tcPr>
            <w:tcW w:type="dxa" w:w="1728"/>
            <w:tcMar>
              <w:top w:w="70" w:type="dxa"/>
              <w:start w:w="90" w:type="dxa"/>
              <w:bottom w:w="70" w:type="dxa"/>
              <w:end w:w="90" w:type="dxa"/>
            </w:tcMar>
            <w:vAlign w:val="top"/>
            <w:shd w:fill="F7F9FA"/>
          </w:tcPr>
          <w:p>
            <w:r>
              <w:rPr>
                <w:rFonts w:ascii="Noto Sans" w:hAnsi="Noto Sans" w:eastAsia="Noto Sans"/>
                <w:sz w:val="17"/>
              </w:rPr>
              <w:t>2</w:t>
            </w:r>
          </w:p>
        </w:tc>
        <w:tc>
          <w:tcPr>
            <w:tcW w:type="dxa" w:w="3600"/>
            <w:tcMar>
              <w:top w:w="70" w:type="dxa"/>
              <w:start w:w="90" w:type="dxa"/>
              <w:bottom w:w="70" w:type="dxa"/>
              <w:end w:w="90" w:type="dxa"/>
            </w:tcMar>
            <w:vAlign w:val="top"/>
            <w:shd w:fill="F7F9FA"/>
          </w:tcPr>
          <w:p>
            <w:r>
              <w:rPr>
                <w:rFonts w:ascii="Noto Sans" w:hAnsi="Noto Sans" w:eastAsia="Noto Sans"/>
                <w:sz w:val="17"/>
              </w:rPr>
              <w:t>Egress governato verso verticali e WebGIS.</w:t>
            </w:r>
          </w:p>
        </w:tc>
      </w:tr>
      <w:tr>
        <w:trPr>
          <w:cantSplit/>
        </w:trPr>
        <w:tc>
          <w:tcPr>
            <w:tcW w:type="dxa" w:w="2016"/>
            <w:tcMar>
              <w:top w:w="70" w:type="dxa"/>
              <w:start w:w="90" w:type="dxa"/>
              <w:bottom w:w="70" w:type="dxa"/>
              <w:end w:w="90" w:type="dxa"/>
            </w:tcMar>
            <w:vAlign w:val="top"/>
          </w:tcPr>
          <w:p>
            <w:r>
              <w:rPr>
                <w:rFonts w:ascii="Noto Sans" w:hAnsi="Noto Sans" w:eastAsia="Noto Sans"/>
                <w:sz w:val="17"/>
              </w:rPr>
              <w:t>control-plane</w:t>
            </w:r>
          </w:p>
        </w:tc>
        <w:tc>
          <w:tcPr>
            <w:tcW w:type="dxa" w:w="2448"/>
            <w:tcMar>
              <w:top w:w="70" w:type="dxa"/>
              <w:start w:w="90" w:type="dxa"/>
              <w:bottom w:w="70" w:type="dxa"/>
              <w:end w:w="90" w:type="dxa"/>
            </w:tcMar>
            <w:vAlign w:val="top"/>
          </w:tcPr>
          <w:p>
            <w:r>
              <w:rPr>
                <w:rFonts w:ascii="Noto Sans" w:hAnsi="Noto Sans" w:eastAsia="Noto Sans"/>
                <w:sz w:val="17"/>
              </w:rPr>
              <w:t>apisix-control-plane</w:t>
            </w:r>
          </w:p>
        </w:tc>
        <w:tc>
          <w:tcPr>
            <w:tcW w:type="dxa" w:w="2880"/>
            <w:tcMar>
              <w:top w:w="70" w:type="dxa"/>
              <w:start w:w="90" w:type="dxa"/>
              <w:bottom w:w="70" w:type="dxa"/>
              <w:end w:w="90" w:type="dxa"/>
            </w:tcMar>
            <w:vAlign w:val="top"/>
          </w:tcPr>
          <w:p>
            <w:r>
              <w:rPr>
                <w:rFonts w:ascii="Noto Sans" w:hAnsi="Noto Sans" w:eastAsia="Noto Sans"/>
                <w:sz w:val="17"/>
              </w:rPr>
              <w:t>ClusterIP admin only</w:t>
            </w:r>
          </w:p>
        </w:tc>
        <w:tc>
          <w:tcPr>
            <w:tcW w:type="dxa" w:w="1728"/>
            <w:tcMar>
              <w:top w:w="70" w:type="dxa"/>
              <w:start w:w="90" w:type="dxa"/>
              <w:bottom w:w="70" w:type="dxa"/>
              <w:end w:w="90" w:type="dxa"/>
            </w:tcMar>
            <w:vAlign w:val="top"/>
          </w:tcPr>
          <w:p>
            <w:r>
              <w:rPr>
                <w:rFonts w:ascii="Noto Sans" w:hAnsi="Noto Sans" w:eastAsia="Noto Sans"/>
                <w:sz w:val="17"/>
              </w:rPr>
              <w:t>2</w:t>
            </w:r>
          </w:p>
        </w:tc>
        <w:tc>
          <w:tcPr>
            <w:tcW w:type="dxa" w:w="3600"/>
            <w:tcMar>
              <w:top w:w="70" w:type="dxa"/>
              <w:start w:w="90" w:type="dxa"/>
              <w:bottom w:w="70" w:type="dxa"/>
              <w:end w:w="90" w:type="dxa"/>
            </w:tcMar>
            <w:vAlign w:val="top"/>
          </w:tcPr>
          <w:p>
            <w:r>
              <w:rPr>
                <w:rFonts w:ascii="Noto Sans" w:hAnsi="Noto Sans" w:eastAsia="Noto Sans"/>
                <w:sz w:val="17"/>
              </w:rPr>
              <w:t>Admin API e sincronizzazione configurazione.</w:t>
            </w:r>
          </w:p>
        </w:tc>
      </w:tr>
      <w:tr>
        <w:trPr>
          <w:cantSplit/>
        </w:trPr>
        <w:tc>
          <w:tcPr>
            <w:tcW w:type="dxa" w:w="2016"/>
            <w:tcMar>
              <w:top w:w="70" w:type="dxa"/>
              <w:start w:w="90" w:type="dxa"/>
              <w:bottom w:w="70" w:type="dxa"/>
              <w:end w:w="90" w:type="dxa"/>
            </w:tcMar>
            <w:vAlign w:val="top"/>
            <w:shd w:fill="F7F9FA"/>
          </w:tcPr>
          <w:p>
            <w:r>
              <w:rPr>
                <w:rFonts w:ascii="Noto Sans" w:hAnsi="Noto Sans" w:eastAsia="Noto Sans"/>
                <w:sz w:val="17"/>
              </w:rPr>
              <w:t>ingress-controller</w:t>
            </w:r>
          </w:p>
        </w:tc>
        <w:tc>
          <w:tcPr>
            <w:tcW w:type="dxa" w:w="2448"/>
            <w:tcMar>
              <w:top w:w="70" w:type="dxa"/>
              <w:start w:w="90" w:type="dxa"/>
              <w:bottom w:w="70" w:type="dxa"/>
              <w:end w:w="90" w:type="dxa"/>
            </w:tcMar>
            <w:vAlign w:val="top"/>
            <w:shd w:fill="F7F9FA"/>
          </w:tcPr>
          <w:p>
            <w:r>
              <w:rPr>
                <w:rFonts w:ascii="Noto Sans" w:hAnsi="Noto Sans" w:eastAsia="Noto Sans"/>
                <w:sz w:val="17"/>
              </w:rPr>
              <w:t>apisix-ingress-controller</w:t>
            </w:r>
          </w:p>
        </w:tc>
        <w:tc>
          <w:tcPr>
            <w:tcW w:type="dxa" w:w="2880"/>
            <w:tcMar>
              <w:top w:w="70" w:type="dxa"/>
              <w:start w:w="90" w:type="dxa"/>
              <w:bottom w:w="70" w:type="dxa"/>
              <w:end w:w="90" w:type="dxa"/>
            </w:tcMar>
            <w:vAlign w:val="top"/>
            <w:shd w:fill="F7F9FA"/>
          </w:tcPr>
          <w:p>
            <w:r>
              <w:rPr>
                <w:rFonts w:ascii="Noto Sans" w:hAnsi="Noto Sans" w:eastAsia="Noto Sans"/>
                <w:sz w:val="17"/>
              </w:rPr>
              <w:t>Nessuna esposizione pubblica</w:t>
            </w:r>
          </w:p>
        </w:tc>
        <w:tc>
          <w:tcPr>
            <w:tcW w:type="dxa" w:w="1728"/>
            <w:tcMar>
              <w:top w:w="70" w:type="dxa"/>
              <w:start w:w="90" w:type="dxa"/>
              <w:bottom w:w="70" w:type="dxa"/>
              <w:end w:w="90" w:type="dxa"/>
            </w:tcMar>
            <w:vAlign w:val="top"/>
            <w:shd w:fill="F7F9FA"/>
          </w:tcPr>
          <w:p>
            <w:r>
              <w:rPr>
                <w:rFonts w:ascii="Noto Sans" w:hAnsi="Noto Sans" w:eastAsia="Noto Sans"/>
                <w:sz w:val="17"/>
              </w:rPr>
              <w:t>2</w:t>
            </w:r>
          </w:p>
        </w:tc>
        <w:tc>
          <w:tcPr>
            <w:tcW w:type="dxa" w:w="3600"/>
            <w:tcMar>
              <w:top w:w="70" w:type="dxa"/>
              <w:start w:w="90" w:type="dxa"/>
              <w:bottom w:w="70" w:type="dxa"/>
              <w:end w:w="90" w:type="dxa"/>
            </w:tcMar>
            <w:vAlign w:val="top"/>
            <w:shd w:fill="F7F9FA"/>
          </w:tcPr>
          <w:p>
            <w:r>
              <w:rPr>
                <w:rFonts w:ascii="Noto Sans" w:hAnsi="Noto Sans" w:eastAsia="Noto Sans"/>
                <w:sz w:val="17"/>
              </w:rPr>
              <w:t>Watch Gateway API/CRD e applicazione configurazione.</w:t>
            </w:r>
          </w:p>
        </w:tc>
      </w:tr>
      <w:tr>
        <w:trPr>
          <w:cantSplit/>
        </w:trPr>
        <w:tc>
          <w:tcPr>
            <w:tcW w:type="dxa" w:w="2016"/>
            <w:tcMar>
              <w:top w:w="70" w:type="dxa"/>
              <w:start w:w="90" w:type="dxa"/>
              <w:bottom w:w="70" w:type="dxa"/>
              <w:end w:w="90" w:type="dxa"/>
            </w:tcMar>
            <w:vAlign w:val="top"/>
          </w:tcPr>
          <w:p>
            <w:r>
              <w:rPr>
                <w:rFonts w:ascii="Noto Sans" w:hAnsi="Noto Sans" w:eastAsia="Noto Sans"/>
                <w:sz w:val="17"/>
              </w:rPr>
              <w:t>etcd</w:t>
            </w:r>
          </w:p>
        </w:tc>
        <w:tc>
          <w:tcPr>
            <w:tcW w:type="dxa" w:w="2448"/>
            <w:tcMar>
              <w:top w:w="70" w:type="dxa"/>
              <w:start w:w="90" w:type="dxa"/>
              <w:bottom w:w="70" w:type="dxa"/>
              <w:end w:w="90" w:type="dxa"/>
            </w:tcMar>
            <w:vAlign w:val="top"/>
          </w:tcPr>
          <w:p>
            <w:r>
              <w:rPr>
                <w:rFonts w:ascii="Noto Sans" w:hAnsi="Noto Sans" w:eastAsia="Noto Sans"/>
                <w:sz w:val="17"/>
              </w:rPr>
              <w:t>apisix-etcd</w:t>
            </w:r>
          </w:p>
        </w:tc>
        <w:tc>
          <w:tcPr>
            <w:tcW w:type="dxa" w:w="2880"/>
            <w:tcMar>
              <w:top w:w="70" w:type="dxa"/>
              <w:start w:w="90" w:type="dxa"/>
              <w:bottom w:w="70" w:type="dxa"/>
              <w:end w:w="90" w:type="dxa"/>
            </w:tcMar>
            <w:vAlign w:val="top"/>
          </w:tcPr>
          <w:p>
            <w:r>
              <w:rPr>
                <w:rFonts w:ascii="Noto Sans" w:hAnsi="Noto Sans" w:eastAsia="Noto Sans"/>
                <w:sz w:val="17"/>
              </w:rPr>
              <w:t>ClusterIP headless</w:t>
            </w:r>
          </w:p>
        </w:tc>
        <w:tc>
          <w:tcPr>
            <w:tcW w:type="dxa" w:w="1728"/>
            <w:tcMar>
              <w:top w:w="70" w:type="dxa"/>
              <w:start w:w="90" w:type="dxa"/>
              <w:bottom w:w="70" w:type="dxa"/>
              <w:end w:w="90" w:type="dxa"/>
            </w:tcMar>
            <w:vAlign w:val="top"/>
          </w:tcPr>
          <w:p>
            <w:r>
              <w:rPr>
                <w:rFonts w:ascii="Noto Sans" w:hAnsi="Noto Sans" w:eastAsia="Noto Sans"/>
                <w:sz w:val="17"/>
              </w:rPr>
              <w:t>3</w:t>
            </w:r>
          </w:p>
        </w:tc>
        <w:tc>
          <w:tcPr>
            <w:tcW w:type="dxa" w:w="3600"/>
            <w:tcMar>
              <w:top w:w="70" w:type="dxa"/>
              <w:start w:w="90" w:type="dxa"/>
              <w:bottom w:w="70" w:type="dxa"/>
              <w:end w:w="90" w:type="dxa"/>
            </w:tcMar>
            <w:vAlign w:val="top"/>
          </w:tcPr>
          <w:p>
            <w:r>
              <w:rPr>
                <w:rFonts w:ascii="Noto Sans" w:hAnsi="Noto Sans" w:eastAsia="Noto Sans"/>
                <w:sz w:val="17"/>
              </w:rPr>
              <w:t>Store della configurazione; quorum 2/3.</w:t>
            </w:r>
          </w:p>
        </w:tc>
      </w:tr>
    </w:tbl>
    <w:p>
      <w:pPr>
        <w:pStyle w:val="Heading1"/>
        <w:keepNext/>
        <w:spacing w:before="160"/>
      </w:pPr>
      <w:r>
        <w:rPr>
          <w:rFonts w:ascii="Noto Sans" w:hAnsi="Noto Sans" w:eastAsia="Noto Sans"/>
        </w:rPr>
        <w:t>T3. Cluster Kubernetes e namespace</w:t>
      </w:r>
    </w:p>
    <w:p>
      <w:pPr>
        <w:pStyle w:val="BodyText"/>
        <w:widowControl/>
      </w:pPr>
      <w:r>
        <w:rPr>
          <w:rFonts w:ascii="Noto Sans" w:hAnsi="Noto Sans" w:eastAsia="Noto Sans"/>
        </w:rPr>
        <w:t>Baseline: Kubernetes 1.36.x. Il progetto evita Kubernetes 1.34 come target nuovo perché prossimo al termine del ciclo di supporto al momento della baseline. Il cluster produttivo deve avere almeno tre control-plane node e worker distribuiti su almeno tre domini di guasto quando l'infrastruttura lo consente.</w:t>
      </w:r>
    </w:p>
    <w:tbl>
      <w:tblPr>
        <w:tblStyle w:val="TableGrid"/>
        <w:tblW w:type="auto" w:w="0"/>
        <w:jc w:val="center"/>
        <w:tblLook w:firstColumn="1" w:firstRow="1" w:lastColumn="0" w:lastRow="0" w:noHBand="0" w:noVBand="1" w:val="04A0"/>
      </w:tblPr>
      <w:tblGrid>
        <w:gridCol w:w="3024"/>
        <w:gridCol w:w="3024"/>
        <w:gridCol w:w="3024"/>
      </w:tblGrid>
      <w:tr>
        <w:trPr>
          <w:tblHeader w:val="true"/>
          <w:tblHeader w:val="true"/>
          <w:cantSplit/>
        </w:trPr>
        <w:tc>
          <w:tcPr>
            <w:tcW w:type="dxa" w:w="2160"/>
            <w:shd w:fill="0B5A73"/>
            <w:vAlign w:val="center"/>
            <w:tcMar>
              <w:top w:w="70" w:type="dxa"/>
              <w:start w:w="90" w:type="dxa"/>
              <w:bottom w:w="70" w:type="dxa"/>
              <w:end w:w="90" w:type="dxa"/>
            </w:tcMar>
          </w:tcPr>
          <w:p>
            <w:r>
              <w:rPr>
                <w:rFonts w:ascii="Noto Sans" w:hAnsi="Noto Sans" w:eastAsia="Noto Sans"/>
                <w:sz w:val="17"/>
              </w:rPr>
              <w:t>Namespace</w:t>
            </w:r>
          </w:p>
        </w:tc>
        <w:tc>
          <w:tcPr>
            <w:tcW w:type="dxa" w:w="4608"/>
            <w:shd w:fill="0B5A73"/>
            <w:vAlign w:val="center"/>
            <w:tcMar>
              <w:top w:w="70" w:type="dxa"/>
              <w:start w:w="90" w:type="dxa"/>
              <w:bottom w:w="70" w:type="dxa"/>
              <w:end w:w="90" w:type="dxa"/>
            </w:tcMar>
          </w:tcPr>
          <w:p>
            <w:r>
              <w:rPr>
                <w:rFonts w:ascii="Noto Sans" w:hAnsi="Noto Sans" w:eastAsia="Noto Sans"/>
                <w:sz w:val="17"/>
              </w:rPr>
              <w:t>Contenuto</w:t>
            </w:r>
          </w:p>
        </w:tc>
        <w:tc>
          <w:tcPr>
            <w:tcW w:type="dxa" w:w="5184"/>
            <w:shd w:fill="0B5A73"/>
            <w:vAlign w:val="center"/>
            <w:tcMar>
              <w:top w:w="70" w:type="dxa"/>
              <w:start w:w="90" w:type="dxa"/>
              <w:bottom w:w="70" w:type="dxa"/>
              <w:end w:w="90" w:type="dxa"/>
            </w:tcMar>
          </w:tcPr>
          <w:p>
            <w:r>
              <w:rPr>
                <w:rFonts w:ascii="Noto Sans" w:hAnsi="Noto Sans" w:eastAsia="Noto Sans"/>
                <w:sz w:val="17"/>
              </w:rPr>
              <w:t>Accesso</w:t>
            </w:r>
          </w:p>
        </w:tc>
      </w:tr>
      <w:tr>
        <w:trPr>
          <w:cantSplit/>
        </w:trPr>
        <w:tc>
          <w:tcPr>
            <w:tcW w:type="dxa" w:w="2160"/>
            <w:tcMar>
              <w:top w:w="70" w:type="dxa"/>
              <w:start w:w="90" w:type="dxa"/>
              <w:bottom w:w="70" w:type="dxa"/>
              <w:end w:w="90" w:type="dxa"/>
            </w:tcMar>
            <w:vAlign w:val="top"/>
          </w:tcPr>
          <w:p>
            <w:r>
              <w:rPr>
                <w:rFonts w:ascii="Noto Sans" w:hAnsi="Noto Sans" w:eastAsia="Noto Sans"/>
                <w:sz w:val="17"/>
              </w:rPr>
              <w:t>ouf-gateway</w:t>
            </w:r>
          </w:p>
        </w:tc>
        <w:tc>
          <w:tcPr>
            <w:tcW w:type="dxa" w:w="4608"/>
            <w:tcMar>
              <w:top w:w="70" w:type="dxa"/>
              <w:start w:w="90" w:type="dxa"/>
              <w:bottom w:w="70" w:type="dxa"/>
              <w:end w:w="90" w:type="dxa"/>
            </w:tcMar>
            <w:vAlign w:val="top"/>
          </w:tcPr>
          <w:p>
            <w:r>
              <w:rPr>
                <w:rFonts w:ascii="Noto Sans" w:hAnsi="Noto Sans" w:eastAsia="Noto Sans"/>
                <w:sz w:val="17"/>
              </w:rPr>
              <w:t>APISIX data/control plane, ingress controller</w:t>
            </w:r>
          </w:p>
        </w:tc>
        <w:tc>
          <w:tcPr>
            <w:tcW w:type="dxa" w:w="5184"/>
            <w:tcMar>
              <w:top w:w="70" w:type="dxa"/>
              <w:start w:w="90" w:type="dxa"/>
              <w:bottom w:w="70" w:type="dxa"/>
              <w:end w:w="90" w:type="dxa"/>
            </w:tcMar>
            <w:vAlign w:val="top"/>
          </w:tcPr>
          <w:p>
            <w:r>
              <w:rPr>
                <w:rFonts w:ascii="Noto Sans" w:hAnsi="Noto Sans" w:eastAsia="Noto Sans"/>
                <w:sz w:val="17"/>
              </w:rPr>
              <w:t>Operatori piattaforma; nessun workload applicativo.</w:t>
            </w:r>
          </w:p>
        </w:tc>
      </w:tr>
      <w:tr>
        <w:trPr>
          <w:cantSplit/>
        </w:trPr>
        <w:tc>
          <w:tcPr>
            <w:tcW w:type="dxa" w:w="2160"/>
            <w:tcMar>
              <w:top w:w="70" w:type="dxa"/>
              <w:start w:w="90" w:type="dxa"/>
              <w:bottom w:w="70" w:type="dxa"/>
              <w:end w:w="90" w:type="dxa"/>
            </w:tcMar>
            <w:vAlign w:val="top"/>
            <w:shd w:fill="F7F9FA"/>
          </w:tcPr>
          <w:p>
            <w:r>
              <w:rPr>
                <w:rFonts w:ascii="Noto Sans" w:hAnsi="Noto Sans" w:eastAsia="Noto Sans"/>
                <w:sz w:val="17"/>
              </w:rPr>
              <w:t>ouf-security</w:t>
            </w:r>
          </w:p>
        </w:tc>
        <w:tc>
          <w:tcPr>
            <w:tcW w:type="dxa" w:w="4608"/>
            <w:tcMar>
              <w:top w:w="70" w:type="dxa"/>
              <w:start w:w="90" w:type="dxa"/>
              <w:bottom w:w="70" w:type="dxa"/>
              <w:end w:w="90" w:type="dxa"/>
            </w:tcMar>
            <w:vAlign w:val="top"/>
            <w:shd w:fill="F7F9FA"/>
          </w:tcPr>
          <w:p>
            <w:r>
              <w:rPr>
                <w:rFonts w:ascii="Noto Sans" w:hAnsi="Noto Sans" w:eastAsia="Noto Sans"/>
                <w:sz w:val="17"/>
              </w:rPr>
              <w:t>OpenBao, cert-manager integration</w:t>
            </w:r>
          </w:p>
        </w:tc>
        <w:tc>
          <w:tcPr>
            <w:tcW w:type="dxa" w:w="5184"/>
            <w:tcMar>
              <w:top w:w="70" w:type="dxa"/>
              <w:start w:w="90" w:type="dxa"/>
              <w:bottom w:w="70" w:type="dxa"/>
              <w:end w:w="90" w:type="dxa"/>
            </w:tcMar>
            <w:vAlign w:val="top"/>
            <w:shd w:fill="F7F9FA"/>
          </w:tcPr>
          <w:p>
            <w:r>
              <w:rPr>
                <w:rFonts w:ascii="Noto Sans" w:hAnsi="Noto Sans" w:eastAsia="Noto Sans"/>
                <w:sz w:val="17"/>
              </w:rPr>
              <w:t>Security/platform team.</w:t>
            </w:r>
          </w:p>
        </w:tc>
      </w:tr>
      <w:tr>
        <w:trPr>
          <w:cantSplit/>
        </w:trPr>
        <w:tc>
          <w:tcPr>
            <w:tcW w:type="dxa" w:w="2160"/>
            <w:tcMar>
              <w:top w:w="70" w:type="dxa"/>
              <w:start w:w="90" w:type="dxa"/>
              <w:bottom w:w="70" w:type="dxa"/>
              <w:end w:w="90" w:type="dxa"/>
            </w:tcMar>
            <w:vAlign w:val="top"/>
          </w:tcPr>
          <w:p>
            <w:r>
              <w:rPr>
                <w:rFonts w:ascii="Noto Sans" w:hAnsi="Noto Sans" w:eastAsia="Noto Sans"/>
                <w:sz w:val="17"/>
              </w:rPr>
              <w:t>ouf-observability</w:t>
            </w:r>
          </w:p>
        </w:tc>
        <w:tc>
          <w:tcPr>
            <w:tcW w:type="dxa" w:w="4608"/>
            <w:tcMar>
              <w:top w:w="70" w:type="dxa"/>
              <w:start w:w="90" w:type="dxa"/>
              <w:bottom w:w="70" w:type="dxa"/>
              <w:end w:w="90" w:type="dxa"/>
            </w:tcMar>
            <w:vAlign w:val="top"/>
          </w:tcPr>
          <w:p>
            <w:r>
              <w:rPr>
                <w:rFonts w:ascii="Noto Sans" w:hAnsi="Noto Sans" w:eastAsia="Noto Sans"/>
                <w:sz w:val="17"/>
              </w:rPr>
              <w:t>OTel Collector, Prometheus exporters/agent</w:t>
            </w:r>
          </w:p>
        </w:tc>
        <w:tc>
          <w:tcPr>
            <w:tcW w:type="dxa" w:w="5184"/>
            <w:tcMar>
              <w:top w:w="70" w:type="dxa"/>
              <w:start w:w="90" w:type="dxa"/>
              <w:bottom w:w="70" w:type="dxa"/>
              <w:end w:w="90" w:type="dxa"/>
            </w:tcMar>
            <w:vAlign w:val="top"/>
          </w:tcPr>
          <w:p>
            <w:r>
              <w:rPr>
                <w:rFonts w:ascii="Noto Sans" w:hAnsi="Noto Sans" w:eastAsia="Noto Sans"/>
                <w:sz w:val="17"/>
              </w:rPr>
              <w:t>Operations.</w:t>
            </w:r>
          </w:p>
        </w:tc>
      </w:tr>
      <w:tr>
        <w:trPr>
          <w:cantSplit/>
        </w:trPr>
        <w:tc>
          <w:tcPr>
            <w:tcW w:type="dxa" w:w="2160"/>
            <w:tcMar>
              <w:top w:w="70" w:type="dxa"/>
              <w:start w:w="90" w:type="dxa"/>
              <w:bottom w:w="70" w:type="dxa"/>
              <w:end w:w="90" w:type="dxa"/>
            </w:tcMar>
            <w:vAlign w:val="top"/>
            <w:shd w:fill="F7F9FA"/>
          </w:tcPr>
          <w:p>
            <w:r>
              <w:rPr>
                <w:rFonts w:ascii="Noto Sans" w:hAnsi="Noto Sans" w:eastAsia="Noto Sans"/>
                <w:sz w:val="17"/>
              </w:rPr>
              <w:t>ouf-core</w:t>
            </w:r>
          </w:p>
        </w:tc>
        <w:tc>
          <w:tcPr>
            <w:tcW w:type="dxa" w:w="4608"/>
            <w:tcMar>
              <w:top w:w="70" w:type="dxa"/>
              <w:start w:w="90" w:type="dxa"/>
              <w:bottom w:w="70" w:type="dxa"/>
              <w:end w:w="90" w:type="dxa"/>
            </w:tcMar>
            <w:vAlign w:val="top"/>
            <w:shd w:fill="F7F9FA"/>
          </w:tcPr>
          <w:p>
            <w:r>
              <w:rPr>
                <w:rFonts w:ascii="Noto Sans" w:hAnsi="Noto Sans" w:eastAsia="Noto Sans"/>
                <w:sz w:val="17"/>
              </w:rPr>
              <w:t>Connector Framework, ETL, UDP services</w:t>
            </w:r>
          </w:p>
        </w:tc>
        <w:tc>
          <w:tcPr>
            <w:tcW w:type="dxa" w:w="5184"/>
            <w:tcMar>
              <w:top w:w="70" w:type="dxa"/>
              <w:start w:w="90" w:type="dxa"/>
              <w:bottom w:w="70" w:type="dxa"/>
              <w:end w:w="90" w:type="dxa"/>
            </w:tcMar>
            <w:vAlign w:val="top"/>
            <w:shd w:fill="F7F9FA"/>
          </w:tcPr>
          <w:p>
            <w:r>
              <w:rPr>
                <w:rFonts w:ascii="Noto Sans" w:hAnsi="Noto Sans" w:eastAsia="Noto Sans"/>
                <w:sz w:val="17"/>
              </w:rPr>
              <w:t>Workload OUF autorizzati.</w:t>
            </w:r>
          </w:p>
        </w:tc>
      </w:tr>
      <w:tr>
        <w:trPr>
          <w:cantSplit/>
        </w:trPr>
        <w:tc>
          <w:tcPr>
            <w:tcW w:type="dxa" w:w="2160"/>
            <w:tcMar>
              <w:top w:w="70" w:type="dxa"/>
              <w:start w:w="90" w:type="dxa"/>
              <w:bottom w:w="70" w:type="dxa"/>
              <w:end w:w="90" w:type="dxa"/>
            </w:tcMar>
            <w:vAlign w:val="top"/>
          </w:tcPr>
          <w:p>
            <w:r>
              <w:rPr>
                <w:rFonts w:ascii="Noto Sans" w:hAnsi="Noto Sans" w:eastAsia="Noto Sans"/>
                <w:sz w:val="17"/>
              </w:rPr>
              <w:t>argocd</w:t>
            </w:r>
          </w:p>
        </w:tc>
        <w:tc>
          <w:tcPr>
            <w:tcW w:type="dxa" w:w="4608"/>
            <w:tcMar>
              <w:top w:w="70" w:type="dxa"/>
              <w:start w:w="90" w:type="dxa"/>
              <w:bottom w:w="70" w:type="dxa"/>
              <w:end w:w="90" w:type="dxa"/>
            </w:tcMar>
            <w:vAlign w:val="top"/>
          </w:tcPr>
          <w:p>
            <w:r>
              <w:rPr>
                <w:rFonts w:ascii="Noto Sans" w:hAnsi="Noto Sans" w:eastAsia="Noto Sans"/>
                <w:sz w:val="17"/>
              </w:rPr>
              <w:t>Argo CD</w:t>
            </w:r>
          </w:p>
        </w:tc>
        <w:tc>
          <w:tcPr>
            <w:tcW w:type="dxa" w:w="5184"/>
            <w:tcMar>
              <w:top w:w="70" w:type="dxa"/>
              <w:start w:w="90" w:type="dxa"/>
              <w:bottom w:w="70" w:type="dxa"/>
              <w:end w:w="90" w:type="dxa"/>
            </w:tcMar>
            <w:vAlign w:val="top"/>
          </w:tcPr>
          <w:p>
            <w:r>
              <w:rPr>
                <w:rFonts w:ascii="Noto Sans" w:hAnsi="Noto Sans" w:eastAsia="Noto Sans"/>
                <w:sz w:val="17"/>
              </w:rPr>
              <w:t>DevSecOps/Platform.</w:t>
            </w:r>
          </w:p>
        </w:tc>
      </w:tr>
    </w:tbl>
    <w:p>
      <w:pPr>
        <w:pStyle w:val="ListBullet"/>
      </w:pPr>
      <w:r>
        <w:rPr>
          <w:rFonts w:ascii="Noto Sans" w:hAnsi="Noto Sans" w:eastAsia="Noto Sans"/>
        </w:rPr>
        <w:t>Pod Security Admission: restricted per i namespace applicativi; eccezioni motivate e versionate.</w:t>
      </w:r>
    </w:p>
    <w:p>
      <w:pPr>
        <w:pStyle w:val="ListBullet"/>
      </w:pPr>
      <w:r>
        <w:rPr>
          <w:rFonts w:ascii="Noto Sans" w:hAnsi="Noto Sans" w:eastAsia="Noto Sans"/>
        </w:rPr>
        <w:t>NetworkPolicy default-deny ingress/egress; aperture esplicite per route necessarie.</w:t>
      </w:r>
    </w:p>
    <w:p>
      <w:pPr>
        <w:pStyle w:val="ListBullet"/>
      </w:pPr>
      <w:r>
        <w:rPr>
          <w:rFonts w:ascii="Noto Sans" w:hAnsi="Noto Sans" w:eastAsia="Noto Sans"/>
        </w:rPr>
        <w:t>ServiceAccount dedicato per ciascun componente; nessun uso del default service account.</w:t>
      </w:r>
    </w:p>
    <w:p>
      <w:pPr>
        <w:pStyle w:val="ListBullet"/>
      </w:pPr>
      <w:r>
        <w:rPr>
          <w:rFonts w:ascii="Noto Sans" w:hAnsi="Noto Sans" w:eastAsia="Noto Sans"/>
        </w:rPr>
        <w:t>ResourceQuota e LimitRange per namespace per impedire consumo incontrollato.</w:t>
      </w:r>
    </w:p>
    <w:p>
      <w:pPr>
        <w:pStyle w:val="ListBullet"/>
      </w:pPr>
      <w:r>
        <w:rPr>
          <w:rFonts w:ascii="Noto Sans" w:hAnsi="Noto Sans" w:eastAsia="Noto Sans"/>
        </w:rPr>
        <w:t>Immagini container ammesse solo da registry approvato e con digest pinning in produzione.</w:t>
      </w:r>
    </w:p>
    <w:p>
      <w:pPr>
        <w:pStyle w:val="Heading1"/>
        <w:keepNext/>
        <w:spacing w:before="160"/>
      </w:pPr>
      <w:r>
        <w:rPr>
          <w:rFonts w:ascii="Noto Sans" w:hAnsi="Noto Sans" w:eastAsia="Noto Sans"/>
        </w:rPr>
        <w:t>T4. Rete, DNS e porte</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blHeader w:val="true"/>
          <w:cantSplit/>
        </w:trPr>
        <w:tc>
          <w:tcPr>
            <w:tcW w:type="dxa" w:w="2016"/>
            <w:shd w:fill="0B5A73"/>
            <w:vAlign w:val="center"/>
            <w:tcMar>
              <w:top w:w="70" w:type="dxa"/>
              <w:start w:w="90" w:type="dxa"/>
              <w:bottom w:w="70" w:type="dxa"/>
              <w:end w:w="90" w:type="dxa"/>
            </w:tcMar>
          </w:tcPr>
          <w:p>
            <w:r>
              <w:rPr>
                <w:rFonts w:ascii="Noto Sans" w:hAnsi="Noto Sans" w:eastAsia="Noto Sans"/>
                <w:sz w:val="17"/>
              </w:rPr>
              <w:t>Flusso</w:t>
            </w:r>
          </w:p>
        </w:tc>
        <w:tc>
          <w:tcPr>
            <w:tcW w:type="dxa" w:w="1872"/>
            <w:shd w:fill="0B5A73"/>
            <w:vAlign w:val="center"/>
            <w:tcMar>
              <w:top w:w="70" w:type="dxa"/>
              <w:start w:w="90" w:type="dxa"/>
              <w:bottom w:w="70" w:type="dxa"/>
              <w:end w:w="90" w:type="dxa"/>
            </w:tcMar>
          </w:tcPr>
          <w:p>
            <w:r>
              <w:rPr>
                <w:rFonts w:ascii="Noto Sans" w:hAnsi="Noto Sans" w:eastAsia="Noto Sans"/>
                <w:sz w:val="17"/>
              </w:rPr>
              <w:t>Porta/protocollo</w:t>
            </w:r>
          </w:p>
        </w:tc>
        <w:tc>
          <w:tcPr>
            <w:tcW w:type="dxa" w:w="2592"/>
            <w:shd w:fill="0B5A73"/>
            <w:vAlign w:val="center"/>
            <w:tcMar>
              <w:top w:w="70" w:type="dxa"/>
              <w:start w:w="90" w:type="dxa"/>
              <w:bottom w:w="70" w:type="dxa"/>
              <w:end w:w="90" w:type="dxa"/>
            </w:tcMar>
          </w:tcPr>
          <w:p>
            <w:r>
              <w:rPr>
                <w:rFonts w:ascii="Noto Sans" w:hAnsi="Noto Sans" w:eastAsia="Noto Sans"/>
                <w:sz w:val="17"/>
              </w:rPr>
              <w:t>Origine</w:t>
            </w:r>
          </w:p>
        </w:tc>
        <w:tc>
          <w:tcPr>
            <w:tcW w:type="dxa" w:w="2880"/>
            <w:shd w:fill="0B5A73"/>
            <w:vAlign w:val="center"/>
            <w:tcMar>
              <w:top w:w="70" w:type="dxa"/>
              <w:start w:w="90" w:type="dxa"/>
              <w:bottom w:w="70" w:type="dxa"/>
              <w:end w:w="90" w:type="dxa"/>
            </w:tcMar>
          </w:tcPr>
          <w:p>
            <w:r>
              <w:rPr>
                <w:rFonts w:ascii="Noto Sans" w:hAnsi="Noto Sans" w:eastAsia="Noto Sans"/>
                <w:sz w:val="17"/>
              </w:rPr>
              <w:t>Destinazione</w:t>
            </w:r>
          </w:p>
        </w:tc>
        <w:tc>
          <w:tcPr>
            <w:tcW w:type="dxa" w:w="3168"/>
            <w:shd w:fill="0B5A73"/>
            <w:vAlign w:val="center"/>
            <w:tcMar>
              <w:top w:w="70" w:type="dxa"/>
              <w:start w:w="90" w:type="dxa"/>
              <w:bottom w:w="70" w:type="dxa"/>
              <w:end w:w="90" w:type="dxa"/>
            </w:tcMar>
          </w:tcPr>
          <w:p>
            <w:r>
              <w:rPr>
                <w:rFonts w:ascii="Noto Sans" w:hAnsi="Noto Sans" w:eastAsia="Noto Sans"/>
                <w:sz w:val="17"/>
              </w:rPr>
              <w:t>Regola</w:t>
            </w:r>
          </w:p>
        </w:tc>
      </w:tr>
      <w:tr>
        <w:trPr>
          <w:cantSplit/>
        </w:trPr>
        <w:tc>
          <w:tcPr>
            <w:tcW w:type="dxa" w:w="2016"/>
            <w:tcMar>
              <w:top w:w="70" w:type="dxa"/>
              <w:start w:w="90" w:type="dxa"/>
              <w:bottom w:w="70" w:type="dxa"/>
              <w:end w:w="90" w:type="dxa"/>
            </w:tcMar>
            <w:vAlign w:val="top"/>
          </w:tcPr>
          <w:p>
            <w:r>
              <w:rPr>
                <w:rFonts w:ascii="Noto Sans" w:hAnsi="Noto Sans" w:eastAsia="Noto Sans"/>
                <w:sz w:val="17"/>
              </w:rPr>
              <w:t>Northbound HTTPS</w:t>
            </w:r>
          </w:p>
        </w:tc>
        <w:tc>
          <w:tcPr>
            <w:tcW w:type="dxa" w:w="1872"/>
            <w:tcMar>
              <w:top w:w="70" w:type="dxa"/>
              <w:start w:w="90" w:type="dxa"/>
              <w:bottom w:w="70" w:type="dxa"/>
              <w:end w:w="90" w:type="dxa"/>
            </w:tcMar>
            <w:vAlign w:val="top"/>
          </w:tcPr>
          <w:p>
            <w:r>
              <w:rPr>
                <w:rFonts w:ascii="Noto Sans" w:hAnsi="Noto Sans" w:eastAsia="Noto Sans"/>
                <w:sz w:val="17"/>
              </w:rPr>
              <w:t>443/TCP</w:t>
            </w:r>
          </w:p>
        </w:tc>
        <w:tc>
          <w:tcPr>
            <w:tcW w:type="dxa" w:w="2592"/>
            <w:tcMar>
              <w:top w:w="70" w:type="dxa"/>
              <w:start w:w="90" w:type="dxa"/>
              <w:bottom w:w="70" w:type="dxa"/>
              <w:end w:w="90" w:type="dxa"/>
            </w:tcMar>
            <w:vAlign w:val="top"/>
          </w:tcPr>
          <w:p>
            <w:r>
              <w:rPr>
                <w:rFonts w:ascii="Noto Sans" w:hAnsi="Noto Sans" w:eastAsia="Noto Sans"/>
                <w:sz w:val="17"/>
              </w:rPr>
              <w:t>Reti esterne autorizzate</w:t>
            </w:r>
          </w:p>
        </w:tc>
        <w:tc>
          <w:tcPr>
            <w:tcW w:type="dxa" w:w="2880"/>
            <w:tcMar>
              <w:top w:w="70" w:type="dxa"/>
              <w:start w:w="90" w:type="dxa"/>
              <w:bottom w:w="70" w:type="dxa"/>
              <w:end w:w="90" w:type="dxa"/>
            </w:tcMar>
            <w:vAlign w:val="top"/>
          </w:tcPr>
          <w:p>
            <w:r>
              <w:rPr>
                <w:rFonts w:ascii="Noto Sans" w:hAnsi="Noto Sans" w:eastAsia="Noto Sans"/>
                <w:sz w:val="17"/>
              </w:rPr>
              <w:t>LB -&gt; APISIX northbound</w:t>
            </w:r>
          </w:p>
        </w:tc>
        <w:tc>
          <w:tcPr>
            <w:tcW w:type="dxa" w:w="3168"/>
            <w:tcMar>
              <w:top w:w="70" w:type="dxa"/>
              <w:start w:w="90" w:type="dxa"/>
              <w:bottom w:w="70" w:type="dxa"/>
              <w:end w:w="90" w:type="dxa"/>
            </w:tcMar>
            <w:vAlign w:val="top"/>
          </w:tcPr>
          <w:p>
            <w:r>
              <w:rPr>
                <w:rFonts w:ascii="Noto Sans" w:hAnsi="Noto Sans" w:eastAsia="Noto Sans"/>
                <w:sz w:val="17"/>
              </w:rPr>
              <w:t>Unico ingresso applicativo pubblico.</w:t>
            </w:r>
          </w:p>
        </w:tc>
      </w:tr>
      <w:tr>
        <w:trPr>
          <w:cantSplit/>
        </w:trPr>
        <w:tc>
          <w:tcPr>
            <w:tcW w:type="dxa" w:w="2016"/>
            <w:tcMar>
              <w:top w:w="70" w:type="dxa"/>
              <w:start w:w="90" w:type="dxa"/>
              <w:bottom w:w="70" w:type="dxa"/>
              <w:end w:w="90" w:type="dxa"/>
            </w:tcMar>
            <w:vAlign w:val="top"/>
            <w:shd w:fill="F7F9FA"/>
          </w:tcPr>
          <w:p>
            <w:r>
              <w:rPr>
                <w:rFonts w:ascii="Noto Sans" w:hAnsi="Noto Sans" w:eastAsia="Noto Sans"/>
                <w:sz w:val="17"/>
              </w:rPr>
              <w:t>Southbound HTTPS</w:t>
            </w:r>
          </w:p>
        </w:tc>
        <w:tc>
          <w:tcPr>
            <w:tcW w:type="dxa" w:w="1872"/>
            <w:tcMar>
              <w:top w:w="70" w:type="dxa"/>
              <w:start w:w="90" w:type="dxa"/>
              <w:bottom w:w="70" w:type="dxa"/>
              <w:end w:w="90" w:type="dxa"/>
            </w:tcMar>
            <w:vAlign w:val="top"/>
            <w:shd w:fill="F7F9FA"/>
          </w:tcPr>
          <w:p>
            <w:r>
              <w:rPr>
                <w:rFonts w:ascii="Noto Sans" w:hAnsi="Noto Sans" w:eastAsia="Noto Sans"/>
                <w:sz w:val="17"/>
              </w:rPr>
              <w:t>443/TCP</w:t>
            </w:r>
          </w:p>
        </w:tc>
        <w:tc>
          <w:tcPr>
            <w:tcW w:type="dxa" w:w="2592"/>
            <w:tcMar>
              <w:top w:w="70" w:type="dxa"/>
              <w:start w:w="90" w:type="dxa"/>
              <w:bottom w:w="70" w:type="dxa"/>
              <w:end w:w="90" w:type="dxa"/>
            </w:tcMar>
            <w:vAlign w:val="top"/>
            <w:shd w:fill="F7F9FA"/>
          </w:tcPr>
          <w:p>
            <w:r>
              <w:rPr>
                <w:rFonts w:ascii="Noto Sans" w:hAnsi="Noto Sans" w:eastAsia="Noto Sans"/>
                <w:sz w:val="17"/>
              </w:rPr>
              <w:t>APISIX southbound</w:t>
            </w:r>
          </w:p>
        </w:tc>
        <w:tc>
          <w:tcPr>
            <w:tcW w:type="dxa" w:w="2880"/>
            <w:tcMar>
              <w:top w:w="70" w:type="dxa"/>
              <w:start w:w="90" w:type="dxa"/>
              <w:bottom w:w="70" w:type="dxa"/>
              <w:end w:w="90" w:type="dxa"/>
            </w:tcMar>
            <w:vAlign w:val="top"/>
            <w:shd w:fill="F7F9FA"/>
          </w:tcPr>
          <w:p>
            <w:r>
              <w:rPr>
                <w:rFonts w:ascii="Noto Sans" w:hAnsi="Noto Sans" w:eastAsia="Noto Sans"/>
                <w:sz w:val="17"/>
              </w:rPr>
              <w:t>Verticali/WebGIS allowlist</w:t>
            </w:r>
          </w:p>
        </w:tc>
        <w:tc>
          <w:tcPr>
            <w:tcW w:type="dxa" w:w="3168"/>
            <w:tcMar>
              <w:top w:w="70" w:type="dxa"/>
              <w:start w:w="90" w:type="dxa"/>
              <w:bottom w:w="70" w:type="dxa"/>
              <w:end w:w="90" w:type="dxa"/>
            </w:tcMar>
            <w:vAlign w:val="top"/>
            <w:shd w:fill="F7F9FA"/>
          </w:tcPr>
          <w:p>
            <w:r>
              <w:rPr>
                <w:rFonts w:ascii="Noto Sans" w:hAnsi="Noto Sans" w:eastAsia="Noto Sans"/>
                <w:sz w:val="17"/>
              </w:rPr>
              <w:t>Solo destinazioni registrate.</w:t>
            </w:r>
          </w:p>
        </w:tc>
      </w:tr>
      <w:tr>
        <w:trPr>
          <w:cantSplit/>
        </w:trPr>
        <w:tc>
          <w:tcPr>
            <w:tcW w:type="dxa" w:w="2016"/>
            <w:tcMar>
              <w:top w:w="70" w:type="dxa"/>
              <w:start w:w="90" w:type="dxa"/>
              <w:bottom w:w="70" w:type="dxa"/>
              <w:end w:w="90" w:type="dxa"/>
            </w:tcMar>
            <w:vAlign w:val="top"/>
          </w:tcPr>
          <w:p>
            <w:r>
              <w:rPr>
                <w:rFonts w:ascii="Noto Sans" w:hAnsi="Noto Sans" w:eastAsia="Noto Sans"/>
                <w:sz w:val="17"/>
              </w:rPr>
              <w:t>APISIX Admin API</w:t>
            </w:r>
          </w:p>
        </w:tc>
        <w:tc>
          <w:tcPr>
            <w:tcW w:type="dxa" w:w="1872"/>
            <w:tcMar>
              <w:top w:w="70" w:type="dxa"/>
              <w:start w:w="90" w:type="dxa"/>
              <w:bottom w:w="70" w:type="dxa"/>
              <w:end w:w="90" w:type="dxa"/>
            </w:tcMar>
            <w:vAlign w:val="top"/>
          </w:tcPr>
          <w:p>
            <w:r>
              <w:rPr>
                <w:rFonts w:ascii="Noto Sans" w:hAnsi="Noto Sans" w:eastAsia="Noto Sans"/>
                <w:sz w:val="17"/>
              </w:rPr>
              <w:t>9180/TCP</w:t>
            </w:r>
          </w:p>
        </w:tc>
        <w:tc>
          <w:tcPr>
            <w:tcW w:type="dxa" w:w="2592"/>
            <w:tcMar>
              <w:top w:w="70" w:type="dxa"/>
              <w:start w:w="90" w:type="dxa"/>
              <w:bottom w:w="70" w:type="dxa"/>
              <w:end w:w="90" w:type="dxa"/>
            </w:tcMar>
            <w:vAlign w:val="top"/>
          </w:tcPr>
          <w:p>
            <w:r>
              <w:rPr>
                <w:rFonts w:ascii="Noto Sans" w:hAnsi="Noto Sans" w:eastAsia="Noto Sans"/>
                <w:sz w:val="17"/>
              </w:rPr>
              <w:t>Ingress Controller/control plane</w:t>
            </w:r>
          </w:p>
        </w:tc>
        <w:tc>
          <w:tcPr>
            <w:tcW w:type="dxa" w:w="2880"/>
            <w:tcMar>
              <w:top w:w="70" w:type="dxa"/>
              <w:start w:w="90" w:type="dxa"/>
              <w:bottom w:w="70" w:type="dxa"/>
              <w:end w:w="90" w:type="dxa"/>
            </w:tcMar>
            <w:vAlign w:val="top"/>
          </w:tcPr>
          <w:p>
            <w:r>
              <w:rPr>
                <w:rFonts w:ascii="Noto Sans" w:hAnsi="Noto Sans" w:eastAsia="Noto Sans"/>
                <w:sz w:val="17"/>
              </w:rPr>
              <w:t>APISIX control-plane</w:t>
            </w:r>
          </w:p>
        </w:tc>
        <w:tc>
          <w:tcPr>
            <w:tcW w:type="dxa" w:w="3168"/>
            <w:tcMar>
              <w:top w:w="70" w:type="dxa"/>
              <w:start w:w="90" w:type="dxa"/>
              <w:bottom w:w="70" w:type="dxa"/>
              <w:end w:w="90" w:type="dxa"/>
            </w:tcMar>
            <w:vAlign w:val="top"/>
          </w:tcPr>
          <w:p>
            <w:r>
              <w:rPr>
                <w:rFonts w:ascii="Noto Sans" w:hAnsi="Noto Sans" w:eastAsia="Noto Sans"/>
                <w:sz w:val="17"/>
              </w:rPr>
              <w:t>Mai esposto fuori cluster.</w:t>
            </w:r>
          </w:p>
        </w:tc>
      </w:tr>
      <w:tr>
        <w:trPr>
          <w:cantSplit/>
        </w:trPr>
        <w:tc>
          <w:tcPr>
            <w:tcW w:type="dxa" w:w="2016"/>
            <w:tcMar>
              <w:top w:w="70" w:type="dxa"/>
              <w:start w:w="90" w:type="dxa"/>
              <w:bottom w:w="70" w:type="dxa"/>
              <w:end w:w="90" w:type="dxa"/>
            </w:tcMar>
            <w:vAlign w:val="top"/>
            <w:shd w:fill="F7F9FA"/>
          </w:tcPr>
          <w:p>
            <w:r>
              <w:rPr>
                <w:rFonts w:ascii="Noto Sans" w:hAnsi="Noto Sans" w:eastAsia="Noto Sans"/>
                <w:sz w:val="17"/>
              </w:rPr>
              <w:t>APISIX data plane interno</w:t>
            </w:r>
          </w:p>
        </w:tc>
        <w:tc>
          <w:tcPr>
            <w:tcW w:type="dxa" w:w="1872"/>
            <w:tcMar>
              <w:top w:w="70" w:type="dxa"/>
              <w:start w:w="90" w:type="dxa"/>
              <w:bottom w:w="70" w:type="dxa"/>
              <w:end w:w="90" w:type="dxa"/>
            </w:tcMar>
            <w:vAlign w:val="top"/>
            <w:shd w:fill="F7F9FA"/>
          </w:tcPr>
          <w:p>
            <w:r>
              <w:rPr>
                <w:rFonts w:ascii="Noto Sans" w:hAnsi="Noto Sans" w:eastAsia="Noto Sans"/>
                <w:sz w:val="17"/>
              </w:rPr>
              <w:t>9080/TCP</w:t>
            </w:r>
          </w:p>
        </w:tc>
        <w:tc>
          <w:tcPr>
            <w:tcW w:type="dxa" w:w="2592"/>
            <w:tcMar>
              <w:top w:w="70" w:type="dxa"/>
              <w:start w:w="90" w:type="dxa"/>
              <w:bottom w:w="70" w:type="dxa"/>
              <w:end w:w="90" w:type="dxa"/>
            </w:tcMar>
            <w:vAlign w:val="top"/>
            <w:shd w:fill="F7F9FA"/>
          </w:tcPr>
          <w:p>
            <w:r>
              <w:rPr>
                <w:rFonts w:ascii="Noto Sans" w:hAnsi="Noto Sans" w:eastAsia="Noto Sans"/>
                <w:sz w:val="17"/>
              </w:rPr>
              <w:t>LB/service</w:t>
            </w:r>
          </w:p>
        </w:tc>
        <w:tc>
          <w:tcPr>
            <w:tcW w:type="dxa" w:w="2880"/>
            <w:tcMar>
              <w:top w:w="70" w:type="dxa"/>
              <w:start w:w="90" w:type="dxa"/>
              <w:bottom w:w="70" w:type="dxa"/>
              <w:end w:w="90" w:type="dxa"/>
            </w:tcMar>
            <w:vAlign w:val="top"/>
            <w:shd w:fill="F7F9FA"/>
          </w:tcPr>
          <w:p>
            <w:r>
              <w:rPr>
                <w:rFonts w:ascii="Noto Sans" w:hAnsi="Noto Sans" w:eastAsia="Noto Sans"/>
                <w:sz w:val="17"/>
              </w:rPr>
              <w:t>APISIX pod</w:t>
            </w:r>
          </w:p>
        </w:tc>
        <w:tc>
          <w:tcPr>
            <w:tcW w:type="dxa" w:w="3168"/>
            <w:tcMar>
              <w:top w:w="70" w:type="dxa"/>
              <w:start w:w="90" w:type="dxa"/>
              <w:bottom w:w="70" w:type="dxa"/>
              <w:end w:w="90" w:type="dxa"/>
            </w:tcMar>
            <w:vAlign w:val="top"/>
            <w:shd w:fill="F7F9FA"/>
          </w:tcPr>
          <w:p>
            <w:r>
              <w:rPr>
                <w:rFonts w:ascii="Noto Sans" w:hAnsi="Noto Sans" w:eastAsia="Noto Sans"/>
                <w:sz w:val="17"/>
              </w:rPr>
              <w:t>Porta interna, non pubblicata direttamente.</w:t>
            </w:r>
          </w:p>
        </w:tc>
      </w:tr>
      <w:tr>
        <w:trPr>
          <w:cantSplit/>
        </w:trPr>
        <w:tc>
          <w:tcPr>
            <w:tcW w:type="dxa" w:w="2016"/>
            <w:tcMar>
              <w:top w:w="70" w:type="dxa"/>
              <w:start w:w="90" w:type="dxa"/>
              <w:bottom w:w="70" w:type="dxa"/>
              <w:end w:w="90" w:type="dxa"/>
            </w:tcMar>
            <w:vAlign w:val="top"/>
          </w:tcPr>
          <w:p>
            <w:r>
              <w:rPr>
                <w:rFonts w:ascii="Noto Sans" w:hAnsi="Noto Sans" w:eastAsia="Noto Sans"/>
                <w:sz w:val="17"/>
              </w:rPr>
              <w:t>Prometheus metrics</w:t>
            </w:r>
          </w:p>
        </w:tc>
        <w:tc>
          <w:tcPr>
            <w:tcW w:type="dxa" w:w="1872"/>
            <w:tcMar>
              <w:top w:w="70" w:type="dxa"/>
              <w:start w:w="90" w:type="dxa"/>
              <w:bottom w:w="70" w:type="dxa"/>
              <w:end w:w="90" w:type="dxa"/>
            </w:tcMar>
            <w:vAlign w:val="top"/>
          </w:tcPr>
          <w:p>
            <w:r>
              <w:rPr>
                <w:rFonts w:ascii="Noto Sans" w:hAnsi="Noto Sans" w:eastAsia="Noto Sans"/>
                <w:sz w:val="17"/>
              </w:rPr>
              <w:t>9091/TCP o endpoint dedicato</w:t>
            </w:r>
          </w:p>
        </w:tc>
        <w:tc>
          <w:tcPr>
            <w:tcW w:type="dxa" w:w="2592"/>
            <w:tcMar>
              <w:top w:w="70" w:type="dxa"/>
              <w:start w:w="90" w:type="dxa"/>
              <w:bottom w:w="70" w:type="dxa"/>
              <w:end w:w="90" w:type="dxa"/>
            </w:tcMar>
            <w:vAlign w:val="top"/>
          </w:tcPr>
          <w:p>
            <w:r>
              <w:rPr>
                <w:rFonts w:ascii="Noto Sans" w:hAnsi="Noto Sans" w:eastAsia="Noto Sans"/>
                <w:sz w:val="17"/>
              </w:rPr>
              <w:t>Prometheus</w:t>
            </w:r>
          </w:p>
        </w:tc>
        <w:tc>
          <w:tcPr>
            <w:tcW w:type="dxa" w:w="2880"/>
            <w:tcMar>
              <w:top w:w="70" w:type="dxa"/>
              <w:start w:w="90" w:type="dxa"/>
              <w:bottom w:w="70" w:type="dxa"/>
              <w:end w:w="90" w:type="dxa"/>
            </w:tcMar>
            <w:vAlign w:val="top"/>
          </w:tcPr>
          <w:p>
            <w:r>
              <w:rPr>
                <w:rFonts w:ascii="Noto Sans" w:hAnsi="Noto Sans" w:eastAsia="Noto Sans"/>
                <w:sz w:val="17"/>
              </w:rPr>
              <w:t>APISIX</w:t>
            </w:r>
          </w:p>
        </w:tc>
        <w:tc>
          <w:tcPr>
            <w:tcW w:type="dxa" w:w="3168"/>
            <w:tcMar>
              <w:top w:w="70" w:type="dxa"/>
              <w:start w:w="90" w:type="dxa"/>
              <w:bottom w:w="70" w:type="dxa"/>
              <w:end w:w="90" w:type="dxa"/>
            </w:tcMar>
            <w:vAlign w:val="top"/>
          </w:tcPr>
          <w:p>
            <w:r>
              <w:rPr>
                <w:rFonts w:ascii="Noto Sans" w:hAnsi="Noto Sans" w:eastAsia="Noto Sans"/>
                <w:sz w:val="17"/>
              </w:rPr>
              <w:t>Solo rete osservabilita.</w:t>
            </w:r>
          </w:p>
        </w:tc>
      </w:tr>
      <w:tr>
        <w:trPr>
          <w:cantSplit/>
        </w:trPr>
        <w:tc>
          <w:tcPr>
            <w:tcW w:type="dxa" w:w="2016"/>
            <w:tcMar>
              <w:top w:w="70" w:type="dxa"/>
              <w:start w:w="90" w:type="dxa"/>
              <w:bottom w:w="70" w:type="dxa"/>
              <w:end w:w="90" w:type="dxa"/>
            </w:tcMar>
            <w:vAlign w:val="top"/>
            <w:shd w:fill="F7F9FA"/>
          </w:tcPr>
          <w:p>
            <w:r>
              <w:rPr>
                <w:rFonts w:ascii="Noto Sans" w:hAnsi="Noto Sans" w:eastAsia="Noto Sans"/>
                <w:sz w:val="17"/>
              </w:rPr>
              <w:t>OTLP/HTTP</w:t>
            </w:r>
          </w:p>
        </w:tc>
        <w:tc>
          <w:tcPr>
            <w:tcW w:type="dxa" w:w="1872"/>
            <w:tcMar>
              <w:top w:w="70" w:type="dxa"/>
              <w:start w:w="90" w:type="dxa"/>
              <w:bottom w:w="70" w:type="dxa"/>
              <w:end w:w="90" w:type="dxa"/>
            </w:tcMar>
            <w:vAlign w:val="top"/>
            <w:shd w:fill="F7F9FA"/>
          </w:tcPr>
          <w:p>
            <w:r>
              <w:rPr>
                <w:rFonts w:ascii="Noto Sans" w:hAnsi="Noto Sans" w:eastAsia="Noto Sans"/>
                <w:sz w:val="17"/>
              </w:rPr>
              <w:t>4318/TCP</w:t>
            </w:r>
          </w:p>
        </w:tc>
        <w:tc>
          <w:tcPr>
            <w:tcW w:type="dxa" w:w="2592"/>
            <w:tcMar>
              <w:top w:w="70" w:type="dxa"/>
              <w:start w:w="90" w:type="dxa"/>
              <w:bottom w:w="70" w:type="dxa"/>
              <w:end w:w="90" w:type="dxa"/>
            </w:tcMar>
            <w:vAlign w:val="top"/>
            <w:shd w:fill="F7F9FA"/>
          </w:tcPr>
          <w:p>
            <w:r>
              <w:rPr>
                <w:rFonts w:ascii="Noto Sans" w:hAnsi="Noto Sans" w:eastAsia="Noto Sans"/>
                <w:sz w:val="17"/>
              </w:rPr>
              <w:t>APISIX</w:t>
            </w:r>
          </w:p>
        </w:tc>
        <w:tc>
          <w:tcPr>
            <w:tcW w:type="dxa" w:w="2880"/>
            <w:tcMar>
              <w:top w:w="70" w:type="dxa"/>
              <w:start w:w="90" w:type="dxa"/>
              <w:bottom w:w="70" w:type="dxa"/>
              <w:end w:w="90" w:type="dxa"/>
            </w:tcMar>
            <w:vAlign w:val="top"/>
            <w:shd w:fill="F7F9FA"/>
          </w:tcPr>
          <w:p>
            <w:r>
              <w:rPr>
                <w:rFonts w:ascii="Noto Sans" w:hAnsi="Noto Sans" w:eastAsia="Noto Sans"/>
                <w:sz w:val="17"/>
              </w:rPr>
              <w:t>OTel Collector</w:t>
            </w:r>
          </w:p>
        </w:tc>
        <w:tc>
          <w:tcPr>
            <w:tcW w:type="dxa" w:w="3168"/>
            <w:tcMar>
              <w:top w:w="70" w:type="dxa"/>
              <w:start w:w="90" w:type="dxa"/>
              <w:bottom w:w="70" w:type="dxa"/>
              <w:end w:w="90" w:type="dxa"/>
            </w:tcMar>
            <w:vAlign w:val="top"/>
            <w:shd w:fill="F7F9FA"/>
          </w:tcPr>
          <w:p>
            <w:r>
              <w:rPr>
                <w:rFonts w:ascii="Noto Sans" w:hAnsi="Noto Sans" w:eastAsia="Noto Sans"/>
                <w:sz w:val="17"/>
              </w:rPr>
              <w:t>Solo interno cluster.</w:t>
            </w:r>
          </w:p>
        </w:tc>
      </w:tr>
      <w:tr>
        <w:trPr>
          <w:cantSplit/>
        </w:trPr>
        <w:tc>
          <w:tcPr>
            <w:tcW w:type="dxa" w:w="2016"/>
            <w:tcMar>
              <w:top w:w="70" w:type="dxa"/>
              <w:start w:w="90" w:type="dxa"/>
              <w:bottom w:w="70" w:type="dxa"/>
              <w:end w:w="90" w:type="dxa"/>
            </w:tcMar>
            <w:vAlign w:val="top"/>
          </w:tcPr>
          <w:p>
            <w:r>
              <w:rPr>
                <w:rFonts w:ascii="Noto Sans" w:hAnsi="Noto Sans" w:eastAsia="Noto Sans"/>
                <w:sz w:val="17"/>
              </w:rPr>
              <w:t>etcd client</w:t>
            </w:r>
          </w:p>
        </w:tc>
        <w:tc>
          <w:tcPr>
            <w:tcW w:type="dxa" w:w="1872"/>
            <w:tcMar>
              <w:top w:w="70" w:type="dxa"/>
              <w:start w:w="90" w:type="dxa"/>
              <w:bottom w:w="70" w:type="dxa"/>
              <w:end w:w="90" w:type="dxa"/>
            </w:tcMar>
            <w:vAlign w:val="top"/>
          </w:tcPr>
          <w:p>
            <w:r>
              <w:rPr>
                <w:rFonts w:ascii="Noto Sans" w:hAnsi="Noto Sans" w:eastAsia="Noto Sans"/>
                <w:sz w:val="17"/>
              </w:rPr>
              <w:t>2379/TCP</w:t>
            </w:r>
          </w:p>
        </w:tc>
        <w:tc>
          <w:tcPr>
            <w:tcW w:type="dxa" w:w="2592"/>
            <w:tcMar>
              <w:top w:w="70" w:type="dxa"/>
              <w:start w:w="90" w:type="dxa"/>
              <w:bottom w:w="70" w:type="dxa"/>
              <w:end w:w="90" w:type="dxa"/>
            </w:tcMar>
            <w:vAlign w:val="top"/>
          </w:tcPr>
          <w:p>
            <w:r>
              <w:rPr>
                <w:rFonts w:ascii="Noto Sans" w:hAnsi="Noto Sans" w:eastAsia="Noto Sans"/>
                <w:sz w:val="17"/>
              </w:rPr>
              <w:t>APISIX control plane</w:t>
            </w:r>
          </w:p>
        </w:tc>
        <w:tc>
          <w:tcPr>
            <w:tcW w:type="dxa" w:w="2880"/>
            <w:tcMar>
              <w:top w:w="70" w:type="dxa"/>
              <w:start w:w="90" w:type="dxa"/>
              <w:bottom w:w="70" w:type="dxa"/>
              <w:end w:w="90" w:type="dxa"/>
            </w:tcMar>
            <w:vAlign w:val="top"/>
          </w:tcPr>
          <w:p>
            <w:r>
              <w:rPr>
                <w:rFonts w:ascii="Noto Sans" w:hAnsi="Noto Sans" w:eastAsia="Noto Sans"/>
                <w:sz w:val="17"/>
              </w:rPr>
              <w:t>etcd</w:t>
            </w:r>
          </w:p>
        </w:tc>
        <w:tc>
          <w:tcPr>
            <w:tcW w:type="dxa" w:w="3168"/>
            <w:tcMar>
              <w:top w:w="70" w:type="dxa"/>
              <w:start w:w="90" w:type="dxa"/>
              <w:bottom w:w="70" w:type="dxa"/>
              <w:end w:w="90" w:type="dxa"/>
            </w:tcMar>
            <w:vAlign w:val="top"/>
          </w:tcPr>
          <w:p>
            <w:r>
              <w:rPr>
                <w:rFonts w:ascii="Noto Sans" w:hAnsi="Noto Sans" w:eastAsia="Noto Sans"/>
                <w:sz w:val="17"/>
              </w:rPr>
              <w:t>mTLS obbligatorio.</w:t>
            </w:r>
          </w:p>
        </w:tc>
      </w:tr>
      <w:tr>
        <w:trPr>
          <w:cantSplit/>
        </w:trPr>
        <w:tc>
          <w:tcPr>
            <w:tcW w:type="dxa" w:w="2016"/>
            <w:tcMar>
              <w:top w:w="70" w:type="dxa"/>
              <w:start w:w="90" w:type="dxa"/>
              <w:bottom w:w="70" w:type="dxa"/>
              <w:end w:w="90" w:type="dxa"/>
            </w:tcMar>
            <w:vAlign w:val="top"/>
            <w:shd w:fill="F7F9FA"/>
          </w:tcPr>
          <w:p>
            <w:r>
              <w:rPr>
                <w:rFonts w:ascii="Noto Sans" w:hAnsi="Noto Sans" w:eastAsia="Noto Sans"/>
                <w:sz w:val="17"/>
              </w:rPr>
              <w:t>etcd peer</w:t>
            </w:r>
          </w:p>
        </w:tc>
        <w:tc>
          <w:tcPr>
            <w:tcW w:type="dxa" w:w="1872"/>
            <w:tcMar>
              <w:top w:w="70" w:type="dxa"/>
              <w:start w:w="90" w:type="dxa"/>
              <w:bottom w:w="70" w:type="dxa"/>
              <w:end w:w="90" w:type="dxa"/>
            </w:tcMar>
            <w:vAlign w:val="top"/>
            <w:shd w:fill="F7F9FA"/>
          </w:tcPr>
          <w:p>
            <w:r>
              <w:rPr>
                <w:rFonts w:ascii="Noto Sans" w:hAnsi="Noto Sans" w:eastAsia="Noto Sans"/>
                <w:sz w:val="17"/>
              </w:rPr>
              <w:t>2380/TCP</w:t>
            </w:r>
          </w:p>
        </w:tc>
        <w:tc>
          <w:tcPr>
            <w:tcW w:type="dxa" w:w="2592"/>
            <w:tcMar>
              <w:top w:w="70" w:type="dxa"/>
              <w:start w:w="90" w:type="dxa"/>
              <w:bottom w:w="70" w:type="dxa"/>
              <w:end w:w="90" w:type="dxa"/>
            </w:tcMar>
            <w:vAlign w:val="top"/>
            <w:shd w:fill="F7F9FA"/>
          </w:tcPr>
          <w:p>
            <w:r>
              <w:rPr>
                <w:rFonts w:ascii="Noto Sans" w:hAnsi="Noto Sans" w:eastAsia="Noto Sans"/>
                <w:sz w:val="17"/>
              </w:rPr>
              <w:t>etcd</w:t>
            </w:r>
          </w:p>
        </w:tc>
        <w:tc>
          <w:tcPr>
            <w:tcW w:type="dxa" w:w="2880"/>
            <w:tcMar>
              <w:top w:w="70" w:type="dxa"/>
              <w:start w:w="90" w:type="dxa"/>
              <w:bottom w:w="70" w:type="dxa"/>
              <w:end w:w="90" w:type="dxa"/>
            </w:tcMar>
            <w:vAlign w:val="top"/>
            <w:shd w:fill="F7F9FA"/>
          </w:tcPr>
          <w:p>
            <w:r>
              <w:rPr>
                <w:rFonts w:ascii="Noto Sans" w:hAnsi="Noto Sans" w:eastAsia="Noto Sans"/>
                <w:sz w:val="17"/>
              </w:rPr>
              <w:t>etcd</w:t>
            </w:r>
          </w:p>
        </w:tc>
        <w:tc>
          <w:tcPr>
            <w:tcW w:type="dxa" w:w="3168"/>
            <w:tcMar>
              <w:top w:w="70" w:type="dxa"/>
              <w:start w:w="90" w:type="dxa"/>
              <w:bottom w:w="70" w:type="dxa"/>
              <w:end w:w="90" w:type="dxa"/>
            </w:tcMar>
            <w:vAlign w:val="top"/>
            <w:shd w:fill="F7F9FA"/>
          </w:tcPr>
          <w:p>
            <w:r>
              <w:rPr>
                <w:rFonts w:ascii="Noto Sans" w:hAnsi="Noto Sans" w:eastAsia="Noto Sans"/>
                <w:sz w:val="17"/>
              </w:rPr>
              <w:t>mTLS obbligatorio.</w:t>
            </w:r>
          </w:p>
        </w:tc>
      </w:tr>
    </w:tbl>
    <w:p>
      <w:pPr>
        <w:pStyle w:val="BodyText"/>
        <w:widowControl/>
      </w:pPr>
      <w:r>
        <w:rPr>
          <w:rFonts w:ascii="Noto Sans" w:hAnsi="Noto Sans" w:eastAsia="Noto Sans"/>
        </w:rPr>
        <w:t>Il DNS pubblico espone esclusivamente hostname approvati, ad esempio api.ouf.comune.trieste.it e geo.ouf.comune.trieste.it. Gli endpoint originari WMS/WFS non vengono pubblicati ai consumer. Il southbound usa DNS interno e route esplicite per ogni sourceId.</w:t>
      </w:r>
    </w:p>
    <w:p>
      <w:pPr>
        <w:pStyle w:val="Heading1"/>
        <w:keepNext/>
        <w:spacing w:before="160"/>
      </w:pPr>
      <w:r>
        <w:rPr>
          <w:rFonts w:ascii="Noto Sans" w:hAnsi="Noto Sans" w:eastAsia="Noto Sans"/>
        </w:rPr>
        <w:t>T5. Configurazione APISIX e Gateway API</w:t>
      </w:r>
    </w:p>
    <w:p>
      <w:pPr>
        <w:pStyle w:val="BodyText"/>
        <w:widowControl/>
      </w:pPr>
      <w:r>
        <w:rPr>
          <w:rFonts w:ascii="Noto Sans" w:hAnsi="Noto Sans" w:eastAsia="Noto Sans"/>
        </w:rPr>
        <w:t>Gateway API v1 viene utilizzata per routing standard. Le estensioni APISIX (PluginConfig/CRD) vengono usate solo per funzionalita non esprimibili in Gateway API, mantenendo separati contratto logico e dettaglio vendor-specific.</w:t>
      </w:r>
    </w:p>
    <w:p>
      <w:pPr>
        <w:spacing w:before="80" w:after="100"/>
        <w:ind w:left="173" w:right="173"/>
        <w:shd w:fill="F3F5F7"/>
      </w:pPr>
      <w:r>
        <w:rPr>
          <w:rFonts w:ascii="Noto Sans" w:hAnsi="Noto Sans" w:eastAsia="DejaVu Sans Mono"/>
          <w:sz w:val="17"/>
        </w:rPr>
        <w:t>apiVersion: gateway.networking.k8s.io/v1</w:t>
        <w:br/>
        <w:t>kind: HTTPRoute</w:t>
        <w:br/>
        <w:t>metadata:</w:t>
        <w:br/>
        <w:t xml:space="preserve">  name: urban-activities</w:t>
        <w:br/>
        <w:t xml:space="preserve">  namespace: ouf-gateway</w:t>
        <w:br/>
        <w:t>spec:</w:t>
        <w:br/>
        <w:t xml:space="preserve">  parentRefs:</w:t>
        <w:br/>
        <w:t xml:space="preserve">    - name: ouf-northbound</w:t>
        <w:br/>
        <w:t xml:space="preserve">  rules:</w:t>
        <w:br/>
        <w:t xml:space="preserve">    - matches:</w:t>
        <w:br/>
        <w:t xml:space="preserve">        - path:</w:t>
        <w:br/>
        <w:t xml:space="preserve">            type: PathPrefix</w:t>
        <w:br/>
        <w:t xml:space="preserve">            value: /api/v1/activities</w:t>
        <w:br/>
        <w:t xml:space="preserve">      backendRefs:</w:t>
        <w:br/>
        <w:t xml:space="preserve">        - name: udp-data-service</w:t>
        <w:br/>
        <w:t xml:space="preserve">          namespace: ouf-core</w:t>
        <w:br/>
        <w:t xml:space="preserve">          port: 8080</w:t>
      </w:r>
    </w:p>
    <w:p>
      <w:pPr>
        <w:pStyle w:val="BodyText"/>
        <w:widowControl/>
      </w:pPr>
      <w:r>
        <w:rPr>
          <w:rFonts w:ascii="Noto Sans" w:hAnsi="Noto Sans" w:eastAsia="Noto Sans"/>
        </w:rPr>
        <w:t>Ogni HTTPRoute consumer-facing deve essere generata o validata contro un Capability Manifest. La CI impedisce il merge di route prive di capabilityId, scope IAM, backend binding e contratto OpenAPI/OGC.</w:t>
      </w:r>
    </w:p>
    <w:p>
      <w:pPr>
        <w:pStyle w:val="Heading1"/>
        <w:keepNext/>
        <w:spacing w:before="160"/>
      </w:pPr>
      <w:r>
        <w:rPr>
          <w:rFonts w:ascii="Noto Sans" w:hAnsi="Noto Sans" w:eastAsia="Noto Sans"/>
        </w:rPr>
        <w:t>T6. Plugin APISIX obbligatori</w:t>
      </w:r>
    </w:p>
    <w:tbl>
      <w:tblPr>
        <w:tblStyle w:val="TableGrid"/>
        <w:tblW w:type="auto" w:w="0"/>
        <w:jc w:val="center"/>
        <w:tblLook w:firstColumn="1" w:firstRow="1" w:lastColumn="0" w:lastRow="0" w:noHBand="0" w:noVBand="1" w:val="04A0"/>
      </w:tblPr>
      <w:tblGrid>
        <w:gridCol w:w="3024"/>
        <w:gridCol w:w="3024"/>
        <w:gridCol w:w="3024"/>
      </w:tblGrid>
      <w:tr>
        <w:trPr>
          <w:tblHeader w:val="true"/>
          <w:tblHeader w:val="true"/>
          <w:cantSplit/>
        </w:trPr>
        <w:tc>
          <w:tcPr>
            <w:tcW w:type="dxa" w:w="2160"/>
            <w:shd w:fill="0B5A73"/>
            <w:vAlign w:val="center"/>
            <w:tcMar>
              <w:top w:w="70" w:type="dxa"/>
              <w:start w:w="90" w:type="dxa"/>
              <w:bottom w:w="70" w:type="dxa"/>
              <w:end w:w="90" w:type="dxa"/>
            </w:tcMar>
          </w:tcPr>
          <w:p>
            <w:r>
              <w:rPr>
                <w:rFonts w:ascii="Noto Sans" w:hAnsi="Noto Sans" w:eastAsia="Noto Sans"/>
                <w:sz w:val="17"/>
              </w:rPr>
              <w:t>Funzione</w:t>
            </w:r>
          </w:p>
        </w:tc>
        <w:tc>
          <w:tcPr>
            <w:tcW w:type="dxa" w:w="3312"/>
            <w:shd w:fill="0B5A73"/>
            <w:vAlign w:val="center"/>
            <w:tcMar>
              <w:top w:w="70" w:type="dxa"/>
              <w:start w:w="90" w:type="dxa"/>
              <w:bottom w:w="70" w:type="dxa"/>
              <w:end w:w="90" w:type="dxa"/>
            </w:tcMar>
          </w:tcPr>
          <w:p>
            <w:r>
              <w:rPr>
                <w:rFonts w:ascii="Noto Sans" w:hAnsi="Noto Sans" w:eastAsia="Noto Sans"/>
                <w:sz w:val="17"/>
              </w:rPr>
              <w:t>Plugin/meccanismo</w:t>
            </w:r>
          </w:p>
        </w:tc>
        <w:tc>
          <w:tcPr>
            <w:tcW w:type="dxa" w:w="6624"/>
            <w:shd w:fill="0B5A73"/>
            <w:vAlign w:val="center"/>
            <w:tcMar>
              <w:top w:w="70" w:type="dxa"/>
              <w:start w:w="90" w:type="dxa"/>
              <w:bottom w:w="70" w:type="dxa"/>
              <w:end w:w="90" w:type="dxa"/>
            </w:tcMar>
          </w:tcPr>
          <w:p>
            <w:r>
              <w:rPr>
                <w:rFonts w:ascii="Noto Sans" w:hAnsi="Noto Sans" w:eastAsia="Noto Sans"/>
                <w:sz w:val="17"/>
              </w:rPr>
              <w:t>Applicazione</w:t>
            </w:r>
          </w:p>
        </w:tc>
      </w:tr>
      <w:tr>
        <w:trPr>
          <w:cantSplit/>
        </w:trPr>
        <w:tc>
          <w:tcPr>
            <w:tcW w:type="dxa" w:w="2160"/>
            <w:tcMar>
              <w:top w:w="70" w:type="dxa"/>
              <w:start w:w="90" w:type="dxa"/>
              <w:bottom w:w="70" w:type="dxa"/>
              <w:end w:w="90" w:type="dxa"/>
            </w:tcMar>
            <w:vAlign w:val="top"/>
          </w:tcPr>
          <w:p>
            <w:r>
              <w:rPr>
                <w:rFonts w:ascii="Noto Sans" w:hAnsi="Noto Sans" w:eastAsia="Noto Sans"/>
                <w:sz w:val="17"/>
              </w:rPr>
              <w:t>Request ID</w:t>
            </w:r>
          </w:p>
        </w:tc>
        <w:tc>
          <w:tcPr>
            <w:tcW w:type="dxa" w:w="3312"/>
            <w:tcMar>
              <w:top w:w="70" w:type="dxa"/>
              <w:start w:w="90" w:type="dxa"/>
              <w:bottom w:w="70" w:type="dxa"/>
              <w:end w:w="90" w:type="dxa"/>
            </w:tcMar>
            <w:vAlign w:val="top"/>
          </w:tcPr>
          <w:p>
            <w:r>
              <w:rPr>
                <w:rFonts w:ascii="Noto Sans" w:hAnsi="Noto Sans" w:eastAsia="Noto Sans"/>
                <w:sz w:val="17"/>
              </w:rPr>
              <w:t>request-id / header policy</w:t>
            </w:r>
          </w:p>
        </w:tc>
        <w:tc>
          <w:tcPr>
            <w:tcW w:type="dxa" w:w="6624"/>
            <w:tcMar>
              <w:top w:w="70" w:type="dxa"/>
              <w:start w:w="90" w:type="dxa"/>
              <w:bottom w:w="70" w:type="dxa"/>
              <w:end w:w="90" w:type="dxa"/>
            </w:tcMar>
            <w:vAlign w:val="top"/>
          </w:tcPr>
          <w:p>
            <w:r>
              <w:rPr>
                <w:rFonts w:ascii="Noto Sans" w:hAnsi="Noto Sans" w:eastAsia="Noto Sans"/>
                <w:sz w:val="17"/>
              </w:rPr>
              <w:t>Sempre; genera o propaga X-Correlation-ID.</w:t>
            </w:r>
          </w:p>
        </w:tc>
      </w:tr>
      <w:tr>
        <w:trPr>
          <w:cantSplit/>
        </w:trPr>
        <w:tc>
          <w:tcPr>
            <w:tcW w:type="dxa" w:w="2160"/>
            <w:tcMar>
              <w:top w:w="70" w:type="dxa"/>
              <w:start w:w="90" w:type="dxa"/>
              <w:bottom w:w="70" w:type="dxa"/>
              <w:end w:w="90" w:type="dxa"/>
            </w:tcMar>
            <w:vAlign w:val="top"/>
            <w:shd w:fill="F7F9FA"/>
          </w:tcPr>
          <w:p>
            <w:r>
              <w:rPr>
                <w:rFonts w:ascii="Noto Sans" w:hAnsi="Noto Sans" w:eastAsia="Noto Sans"/>
                <w:sz w:val="17"/>
              </w:rPr>
              <w:t>OIDC/OAuth2</w:t>
            </w:r>
          </w:p>
        </w:tc>
        <w:tc>
          <w:tcPr>
            <w:tcW w:type="dxa" w:w="3312"/>
            <w:tcMar>
              <w:top w:w="70" w:type="dxa"/>
              <w:start w:w="90" w:type="dxa"/>
              <w:bottom w:w="70" w:type="dxa"/>
              <w:end w:w="90" w:type="dxa"/>
            </w:tcMar>
            <w:vAlign w:val="top"/>
            <w:shd w:fill="F7F9FA"/>
          </w:tcPr>
          <w:p>
            <w:r>
              <w:rPr>
                <w:rFonts w:ascii="Noto Sans" w:hAnsi="Noto Sans" w:eastAsia="Noto Sans"/>
                <w:sz w:val="17"/>
              </w:rPr>
              <w:t>openid-connect</w:t>
            </w:r>
          </w:p>
        </w:tc>
        <w:tc>
          <w:tcPr>
            <w:tcW w:type="dxa" w:w="6624"/>
            <w:tcMar>
              <w:top w:w="70" w:type="dxa"/>
              <w:start w:w="90" w:type="dxa"/>
              <w:bottom w:w="70" w:type="dxa"/>
              <w:end w:w="90" w:type="dxa"/>
            </w:tcMar>
            <w:vAlign w:val="top"/>
            <w:shd w:fill="F7F9FA"/>
          </w:tcPr>
          <w:p>
            <w:r>
              <w:rPr>
                <w:rFonts w:ascii="Noto Sans" w:hAnsi="Noto Sans" w:eastAsia="Noto Sans"/>
                <w:sz w:val="17"/>
              </w:rPr>
              <w:t>Route consumer e machine-to-machine quando applicabile.</w:t>
            </w:r>
          </w:p>
        </w:tc>
      </w:tr>
      <w:tr>
        <w:trPr>
          <w:cantSplit/>
        </w:trPr>
        <w:tc>
          <w:tcPr>
            <w:tcW w:type="dxa" w:w="2160"/>
            <w:tcMar>
              <w:top w:w="70" w:type="dxa"/>
              <w:start w:w="90" w:type="dxa"/>
              <w:bottom w:w="70" w:type="dxa"/>
              <w:end w:w="90" w:type="dxa"/>
            </w:tcMar>
            <w:vAlign w:val="top"/>
          </w:tcPr>
          <w:p>
            <w:r>
              <w:rPr>
                <w:rFonts w:ascii="Noto Sans" w:hAnsi="Noto Sans" w:eastAsia="Noto Sans"/>
                <w:sz w:val="17"/>
              </w:rPr>
              <w:t>Rate limiting</w:t>
            </w:r>
          </w:p>
        </w:tc>
        <w:tc>
          <w:tcPr>
            <w:tcW w:type="dxa" w:w="3312"/>
            <w:tcMar>
              <w:top w:w="70" w:type="dxa"/>
              <w:start w:w="90" w:type="dxa"/>
              <w:bottom w:w="70" w:type="dxa"/>
              <w:end w:w="90" w:type="dxa"/>
            </w:tcMar>
            <w:vAlign w:val="top"/>
          </w:tcPr>
          <w:p>
            <w:r>
              <w:rPr>
                <w:rFonts w:ascii="Noto Sans" w:hAnsi="Noto Sans" w:eastAsia="Noto Sans"/>
                <w:sz w:val="17"/>
              </w:rPr>
              <w:t>limit-count / limit-req</w:t>
            </w:r>
          </w:p>
        </w:tc>
        <w:tc>
          <w:tcPr>
            <w:tcW w:type="dxa" w:w="6624"/>
            <w:tcMar>
              <w:top w:w="70" w:type="dxa"/>
              <w:start w:w="90" w:type="dxa"/>
              <w:bottom w:w="70" w:type="dxa"/>
              <w:end w:w="90" w:type="dxa"/>
            </w:tcMar>
            <w:vAlign w:val="top"/>
          </w:tcPr>
          <w:p>
            <w:r>
              <w:rPr>
                <w:rFonts w:ascii="Noto Sans" w:hAnsi="Noto Sans" w:eastAsia="Noto Sans"/>
                <w:sz w:val="17"/>
              </w:rPr>
              <w:t>Per client, capability e route; Redis solo se serve contatore condiviso avanzato.</w:t>
            </w:r>
          </w:p>
        </w:tc>
      </w:tr>
      <w:tr>
        <w:trPr>
          <w:cantSplit/>
        </w:trPr>
        <w:tc>
          <w:tcPr>
            <w:tcW w:type="dxa" w:w="2160"/>
            <w:tcMar>
              <w:top w:w="70" w:type="dxa"/>
              <w:start w:w="90" w:type="dxa"/>
              <w:bottom w:w="70" w:type="dxa"/>
              <w:end w:w="90" w:type="dxa"/>
            </w:tcMar>
            <w:vAlign w:val="top"/>
            <w:shd w:fill="F7F9FA"/>
          </w:tcPr>
          <w:p>
            <w:r>
              <w:rPr>
                <w:rFonts w:ascii="Noto Sans" w:hAnsi="Noto Sans" w:eastAsia="Noto Sans"/>
                <w:sz w:val="17"/>
              </w:rPr>
              <w:t>Schema edge validation</w:t>
            </w:r>
          </w:p>
        </w:tc>
        <w:tc>
          <w:tcPr>
            <w:tcW w:type="dxa" w:w="3312"/>
            <w:tcMar>
              <w:top w:w="70" w:type="dxa"/>
              <w:start w:w="90" w:type="dxa"/>
              <w:bottom w:w="70" w:type="dxa"/>
              <w:end w:w="90" w:type="dxa"/>
            </w:tcMar>
            <w:vAlign w:val="top"/>
            <w:shd w:fill="F7F9FA"/>
          </w:tcPr>
          <w:p>
            <w:r>
              <w:rPr>
                <w:rFonts w:ascii="Noto Sans" w:hAnsi="Noto Sans" w:eastAsia="Noto Sans"/>
                <w:sz w:val="17"/>
              </w:rPr>
              <w:t>request-validation</w:t>
            </w:r>
          </w:p>
        </w:tc>
        <w:tc>
          <w:tcPr>
            <w:tcW w:type="dxa" w:w="6624"/>
            <w:tcMar>
              <w:top w:w="70" w:type="dxa"/>
              <w:start w:w="90" w:type="dxa"/>
              <w:bottom w:w="70" w:type="dxa"/>
              <w:end w:w="90" w:type="dxa"/>
            </w:tcMar>
            <w:vAlign w:val="top"/>
            <w:shd w:fill="F7F9FA"/>
          </w:tcPr>
          <w:p>
            <w:r>
              <w:rPr>
                <w:rFonts w:ascii="Noto Sans" w:hAnsi="Noto Sans" w:eastAsia="Noto Sans"/>
                <w:sz w:val="17"/>
              </w:rPr>
              <w:t>Contratto sorgente di bordo, media type, header e limiti superficialmente validabili; non l’envelope OUF interno.</w:t>
            </w:r>
          </w:p>
        </w:tc>
      </w:tr>
      <w:tr>
        <w:trPr>
          <w:cantSplit/>
        </w:trPr>
        <w:tc>
          <w:tcPr>
            <w:tcW w:type="dxa" w:w="2160"/>
            <w:tcMar>
              <w:top w:w="70" w:type="dxa"/>
              <w:start w:w="90" w:type="dxa"/>
              <w:bottom w:w="70" w:type="dxa"/>
              <w:end w:w="90" w:type="dxa"/>
            </w:tcMar>
            <w:vAlign w:val="top"/>
          </w:tcPr>
          <w:p>
            <w:r>
              <w:rPr>
                <w:rFonts w:ascii="Noto Sans" w:hAnsi="Noto Sans" w:eastAsia="Noto Sans"/>
                <w:sz w:val="17"/>
              </w:rPr>
              <w:t>Prometheus</w:t>
            </w:r>
          </w:p>
        </w:tc>
        <w:tc>
          <w:tcPr>
            <w:tcW w:type="dxa" w:w="3312"/>
            <w:tcMar>
              <w:top w:w="70" w:type="dxa"/>
              <w:start w:w="90" w:type="dxa"/>
              <w:bottom w:w="70" w:type="dxa"/>
              <w:end w:w="90" w:type="dxa"/>
            </w:tcMar>
            <w:vAlign w:val="top"/>
          </w:tcPr>
          <w:p>
            <w:r>
              <w:rPr>
                <w:rFonts w:ascii="Noto Sans" w:hAnsi="Noto Sans" w:eastAsia="Noto Sans"/>
                <w:sz w:val="17"/>
              </w:rPr>
              <w:t>prometheus</w:t>
            </w:r>
          </w:p>
        </w:tc>
        <w:tc>
          <w:tcPr>
            <w:tcW w:type="dxa" w:w="6624"/>
            <w:tcMar>
              <w:top w:w="70" w:type="dxa"/>
              <w:start w:w="90" w:type="dxa"/>
              <w:bottom w:w="70" w:type="dxa"/>
              <w:end w:w="90" w:type="dxa"/>
            </w:tcMar>
            <w:vAlign w:val="top"/>
          </w:tcPr>
          <w:p>
            <w:r>
              <w:rPr>
                <w:rFonts w:ascii="Noto Sans" w:hAnsi="Noto Sans" w:eastAsia="Noto Sans"/>
                <w:sz w:val="17"/>
              </w:rPr>
              <w:t>Metriche richieste dalla baseline.</w:t>
            </w:r>
          </w:p>
        </w:tc>
      </w:tr>
      <w:tr>
        <w:trPr>
          <w:cantSplit/>
        </w:trPr>
        <w:tc>
          <w:tcPr>
            <w:tcW w:type="dxa" w:w="2160"/>
            <w:tcMar>
              <w:top w:w="70" w:type="dxa"/>
              <w:start w:w="90" w:type="dxa"/>
              <w:bottom w:w="70" w:type="dxa"/>
              <w:end w:w="90" w:type="dxa"/>
            </w:tcMar>
            <w:vAlign w:val="top"/>
            <w:shd w:fill="F7F9FA"/>
          </w:tcPr>
          <w:p>
            <w:r>
              <w:rPr>
                <w:rFonts w:ascii="Noto Sans" w:hAnsi="Noto Sans" w:eastAsia="Noto Sans"/>
                <w:sz w:val="17"/>
              </w:rPr>
              <w:t>Tracing</w:t>
            </w:r>
          </w:p>
        </w:tc>
        <w:tc>
          <w:tcPr>
            <w:tcW w:type="dxa" w:w="3312"/>
            <w:tcMar>
              <w:top w:w="70" w:type="dxa"/>
              <w:start w:w="90" w:type="dxa"/>
              <w:bottom w:w="70" w:type="dxa"/>
              <w:end w:w="90" w:type="dxa"/>
            </w:tcMar>
            <w:vAlign w:val="top"/>
            <w:shd w:fill="F7F9FA"/>
          </w:tcPr>
          <w:p>
            <w:r>
              <w:rPr>
                <w:rFonts w:ascii="Noto Sans" w:hAnsi="Noto Sans" w:eastAsia="Noto Sans"/>
                <w:sz w:val="17"/>
              </w:rPr>
              <w:t>opentelemetry</w:t>
            </w:r>
          </w:p>
        </w:tc>
        <w:tc>
          <w:tcPr>
            <w:tcW w:type="dxa" w:w="6624"/>
            <w:tcMar>
              <w:top w:w="70" w:type="dxa"/>
              <w:start w:w="90" w:type="dxa"/>
              <w:bottom w:w="70" w:type="dxa"/>
              <w:end w:w="90" w:type="dxa"/>
            </w:tcMar>
            <w:vAlign w:val="top"/>
            <w:shd w:fill="F7F9FA"/>
          </w:tcPr>
          <w:p>
            <w:r>
              <w:rPr>
                <w:rFonts w:ascii="Noto Sans" w:hAnsi="Noto Sans" w:eastAsia="Noto Sans"/>
                <w:sz w:val="17"/>
              </w:rPr>
              <w:t>OTLP/HTTP verso OTel Collector; sampling configurabile.</w:t>
            </w:r>
          </w:p>
        </w:tc>
      </w:tr>
      <w:tr>
        <w:trPr>
          <w:cantSplit/>
        </w:trPr>
        <w:tc>
          <w:tcPr>
            <w:tcW w:type="dxa" w:w="2160"/>
            <w:tcMar>
              <w:top w:w="70" w:type="dxa"/>
              <w:start w:w="90" w:type="dxa"/>
              <w:bottom w:w="70" w:type="dxa"/>
              <w:end w:w="90" w:type="dxa"/>
            </w:tcMar>
            <w:vAlign w:val="top"/>
          </w:tcPr>
          <w:p>
            <w:r>
              <w:rPr>
                <w:rFonts w:ascii="Noto Sans" w:hAnsi="Noto Sans" w:eastAsia="Noto Sans"/>
                <w:sz w:val="17"/>
              </w:rPr>
              <w:t>WMS cache</w:t>
            </w:r>
          </w:p>
        </w:tc>
        <w:tc>
          <w:tcPr>
            <w:tcW w:type="dxa" w:w="3312"/>
            <w:tcMar>
              <w:top w:w="70" w:type="dxa"/>
              <w:start w:w="90" w:type="dxa"/>
              <w:bottom w:w="70" w:type="dxa"/>
              <w:end w:w="90" w:type="dxa"/>
            </w:tcMar>
            <w:vAlign w:val="top"/>
          </w:tcPr>
          <w:p>
            <w:r>
              <w:rPr>
                <w:rFonts w:ascii="Noto Sans" w:hAnsi="Noto Sans" w:eastAsia="Noto Sans"/>
                <w:sz w:val="17"/>
              </w:rPr>
              <w:t>proxy-cache</w:t>
            </w:r>
          </w:p>
        </w:tc>
        <w:tc>
          <w:tcPr>
            <w:tcW w:type="dxa" w:w="6624"/>
            <w:tcMar>
              <w:top w:w="70" w:type="dxa"/>
              <w:start w:w="90" w:type="dxa"/>
              <w:bottom w:w="70" w:type="dxa"/>
              <w:end w:w="90" w:type="dxa"/>
            </w:tcMar>
            <w:vAlign w:val="top"/>
          </w:tcPr>
          <w:p>
            <w:r>
              <w:rPr>
                <w:rFonts w:ascii="Noto Sans" w:hAnsi="Noto Sans" w:eastAsia="Noto Sans"/>
                <w:sz w:val="17"/>
              </w:rPr>
              <w:t>Solo GetMap/GetCapabilities secondo policy; chiave include layer, BBOX, CRS, size, style.</w:t>
            </w:r>
          </w:p>
        </w:tc>
      </w:tr>
      <w:tr>
        <w:trPr>
          <w:cantSplit/>
        </w:trPr>
        <w:tc>
          <w:tcPr>
            <w:tcW w:type="dxa" w:w="2160"/>
            <w:tcMar>
              <w:top w:w="70" w:type="dxa"/>
              <w:start w:w="90" w:type="dxa"/>
              <w:bottom w:w="70" w:type="dxa"/>
              <w:end w:w="90" w:type="dxa"/>
            </w:tcMar>
            <w:vAlign w:val="top"/>
            <w:shd w:fill="F7F9FA"/>
          </w:tcPr>
          <w:p>
            <w:r>
              <w:rPr>
                <w:rFonts w:ascii="Noto Sans" w:hAnsi="Noto Sans" w:eastAsia="Noto Sans"/>
                <w:sz w:val="17"/>
              </w:rPr>
              <w:t>Log accesso</w:t>
            </w:r>
          </w:p>
        </w:tc>
        <w:tc>
          <w:tcPr>
            <w:tcW w:type="dxa" w:w="3312"/>
            <w:tcMar>
              <w:top w:w="70" w:type="dxa"/>
              <w:start w:w="90" w:type="dxa"/>
              <w:bottom w:w="70" w:type="dxa"/>
              <w:end w:w="90" w:type="dxa"/>
            </w:tcMar>
            <w:vAlign w:val="top"/>
            <w:shd w:fill="F7F9FA"/>
          </w:tcPr>
          <w:p>
            <w:r>
              <w:rPr>
                <w:rFonts w:ascii="Noto Sans" w:hAnsi="Noto Sans" w:eastAsia="Noto Sans"/>
                <w:sz w:val="17"/>
              </w:rPr>
              <w:t>loki-logger o stdout JSON</w:t>
            </w:r>
          </w:p>
        </w:tc>
        <w:tc>
          <w:tcPr>
            <w:tcW w:type="dxa" w:w="6624"/>
            <w:tcMar>
              <w:top w:w="70" w:type="dxa"/>
              <w:start w:w="90" w:type="dxa"/>
              <w:bottom w:w="70" w:type="dxa"/>
              <w:end w:w="90" w:type="dxa"/>
            </w:tcMar>
            <w:vAlign w:val="top"/>
            <w:shd w:fill="F7F9FA"/>
          </w:tcPr>
          <w:p>
            <w:r>
              <w:rPr>
                <w:rFonts w:ascii="Noto Sans" w:hAnsi="Noto Sans" w:eastAsia="Noto Sans"/>
                <w:sz w:val="17"/>
              </w:rPr>
              <w:t>Log strutturati; payload esclusi.</w:t>
            </w:r>
          </w:p>
        </w:tc>
      </w:tr>
      <w:tr>
        <w:trPr>
          <w:cantSplit/>
        </w:trPr>
        <w:tc>
          <w:tcPr>
            <w:tcW w:type="dxa" w:w="2160"/>
            <w:tcMar>
              <w:top w:w="70" w:type="dxa"/>
              <w:start w:w="90" w:type="dxa"/>
              <w:bottom w:w="70" w:type="dxa"/>
              <w:end w:w="90" w:type="dxa"/>
            </w:tcMar>
            <w:vAlign w:val="top"/>
          </w:tcPr>
          <w:p>
            <w:r>
              <w:rPr>
                <w:rFonts w:ascii="Noto Sans" w:hAnsi="Noto Sans" w:eastAsia="Noto Sans"/>
                <w:sz w:val="17"/>
              </w:rPr>
              <w:t>IP/rete</w:t>
            </w:r>
          </w:p>
        </w:tc>
        <w:tc>
          <w:tcPr>
            <w:tcW w:type="dxa" w:w="3312"/>
            <w:tcMar>
              <w:top w:w="70" w:type="dxa"/>
              <w:start w:w="90" w:type="dxa"/>
              <w:bottom w:w="70" w:type="dxa"/>
              <w:end w:w="90" w:type="dxa"/>
            </w:tcMar>
            <w:vAlign w:val="top"/>
          </w:tcPr>
          <w:p>
            <w:r>
              <w:rPr>
                <w:rFonts w:ascii="Noto Sans" w:hAnsi="Noto Sans" w:eastAsia="Noto Sans"/>
                <w:sz w:val="17"/>
              </w:rPr>
              <w:t>ip-restriction + firewall/LB</w:t>
            </w:r>
          </w:p>
        </w:tc>
        <w:tc>
          <w:tcPr>
            <w:tcW w:type="dxa" w:w="6624"/>
            <w:tcMar>
              <w:top w:w="70" w:type="dxa"/>
              <w:start w:w="90" w:type="dxa"/>
              <w:bottom w:w="70" w:type="dxa"/>
              <w:end w:w="90" w:type="dxa"/>
            </w:tcMar>
            <w:vAlign w:val="top"/>
          </w:tcPr>
          <w:p>
            <w:r>
              <w:rPr>
                <w:rFonts w:ascii="Noto Sans" w:hAnsi="Noto Sans" w:eastAsia="Noto Sans"/>
                <w:sz w:val="17"/>
              </w:rPr>
              <w:t>Allowlist per sorgenti legacy quando necessaria; non sostituisce autenticazione.</w:t>
            </w:r>
          </w:p>
        </w:tc>
      </w:tr>
    </w:tbl>
    <w:tbl>
      <w:tblPr>
        <w:tblStyle w:val="TableGrid"/>
        <w:tblW w:type="auto" w:w="0"/>
        <w:jc w:val="center"/>
        <w:tblLook w:firstColumn="1" w:firstRow="1" w:lastColumn="0" w:lastRow="0" w:noHBand="0" w:noVBand="1" w:val="04A0"/>
      </w:tblPr>
      <w:tblGrid>
        <w:gridCol w:w="9072"/>
      </w:tblGrid>
      <w:tr>
        <w:trPr>
          <w:tblHeader w:val="true"/>
          <w:cantSplit/>
        </w:trPr>
        <w:tc>
          <w:tcPr>
            <w:tcW w:type="dxa" w:w="9072"/>
            <w:shd w:fill="DDEBF3"/>
            <w:tcMar>
              <w:top w:w="70" w:type="dxa"/>
              <w:start w:w="90" w:type="dxa"/>
              <w:bottom w:w="70" w:type="dxa"/>
              <w:end w:w="90" w:type="dxa"/>
            </w:tcMar>
          </w:tcPr>
          <w:p>
            <w:r>
              <w:rPr>
                <w:rFonts w:ascii="Noto Sans" w:hAnsi="Noto Sans" w:eastAsia="Noto Sans"/>
                <w:sz w:val="17"/>
              </w:rPr>
              <w:t>Regola di implementazione</w:t>
              <w:br/>
              <w:t>Non viene introdotto un plugin custom per logica di business. Trasformazioni, mapping, object resolution e data quality restano fuori dal Gateway. Un plugin custom richiede ADR, threat model, test e ciclo di manutenzione separato.</w:t>
            </w:r>
          </w:p>
        </w:tc>
      </w:tr>
    </w:tbl>
    <w:p>
      <w:pPr>
        <w:pStyle w:val="Heading1"/>
        <w:keepNext/>
        <w:spacing w:before="160"/>
      </w:pPr>
      <w:r>
        <w:rPr>
          <w:rFonts w:ascii="Noto Sans" w:hAnsi="Noto Sans" w:eastAsia="Noto Sans"/>
        </w:rPr>
        <w:t>T7. IAM: Keycloak / IAM comunale</w:t>
      </w:r>
    </w:p>
    <w:p>
      <w:pPr>
        <w:pStyle w:val="BodyText"/>
        <w:widowControl/>
      </w:pPr>
      <w:r>
        <w:rPr>
          <w:rFonts w:ascii="Noto Sans" w:hAnsi="Noto Sans" w:eastAsia="Noto Sans"/>
        </w:rPr>
        <w:t>Il Gateway integra un Identity Provider OIDC. La baseline di riferimento usa Keycloak 26.7.x; se il Comune dispone di IAM conforme a OIDC/OAuth2, Keycloak non viene duplicato e APISIX usa il discovery endpoint dell'IAM esistente.</w:t>
      </w:r>
    </w:p>
    <w:p>
      <w:pPr>
        <w:pStyle w:val="ListBullet"/>
      </w:pPr>
      <w:r>
        <w:rPr>
          <w:rFonts w:ascii="Noto Sans" w:hAnsi="Noto Sans" w:eastAsia="Noto Sans"/>
        </w:rPr>
        <w:t>Machine-to-machine: OAuth2 Client Credentials; client separati per SUAP, SUO, SUE e integrazioni tecniche.</w:t>
      </w:r>
    </w:p>
    <w:p>
      <w:pPr>
        <w:pStyle w:val="ListBullet"/>
      </w:pPr>
      <w:r>
        <w:rPr>
          <w:rFonts w:ascii="Noto Sans" w:hAnsi="Noto Sans" w:eastAsia="Noto Sans"/>
        </w:rPr>
        <w:t>UI: Authorization Code + PKCE sul frontend/BFF; il Gateway valida access token JWT o usa introspection secondo policy IAM.</w:t>
      </w:r>
    </w:p>
    <w:p>
      <w:pPr>
        <w:pStyle w:val="ListBullet"/>
      </w:pPr>
      <w:r>
        <w:rPr>
          <w:rFonts w:ascii="Noto Sans" w:hAnsi="Noto Sans" w:eastAsia="Noto Sans"/>
        </w:rPr>
        <w:t>mTLS aggiuntivo per sorgenti selezionate o integrazioni legacy.</w:t>
      </w:r>
    </w:p>
    <w:p>
      <w:pPr>
        <w:pStyle w:val="ListBullet"/>
      </w:pPr>
      <w:r>
        <w:rPr>
          <w:rFonts w:ascii="Noto Sans" w:hAnsi="Noto Sans" w:eastAsia="Noto Sans"/>
        </w:rPr>
        <w:t>Scope iniziali: ouf.ingest.suap, ouf.ingest.suo, ouf.ingest.sue, ouf.read.activities, ouf.read.occupations, ouf.read.building_interventions, ouf.read.objects, ouf.read.geo, ouf.read.catalog, ouf.admin.sources.</w:t>
      </w:r>
    </w:p>
    <w:p>
      <w:pPr>
        <w:pStyle w:val="ListBullet"/>
      </w:pPr>
      <w:r>
        <w:rPr>
          <w:rFonts w:ascii="Noto Sans" w:hAnsi="Noto Sans" w:eastAsia="Noto Sans"/>
        </w:rPr>
        <w:t>Future RBAC/ABAC: claims role, purpose, dataClassification e domain predisposti ma non necessari nel profilo OPEN/ANONYMOUS.</w:t>
      </w:r>
    </w:p>
    <w:p>
      <w:pPr>
        <w:pStyle w:val="Heading1"/>
        <w:keepNext/>
        <w:spacing w:before="160"/>
      </w:pPr>
      <w:r>
        <w:rPr>
          <w:rFonts w:ascii="Noto Sans" w:hAnsi="Noto Sans" w:eastAsia="Noto Sans"/>
        </w:rPr>
        <w:t>T8. Secret management e PKI</w:t>
      </w:r>
    </w:p>
    <w:p>
      <w:pPr>
        <w:pStyle w:val="BodyText"/>
        <w:widowControl/>
      </w:pPr>
      <w:r>
        <w:rPr>
          <w:rFonts w:ascii="Noto Sans" w:hAnsi="Noto Sans" w:eastAsia="Noto Sans"/>
        </w:rPr>
        <w:t>OpenBao 2.6.x e il secret manager di riferimento. Le applicazioni Kubernetes si autenticano mediante service account/JWT o Kubernetes auth e ricevono secret con TTL limitato. La PKI puo emettere certificati mTLS interni; cert-manager automatizza certificati TLS Kubernetes.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blHeader w:val="true"/>
          <w:cantSplit/>
        </w:trPr>
        <w:tc>
          <w:tcPr>
            <w:tcW w:type="dxa" w:w="2448"/>
            <w:shd w:fill="0B5A73"/>
            <w:vAlign w:val="center"/>
            <w:tcMar>
              <w:top w:w="70" w:type="dxa"/>
              <w:start w:w="90" w:type="dxa"/>
              <w:bottom w:w="70" w:type="dxa"/>
              <w:end w:w="90" w:type="dxa"/>
            </w:tcMar>
          </w:tcPr>
          <w:p>
            <w:r>
              <w:rPr>
                <w:rFonts w:ascii="Noto Sans" w:hAnsi="Noto Sans" w:eastAsia="Noto Sans"/>
                <w:sz w:val="17"/>
              </w:rPr>
              <w:t>Segreto</w:t>
            </w:r>
          </w:p>
        </w:tc>
        <w:tc>
          <w:tcPr>
            <w:tcW w:type="dxa" w:w="2160"/>
            <w:shd w:fill="0B5A73"/>
            <w:vAlign w:val="center"/>
            <w:tcMar>
              <w:top w:w="70" w:type="dxa"/>
              <w:start w:w="90" w:type="dxa"/>
              <w:bottom w:w="70" w:type="dxa"/>
              <w:end w:w="90" w:type="dxa"/>
            </w:tcMar>
          </w:tcPr>
          <w:p>
            <w:r>
              <w:rPr>
                <w:rFonts w:ascii="Noto Sans" w:hAnsi="Noto Sans" w:eastAsia="Noto Sans"/>
                <w:sz w:val="17"/>
              </w:rPr>
              <w:t>Owner</w:t>
            </w:r>
          </w:p>
        </w:tc>
        <w:tc>
          <w:tcPr>
            <w:tcW w:type="dxa" w:w="3456"/>
            <w:shd w:fill="0B5A73"/>
            <w:vAlign w:val="center"/>
            <w:tcMar>
              <w:top w:w="70" w:type="dxa"/>
              <w:start w:w="90" w:type="dxa"/>
              <w:bottom w:w="70" w:type="dxa"/>
              <w:end w:w="90" w:type="dxa"/>
            </w:tcMar>
          </w:tcPr>
          <w:p>
            <w:r>
              <w:rPr>
                <w:rFonts w:ascii="Noto Sans" w:hAnsi="Noto Sans" w:eastAsia="Noto Sans"/>
                <w:sz w:val="17"/>
              </w:rPr>
              <w:t>Storage</w:t>
            </w:r>
          </w:p>
        </w:tc>
        <w:tc>
          <w:tcPr>
            <w:tcW w:type="dxa" w:w="4032"/>
            <w:shd w:fill="0B5A73"/>
            <w:vAlign w:val="center"/>
            <w:tcMar>
              <w:top w:w="70" w:type="dxa"/>
              <w:start w:w="90" w:type="dxa"/>
              <w:bottom w:w="70" w:type="dxa"/>
              <w:end w:w="90" w:type="dxa"/>
            </w:tcMar>
          </w:tcPr>
          <w:p>
            <w:r>
              <w:rPr>
                <w:rFonts w:ascii="Noto Sans" w:hAnsi="Noto Sans" w:eastAsia="Noto Sans"/>
                <w:sz w:val="17"/>
              </w:rPr>
              <w:t>Rotazione</w:t>
            </w:r>
          </w:p>
        </w:tc>
      </w:tr>
      <w:tr>
        <w:trPr>
          <w:cantSplit/>
        </w:trPr>
        <w:tc>
          <w:tcPr>
            <w:tcW w:type="dxa" w:w="2448"/>
            <w:tcMar>
              <w:top w:w="70" w:type="dxa"/>
              <w:start w:w="90" w:type="dxa"/>
              <w:bottom w:w="70" w:type="dxa"/>
              <w:end w:w="90" w:type="dxa"/>
            </w:tcMar>
            <w:vAlign w:val="top"/>
          </w:tcPr>
          <w:p>
            <w:r>
              <w:rPr>
                <w:rFonts w:ascii="Noto Sans" w:hAnsi="Noto Sans" w:eastAsia="Noto Sans"/>
                <w:sz w:val="17"/>
              </w:rPr>
              <w:t>APISIX Admin credential</w:t>
            </w:r>
          </w:p>
        </w:tc>
        <w:tc>
          <w:tcPr>
            <w:tcW w:type="dxa" w:w="2160"/>
            <w:tcMar>
              <w:top w:w="70" w:type="dxa"/>
              <w:start w:w="90" w:type="dxa"/>
              <w:bottom w:w="70" w:type="dxa"/>
              <w:end w:w="90" w:type="dxa"/>
            </w:tcMar>
            <w:vAlign w:val="top"/>
          </w:tcPr>
          <w:p>
            <w:r>
              <w:rPr>
                <w:rFonts w:ascii="Noto Sans" w:hAnsi="Noto Sans" w:eastAsia="Noto Sans"/>
                <w:sz w:val="17"/>
              </w:rPr>
              <w:t>Platform</w:t>
            </w:r>
          </w:p>
        </w:tc>
        <w:tc>
          <w:tcPr>
            <w:tcW w:type="dxa" w:w="3456"/>
            <w:tcMar>
              <w:top w:w="70" w:type="dxa"/>
              <w:start w:w="90" w:type="dxa"/>
              <w:bottom w:w="70" w:type="dxa"/>
              <w:end w:w="90" w:type="dxa"/>
            </w:tcMar>
            <w:vAlign w:val="top"/>
          </w:tcPr>
          <w:p>
            <w:r>
              <w:rPr>
                <w:rFonts w:ascii="Noto Sans" w:hAnsi="Noto Sans" w:eastAsia="Noto Sans"/>
                <w:sz w:val="17"/>
              </w:rPr>
              <w:t>OpenBao KV / dynamic policy</w:t>
            </w:r>
          </w:p>
        </w:tc>
        <w:tc>
          <w:tcPr>
            <w:tcW w:type="dxa" w:w="4032"/>
            <w:tcMar>
              <w:top w:w="70" w:type="dxa"/>
              <w:start w:w="90" w:type="dxa"/>
              <w:bottom w:w="70" w:type="dxa"/>
              <w:end w:w="90" w:type="dxa"/>
            </w:tcMar>
            <w:vAlign w:val="top"/>
          </w:tcPr>
          <w:p>
            <w:r>
              <w:rPr>
                <w:rFonts w:ascii="Noto Sans" w:hAnsi="Noto Sans" w:eastAsia="Noto Sans"/>
                <w:sz w:val="17"/>
              </w:rPr>
              <w:t>&lt;=90 giorni o evento sicurezza.</w:t>
            </w:r>
          </w:p>
        </w:tc>
      </w:tr>
      <w:tr>
        <w:trPr>
          <w:cantSplit/>
        </w:trPr>
        <w:tc>
          <w:tcPr>
            <w:tcW w:type="dxa" w:w="2448"/>
            <w:tcMar>
              <w:top w:w="70" w:type="dxa"/>
              <w:start w:w="90" w:type="dxa"/>
              <w:bottom w:w="70" w:type="dxa"/>
              <w:end w:w="90" w:type="dxa"/>
            </w:tcMar>
            <w:vAlign w:val="top"/>
            <w:shd w:fill="F7F9FA"/>
          </w:tcPr>
          <w:p>
            <w:r>
              <w:rPr>
                <w:rFonts w:ascii="Noto Sans" w:hAnsi="Noto Sans" w:eastAsia="Noto Sans"/>
                <w:sz w:val="17"/>
              </w:rPr>
              <w:t>OAuth client secret verticali</w:t>
            </w:r>
          </w:p>
        </w:tc>
        <w:tc>
          <w:tcPr>
            <w:tcW w:type="dxa" w:w="2160"/>
            <w:tcMar>
              <w:top w:w="70" w:type="dxa"/>
              <w:start w:w="90" w:type="dxa"/>
              <w:bottom w:w="70" w:type="dxa"/>
              <w:end w:w="90" w:type="dxa"/>
            </w:tcMar>
            <w:vAlign w:val="top"/>
            <w:shd w:fill="F7F9FA"/>
          </w:tcPr>
          <w:p>
            <w:r>
              <w:rPr>
                <w:rFonts w:ascii="Noto Sans" w:hAnsi="Noto Sans" w:eastAsia="Noto Sans"/>
                <w:sz w:val="17"/>
              </w:rPr>
              <w:t>IAM/Integration</w:t>
            </w:r>
          </w:p>
        </w:tc>
        <w:tc>
          <w:tcPr>
            <w:tcW w:type="dxa" w:w="3456"/>
            <w:tcMar>
              <w:top w:w="70" w:type="dxa"/>
              <w:start w:w="90" w:type="dxa"/>
              <w:bottom w:w="70" w:type="dxa"/>
              <w:end w:w="90" w:type="dxa"/>
            </w:tcMar>
            <w:vAlign w:val="top"/>
            <w:shd w:fill="F7F9FA"/>
          </w:tcPr>
          <w:p>
            <w:r>
              <w:rPr>
                <w:rFonts w:ascii="Noto Sans" w:hAnsi="Noto Sans" w:eastAsia="Noto Sans"/>
                <w:sz w:val="17"/>
              </w:rPr>
              <w:t>OpenBao</w:t>
            </w:r>
          </w:p>
        </w:tc>
        <w:tc>
          <w:tcPr>
            <w:tcW w:type="dxa" w:w="4032"/>
            <w:tcMar>
              <w:top w:w="70" w:type="dxa"/>
              <w:start w:w="90" w:type="dxa"/>
              <w:bottom w:w="70" w:type="dxa"/>
              <w:end w:w="90" w:type="dxa"/>
            </w:tcMar>
            <w:vAlign w:val="top"/>
            <w:shd w:fill="F7F9FA"/>
          </w:tcPr>
          <w:p>
            <w:r>
              <w:rPr>
                <w:rFonts w:ascii="Noto Sans" w:hAnsi="Noto Sans" w:eastAsia="Noto Sans"/>
                <w:sz w:val="17"/>
              </w:rPr>
              <w:t>Automatica se supportata; altrimenti &lt;=90 giorni.</w:t>
            </w:r>
          </w:p>
        </w:tc>
      </w:tr>
      <w:tr>
        <w:trPr>
          <w:cantSplit/>
        </w:trPr>
        <w:tc>
          <w:tcPr>
            <w:tcW w:type="dxa" w:w="2448"/>
            <w:tcMar>
              <w:top w:w="70" w:type="dxa"/>
              <w:start w:w="90" w:type="dxa"/>
              <w:bottom w:w="70" w:type="dxa"/>
              <w:end w:w="90" w:type="dxa"/>
            </w:tcMar>
            <w:vAlign w:val="top"/>
          </w:tcPr>
          <w:p>
            <w:r>
              <w:rPr>
                <w:rFonts w:ascii="Noto Sans" w:hAnsi="Noto Sans" w:eastAsia="Noto Sans"/>
                <w:sz w:val="17"/>
              </w:rPr>
              <w:t>mTLS client cert</w:t>
            </w:r>
          </w:p>
        </w:tc>
        <w:tc>
          <w:tcPr>
            <w:tcW w:type="dxa" w:w="2160"/>
            <w:tcMar>
              <w:top w:w="70" w:type="dxa"/>
              <w:start w:w="90" w:type="dxa"/>
              <w:bottom w:w="70" w:type="dxa"/>
              <w:end w:w="90" w:type="dxa"/>
            </w:tcMar>
            <w:vAlign w:val="top"/>
          </w:tcPr>
          <w:p>
            <w:r>
              <w:rPr>
                <w:rFonts w:ascii="Noto Sans" w:hAnsi="Noto Sans" w:eastAsia="Noto Sans"/>
                <w:sz w:val="17"/>
              </w:rPr>
              <w:t>Security/PKI</w:t>
            </w:r>
          </w:p>
        </w:tc>
        <w:tc>
          <w:tcPr>
            <w:tcW w:type="dxa" w:w="3456"/>
            <w:tcMar>
              <w:top w:w="70" w:type="dxa"/>
              <w:start w:w="90" w:type="dxa"/>
              <w:bottom w:w="70" w:type="dxa"/>
              <w:end w:w="90" w:type="dxa"/>
            </w:tcMar>
            <w:vAlign w:val="top"/>
          </w:tcPr>
          <w:p>
            <w:r>
              <w:rPr>
                <w:rFonts w:ascii="Noto Sans" w:hAnsi="Noto Sans" w:eastAsia="Noto Sans"/>
                <w:sz w:val="17"/>
              </w:rPr>
              <w:t>OpenBao PKI</w:t>
            </w:r>
          </w:p>
        </w:tc>
        <w:tc>
          <w:tcPr>
            <w:tcW w:type="dxa" w:w="4032"/>
            <w:tcMar>
              <w:top w:w="70" w:type="dxa"/>
              <w:start w:w="90" w:type="dxa"/>
              <w:bottom w:w="70" w:type="dxa"/>
              <w:end w:w="90" w:type="dxa"/>
            </w:tcMar>
            <w:vAlign w:val="top"/>
          </w:tcPr>
          <w:p>
            <w:r>
              <w:rPr>
                <w:rFonts w:ascii="Noto Sans" w:hAnsi="Noto Sans" w:eastAsia="Noto Sans"/>
                <w:sz w:val="17"/>
              </w:rPr>
              <w:t>TTL breve, rinnovo automatico.</w:t>
            </w:r>
          </w:p>
        </w:tc>
      </w:tr>
      <w:tr>
        <w:trPr>
          <w:cantSplit/>
        </w:trPr>
        <w:tc>
          <w:tcPr>
            <w:tcW w:type="dxa" w:w="2448"/>
            <w:tcMar>
              <w:top w:w="70" w:type="dxa"/>
              <w:start w:w="90" w:type="dxa"/>
              <w:bottom w:w="70" w:type="dxa"/>
              <w:end w:w="90" w:type="dxa"/>
            </w:tcMar>
            <w:vAlign w:val="top"/>
            <w:shd w:fill="F7F9FA"/>
          </w:tcPr>
          <w:p>
            <w:r>
              <w:rPr>
                <w:rFonts w:ascii="Noto Sans" w:hAnsi="Noto Sans" w:eastAsia="Noto Sans"/>
                <w:sz w:val="17"/>
              </w:rPr>
              <w:t>etcd peer/client cert</w:t>
            </w:r>
          </w:p>
        </w:tc>
        <w:tc>
          <w:tcPr>
            <w:tcW w:type="dxa" w:w="2160"/>
            <w:tcMar>
              <w:top w:w="70" w:type="dxa"/>
              <w:start w:w="90" w:type="dxa"/>
              <w:bottom w:w="70" w:type="dxa"/>
              <w:end w:w="90" w:type="dxa"/>
            </w:tcMar>
            <w:vAlign w:val="top"/>
            <w:shd w:fill="F7F9FA"/>
          </w:tcPr>
          <w:p>
            <w:r>
              <w:rPr>
                <w:rFonts w:ascii="Noto Sans" w:hAnsi="Noto Sans" w:eastAsia="Noto Sans"/>
                <w:sz w:val="17"/>
              </w:rPr>
              <w:t>Platform/PKI</w:t>
            </w:r>
          </w:p>
        </w:tc>
        <w:tc>
          <w:tcPr>
            <w:tcW w:type="dxa" w:w="3456"/>
            <w:tcMar>
              <w:top w:w="70" w:type="dxa"/>
              <w:start w:w="90" w:type="dxa"/>
              <w:bottom w:w="70" w:type="dxa"/>
              <w:end w:w="90" w:type="dxa"/>
            </w:tcMar>
            <w:vAlign w:val="top"/>
            <w:shd w:fill="F7F9FA"/>
          </w:tcPr>
          <w:p>
            <w:r>
              <w:rPr>
                <w:rFonts w:ascii="Noto Sans" w:hAnsi="Noto Sans" w:eastAsia="Noto Sans"/>
                <w:sz w:val="17"/>
              </w:rPr>
              <w:t>OpenBao PKI/cert-manager</w:t>
            </w:r>
          </w:p>
        </w:tc>
        <w:tc>
          <w:tcPr>
            <w:tcW w:type="dxa" w:w="4032"/>
            <w:tcMar>
              <w:top w:w="70" w:type="dxa"/>
              <w:start w:w="90" w:type="dxa"/>
              <w:bottom w:w="70" w:type="dxa"/>
              <w:end w:w="90" w:type="dxa"/>
            </w:tcMar>
            <w:vAlign w:val="top"/>
            <w:shd w:fill="F7F9FA"/>
          </w:tcPr>
          <w:p>
            <w:r>
              <w:rPr>
                <w:rFonts w:ascii="Noto Sans" w:hAnsi="Noto Sans" w:eastAsia="Noto Sans"/>
                <w:sz w:val="17"/>
              </w:rPr>
              <w:t>Rinnovo automatico, mTLS.</w:t>
            </w:r>
          </w:p>
        </w:tc>
      </w:tr>
      <w:tr>
        <w:trPr>
          <w:cantSplit/>
        </w:trPr>
        <w:tc>
          <w:tcPr>
            <w:tcW w:type="dxa" w:w="2448"/>
            <w:tcMar>
              <w:top w:w="70" w:type="dxa"/>
              <w:start w:w="90" w:type="dxa"/>
              <w:bottom w:w="70" w:type="dxa"/>
              <w:end w:w="90" w:type="dxa"/>
            </w:tcMar>
            <w:vAlign w:val="top"/>
          </w:tcPr>
          <w:p>
            <w:r>
              <w:rPr>
                <w:rFonts w:ascii="Noto Sans" w:hAnsi="Noto Sans" w:eastAsia="Noto Sans"/>
                <w:sz w:val="17"/>
              </w:rPr>
              <w:t>WFS/WMS credential</w:t>
            </w:r>
          </w:p>
        </w:tc>
        <w:tc>
          <w:tcPr>
            <w:tcW w:type="dxa" w:w="2160"/>
            <w:tcMar>
              <w:top w:w="70" w:type="dxa"/>
              <w:start w:w="90" w:type="dxa"/>
              <w:bottom w:w="70" w:type="dxa"/>
              <w:end w:w="90" w:type="dxa"/>
            </w:tcMar>
            <w:vAlign w:val="top"/>
          </w:tcPr>
          <w:p>
            <w:r>
              <w:rPr>
                <w:rFonts w:ascii="Noto Sans" w:hAnsi="Noto Sans" w:eastAsia="Noto Sans"/>
                <w:sz w:val="17"/>
              </w:rPr>
              <w:t>Source owner</w:t>
            </w:r>
          </w:p>
        </w:tc>
        <w:tc>
          <w:tcPr>
            <w:tcW w:type="dxa" w:w="3456"/>
            <w:tcMar>
              <w:top w:w="70" w:type="dxa"/>
              <w:start w:w="90" w:type="dxa"/>
              <w:bottom w:w="70" w:type="dxa"/>
              <w:end w:w="90" w:type="dxa"/>
            </w:tcMar>
            <w:vAlign w:val="top"/>
          </w:tcPr>
          <w:p>
            <w:r>
              <w:rPr>
                <w:rFonts w:ascii="Noto Sans" w:hAnsi="Noto Sans" w:eastAsia="Noto Sans"/>
                <w:sz w:val="17"/>
              </w:rPr>
              <w:t>OpenBao</w:t>
            </w:r>
          </w:p>
        </w:tc>
        <w:tc>
          <w:tcPr>
            <w:tcW w:type="dxa" w:w="4032"/>
            <w:tcMar>
              <w:top w:w="70" w:type="dxa"/>
              <w:start w:w="90" w:type="dxa"/>
              <w:bottom w:w="70" w:type="dxa"/>
              <w:end w:w="90" w:type="dxa"/>
            </w:tcMar>
            <w:vAlign w:val="top"/>
          </w:tcPr>
          <w:p>
            <w:r>
              <w:rPr>
                <w:rFonts w:ascii="Noto Sans" w:hAnsi="Noto Sans" w:eastAsia="Noto Sans"/>
                <w:sz w:val="17"/>
              </w:rPr>
              <w:t>Per sorgente; mai in manifest Git.</w:t>
            </w:r>
          </w:p>
        </w:tc>
      </w:tr>
    </w:tbl>
    <w:p>
      <w:pPr>
        <w:pStyle w:val="Heading1"/>
        <w:keepNext/>
        <w:spacing w:before="160"/>
      </w:pPr>
      <w:r>
        <w:rPr>
          <w:rFonts w:ascii="Noto Sans" w:hAnsi="Noto Sans" w:eastAsia="Noto Sans"/>
        </w:rPr>
        <w:t>T9. Source runtime artifacts e Capability Manifest: materializzazione tecnologica</w:t>
      </w:r>
    </w:p>
    <w:p>
      <w:pPr>
        <w:pStyle w:val="BodyText"/>
        <w:widowControl/>
      </w:pPr>
      <w:r>
        <w:rPr>
          <w:rFonts w:ascii="Noto Sans" w:hAnsi="Noto Sans" w:eastAsia="Noto Sans"/>
        </w:rPr>
        <w:t>Nella v1.0.5 gli artefatti runtime del Gateway restano YAML versionati in Git e possono essere generati dal modulo Source Onboarding / Source Configuration. La pipeline valida JSON Schema e referential integrity e genera le risorse Kubernetes/APISIX. Il repository del Gateway contiene solo viste runtime, non il modello completo di onboarding.</w:t>
      </w:r>
    </w:p>
    <w:p>
      <w:pPr>
        <w:spacing w:before="80" w:after="100"/>
        <w:ind w:left="173" w:right="173"/>
        <w:shd w:fill="F3F5F7"/>
      </w:pPr>
      <w:r>
        <w:rPr>
          <w:rFonts w:ascii="Noto Sans" w:hAnsi="Noto Sans" w:eastAsia="Noto Sans"/>
          <w:sz w:val="15"/>
        </w:rPr>
        <w:t>ouf-config/</w:t>
        <w:br/>
        <w:t xml:space="preserve">  capabilities/</w:t>
        <w:br/>
        <w:t xml:space="preserve">    urban.activities.search.yaml</w:t>
        <w:br/>
        <w:t xml:space="preserve">    urban.objects.search.yaml</w:t>
        <w:br/>
        <w:t xml:space="preserve">  source-runtime/</w:t>
        <w:br/>
        <w:t xml:space="preserve">    suap-prod.yaml</w:t>
        <w:br/>
        <w:t xml:space="preserve">    suo-prod.yaml</w:t>
        <w:br/>
        <w:t xml:space="preserve">    sue-prod.yaml</w:t>
        <w:br/>
        <w:t xml:space="preserve">  extraction-runtime/</w:t>
        <w:br/>
        <w:t xml:space="preserve">    suap.concluded-procedures.v1.yaml</w:t>
        <w:br/>
        <w:t xml:space="preserve">    suo.concluded-procedures.v1.yaml</w:t>
        <w:br/>
        <w:t xml:space="preserve">    sue.concluded-procedures.v1.yaml</w:t>
        <w:br/>
        <w:t xml:space="preserve">  routes/</w:t>
        <w:br/>
        <w:t xml:space="preserve">    northbound/</w:t>
        <w:br/>
        <w:t xml:space="preserve">    southbound/</w:t>
        <w:br/>
        <w:t xml:space="preserve">  policies/</w:t>
        <w:br/>
        <w:t xml:space="preserve">  schemas/</w:t>
        <w:br/>
        <w:t xml:space="preserve">  environments/</w:t>
        <w:br/>
        <w:t xml:space="preserve">    dev/</w:t>
        <w:br/>
        <w:t xml:space="preserve">    test/</w:t>
        <w:br/>
        <w:t xml:space="preserve">    prod/</w:t>
      </w:r>
    </w:p>
    <w:p>
      <w:pPr>
        <w:pStyle w:val="ListBullet"/>
      </w:pPr>
      <w:r>
        <w:rPr>
          <w:rFonts w:ascii="Noto Sans" w:hAnsi="Noto Sans" w:eastAsia="Noto Sans"/>
        </w:rPr>
        <w:t>Pre-merge validation: YAML lint, JSON Schema, OpenAPI lint, capability/source/extractionProfile referential integrity.</w:t>
      </w:r>
    </w:p>
    <w:p>
      <w:pPr>
        <w:pStyle w:val="ListBullet"/>
      </w:pPr>
      <w:r>
        <w:rPr>
          <w:rFonts w:ascii="Noto Sans" w:hAnsi="Noto Sans" w:eastAsia="Noto Sans"/>
        </w:rPr>
        <w:t>Generation: Route Binding e PluginConfig derivati dai manifest approvati.</w:t>
      </w:r>
    </w:p>
    <w:p>
      <w:pPr>
        <w:pStyle w:val="ListBullet"/>
      </w:pPr>
      <w:r>
        <w:rPr>
          <w:rFonts w:ascii="Noto Sans" w:hAnsi="Noto Sans" w:eastAsia="Noto Sans"/>
        </w:rPr>
        <w:t>Argo CD applica solo artefatti provenienti dal branch/tag di ambiente approvato.</w:t>
      </w:r>
    </w:p>
    <w:p>
      <w:pPr>
        <w:pStyle w:val="ListBullet"/>
      </w:pPr>
      <w:r>
        <w:rPr>
          <w:rFonts w:ascii="Noto Sans" w:hAnsi="Noto Sans" w:eastAsia="Noto Sans"/>
        </w:rPr>
        <w:t>Il Gateway non scrive nel repository e non modifica autonomamente gli artefatti pubblicati dal Source Onboarding / Source Configuration.</w:t>
      </w:r>
    </w:p>
    <w:p>
      <w:pPr>
        <w:pStyle w:val="Heading2"/>
      </w:pPr>
      <w:r>
        <w:rPr>
          <w:rFonts w:ascii="Noto Sans" w:hAnsi="Noto Sans" w:eastAsia="Noto Sans"/>
        </w:rPr>
        <w:t>T9.1 Extraction Profile runtime e separazione dalla semantica</w:t>
      </w:r>
    </w:p>
    <w:p>
      <w:pPr>
        <w:pStyle w:val="BodyText"/>
      </w:pPr>
      <w:r>
        <w:rPr>
          <w:rFonts w:ascii="Noto Sans" w:hAnsi="Noto Sans" w:eastAsia="Noto Sans"/>
        </w:rPr>
        <w:t>La materializzazione tecnologica del Gateway contiene una vista compilata dell’Extraction Profile. Tale vista può includere codici sorgente, filtri, field projection e strategie incrementali, ma non contiene la motivazione/classificazione che li ha prodotti. Ontologie, vocabolari, field classification e mapping restano nei moduli di onboarding e semantica.</w:t>
      </w:r>
    </w:p>
    <w:p>
      <w:pPr>
        <w:shd w:fill="F3F5F7"/>
      </w:pPr>
      <w:r>
        <w:rPr>
          <w:rFonts w:ascii="Noto Sans" w:hAnsi="Noto Sans" w:eastAsia="Noto Sans"/>
          <w:sz w:val="15"/>
        </w:rPr>
        <w:t>source-onboarding/   # modulo esterno al Gateway</w:t>
        <w:br/>
        <w:t xml:space="preserve">  sources/</w:t>
        <w:br/>
        <w:t xml:space="preserve">  procedure-types/</w:t>
        <w:br/>
        <w:t xml:space="preserve">  field-classification/</w:t>
        <w:br/>
        <w:t xml:space="preserve">  extraction-profiles/</w:t>
        <w:br/>
        <w:t xml:space="preserve">  semantic-mappings/</w:t>
        <w:br/>
        <w:t xml:space="preserve">  approvals/</w:t>
        <w:br/>
        <w:br/>
        <w:t>ouf-config/          # sola proiezione runtime Gateway</w:t>
        <w:br/>
        <w:t xml:space="preserve">  source-runtime/</w:t>
        <w:br/>
        <w:t xml:space="preserve">  extraction-runtime/</w:t>
        <w:br/>
        <w:t xml:space="preserve">  routes/</w:t>
        <w:br/>
        <w:t xml:space="preserve">  policies/</w:t>
      </w:r>
    </w:p>
    <w:p>
      <w:pPr>
        <w:pStyle w:val="ListBullet"/>
      </w:pPr>
      <w:r>
        <w:rPr>
          <w:rFonts w:ascii="Noto Sans" w:hAnsi="Noto Sans" w:eastAsia="Noto Sans"/>
        </w:rPr>
        <w:t>La CI del Gateway valida che ogni route PULL attiva referenzi un extractionProfileId/version pubblicato e un endpoint/credential binding risolvibile.</w:t>
      </w:r>
    </w:p>
    <w:p>
      <w:pPr>
        <w:pStyle w:val="ListBullet"/>
      </w:pPr>
      <w:r>
        <w:rPr>
          <w:rFonts w:ascii="Noto Sans" w:hAnsi="Noto Sans" w:eastAsia="Noto Sans"/>
        </w:rPr>
        <w:t>La validità semantica, la classificazione dei campi e l’approvazione umana sono prerequisiti di pubblicazione gestiti dal modulo di onboarding; il Gateway riceve soltanto lo stato runtime APPROVED/ACTIVE.</w:t>
      </w:r>
    </w:p>
    <w:p>
      <w:pPr>
        <w:pStyle w:val="ListBullet"/>
      </w:pPr>
      <w:r>
        <w:rPr>
          <w:rFonts w:ascii="Noto Sans" w:hAnsi="Noto Sans" w:eastAsia="Noto Sans"/>
        </w:rPr>
        <w:t>Nessuna HTTPRoute o PluginConfig contiene canonicalType, URI ontologiche, codici di vocabolario o classificazioni privacy come logica di routing.</w:t>
      </w:r>
    </w:p>
    <w:p>
      <w:pPr>
        <w:pStyle w:val="ListBullet"/>
      </w:pPr>
      <w:r>
        <w:rPr>
          <w:rFonts w:ascii="Noto Sans" w:hAnsi="Noto Sans" w:eastAsia="Noto Sans"/>
        </w:rPr>
        <w:t>La field projection compilata dall’Extraction Profile può invece essere enforced dal Gateway/Connector per impedire richieste di campi non autorizzati.</w:t>
      </w:r>
    </w:p>
    <w:p>
      <w:pPr>
        <w:pStyle w:val="Heading2"/>
      </w:pPr>
      <w:r>
        <w:rPr>
          <w:rFonts w:ascii="Noto Sans" w:hAnsi="Noto Sans" w:eastAsia="Noto Sans"/>
        </w:rPr>
        <w:t>T9.2 Runtime publication gate</w:t>
      </w:r>
    </w:p>
    <w:p>
      <w:pPr>
        <w:pStyle w:val="BodyText"/>
      </w:pPr>
      <w:r>
        <w:rPr>
          <w:rFonts w:ascii="Noto Sans" w:hAnsi="Noto Sans" w:eastAsia="Noto Sans"/>
        </w:rPr>
        <w:t>APISIX può materializzare e usare soltanto artefatti runtime nello stato APPROVED/ACTIVE pubblicati dal Source Onboarding / Source Configuration. Il Gateway non conosce né gestisce gli stati interni del workflow di onboarding e non approva autonomamente fonti, campi o mapping.</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871"/>
            <w:shd w:fill="0B5D73"/>
            <w:vAlign w:val="center"/>
          </w:tcPr>
          <w:p>
            <w:r>
              <w:rPr>
                <w:rFonts w:ascii="Noto Sans" w:hAnsi="Noto Sans" w:eastAsia="Noto Sans"/>
                <w:sz w:val="17"/>
              </w:rPr>
              <w:t>Stato</w:t>
            </w:r>
          </w:p>
        </w:tc>
        <w:tc>
          <w:tcPr>
            <w:tcW w:type="dxa" w:w="4252"/>
            <w:shd w:fill="0B5D73"/>
            <w:vAlign w:val="center"/>
          </w:tcPr>
          <w:p>
            <w:r>
              <w:rPr>
                <w:rFonts w:ascii="Noto Sans" w:hAnsi="Noto Sans" w:eastAsia="Noto Sans"/>
                <w:sz w:val="17"/>
              </w:rPr>
              <w:t>Significato</w:t>
            </w:r>
          </w:p>
        </w:tc>
        <w:tc>
          <w:tcPr>
            <w:tcW w:type="dxa" w:w="4195"/>
            <w:shd w:fill="0B5D73"/>
            <w:vAlign w:val="center"/>
          </w:tcPr>
          <w:p>
            <w:r>
              <w:rPr>
                <w:rFonts w:ascii="Noto Sans" w:hAnsi="Noto Sans" w:eastAsia="Noto Sans"/>
                <w:sz w:val="17"/>
              </w:rPr>
              <w:t>Effetto runtime</w:t>
            </w:r>
          </w:p>
        </w:tc>
      </w:tr>
      <w:tr>
        <w:tc>
          <w:tcPr>
            <w:tcW w:type="dxa" w:w="1871"/>
          </w:tcPr>
          <w:p>
            <w:r>
              <w:rPr>
                <w:rFonts w:ascii="Noto Sans" w:hAnsi="Noto Sans" w:eastAsia="Noto Sans"/>
                <w:sz w:val="17"/>
              </w:rPr>
              <w:t>DISCOVERED</w:t>
            </w:r>
          </w:p>
        </w:tc>
        <w:tc>
          <w:tcPr>
            <w:tcW w:type="dxa" w:w="4252"/>
          </w:tcPr>
          <w:p>
            <w:r>
              <w:rPr>
                <w:rFonts w:ascii="Noto Sans" w:hAnsi="Noto Sans" w:eastAsia="Noto Sans"/>
                <w:sz w:val="17"/>
              </w:rPr>
              <w:t>Tipo rilevato ma non configurato</w:t>
            </w:r>
          </w:p>
        </w:tc>
        <w:tc>
          <w:tcPr>
            <w:tcW w:type="dxa" w:w="4195"/>
          </w:tcPr>
          <w:p>
            <w:r>
              <w:rPr>
                <w:rFonts w:ascii="Noto Sans" w:hAnsi="Noto Sans" w:eastAsia="Noto Sans"/>
                <w:sz w:val="17"/>
              </w:rPr>
              <w:t>Quarantena / onboarding richiesto</w:t>
            </w:r>
          </w:p>
        </w:tc>
      </w:tr>
      <w:tr>
        <w:tc>
          <w:tcPr>
            <w:tcW w:type="dxa" w:w="1871"/>
          </w:tcPr>
          <w:p>
            <w:r>
              <w:rPr>
                <w:rFonts w:ascii="Noto Sans" w:hAnsi="Noto Sans" w:eastAsia="Noto Sans"/>
                <w:sz w:val="17"/>
              </w:rPr>
              <w:t>TECHNICALLY_CONFIGURED</w:t>
            </w:r>
          </w:p>
        </w:tc>
        <w:tc>
          <w:tcPr>
            <w:tcW w:type="dxa" w:w="4252"/>
          </w:tcPr>
          <w:p>
            <w:r>
              <w:rPr>
                <w:rFonts w:ascii="Noto Sans" w:hAnsi="Noto Sans" w:eastAsia="Noto Sans"/>
                <w:sz w:val="17"/>
              </w:rPr>
              <w:t>Schema e discriminator noti</w:t>
            </w:r>
          </w:p>
        </w:tc>
        <w:tc>
          <w:tcPr>
            <w:tcW w:type="dxa" w:w="4195"/>
          </w:tcPr>
          <w:p>
            <w:r>
              <w:rPr>
                <w:rFonts w:ascii="Noto Sans" w:hAnsi="Noto Sans" w:eastAsia="Noto Sans"/>
                <w:sz w:val="17"/>
              </w:rPr>
              <w:t>Ingestion tecnica ammessa; no promozione canonica</w:t>
            </w:r>
          </w:p>
        </w:tc>
      </w:tr>
      <w:tr>
        <w:tc>
          <w:tcPr>
            <w:tcW w:type="dxa" w:w="1871"/>
          </w:tcPr>
          <w:p>
            <w:r>
              <w:rPr>
                <w:rFonts w:ascii="Noto Sans" w:hAnsi="Noto Sans" w:eastAsia="Noto Sans"/>
                <w:sz w:val="17"/>
              </w:rPr>
              <w:t>SEMANTICALLY_MAPPED</w:t>
            </w:r>
          </w:p>
        </w:tc>
        <w:tc>
          <w:tcPr>
            <w:tcW w:type="dxa" w:w="4252"/>
          </w:tcPr>
          <w:p>
            <w:r>
              <w:rPr>
                <w:rFonts w:ascii="Noto Sans" w:hAnsi="Noto Sans" w:eastAsia="Noto Sans"/>
                <w:sz w:val="17"/>
              </w:rPr>
              <w:t>Mapping approvato disponibile</w:t>
            </w:r>
          </w:p>
        </w:tc>
        <w:tc>
          <w:tcPr>
            <w:tcW w:type="dxa" w:w="4195"/>
          </w:tcPr>
          <w:p>
            <w:r>
              <w:rPr>
                <w:rFonts w:ascii="Noto Sans" w:hAnsi="Noto Sans" w:eastAsia="Noto Sans"/>
                <w:sz w:val="17"/>
              </w:rPr>
              <w:t>Classificazione canonica eseguibile</w:t>
            </w:r>
          </w:p>
        </w:tc>
      </w:tr>
      <w:tr>
        <w:tc>
          <w:tcPr>
            <w:tcW w:type="dxa" w:w="1871"/>
          </w:tcPr>
          <w:p>
            <w:r>
              <w:rPr>
                <w:rFonts w:ascii="Noto Sans" w:hAnsi="Noto Sans" w:eastAsia="Noto Sans"/>
                <w:sz w:val="17"/>
              </w:rPr>
              <w:t>VALIDATED</w:t>
            </w:r>
          </w:p>
        </w:tc>
        <w:tc>
          <w:tcPr>
            <w:tcW w:type="dxa" w:w="4252"/>
          </w:tcPr>
          <w:p>
            <w:r>
              <w:rPr>
                <w:rFonts w:ascii="Noto Sans" w:hAnsi="Noto Sans" w:eastAsia="Noto Sans"/>
                <w:sz w:val="17"/>
              </w:rPr>
              <w:t>Test tecnici e semantici superati</w:t>
            </w:r>
          </w:p>
        </w:tc>
        <w:tc>
          <w:tcPr>
            <w:tcW w:type="dxa" w:w="4195"/>
          </w:tcPr>
          <w:p>
            <w:r>
              <w:rPr>
                <w:rFonts w:ascii="Noto Sans" w:hAnsi="Noto Sans" w:eastAsia="Noto Sans"/>
                <w:sz w:val="17"/>
              </w:rPr>
              <w:t>Pronto per attivazione</w:t>
            </w:r>
          </w:p>
        </w:tc>
      </w:tr>
      <w:tr>
        <w:tc>
          <w:tcPr>
            <w:tcW w:type="dxa" w:w="1871"/>
          </w:tcPr>
          <w:p>
            <w:r>
              <w:rPr>
                <w:rFonts w:ascii="Noto Sans" w:hAnsi="Noto Sans" w:eastAsia="Noto Sans"/>
                <w:sz w:val="17"/>
              </w:rPr>
              <w:t>ACTIVE</w:t>
            </w:r>
          </w:p>
        </w:tc>
        <w:tc>
          <w:tcPr>
            <w:tcW w:type="dxa" w:w="4252"/>
          </w:tcPr>
          <w:p>
            <w:r>
              <w:rPr>
                <w:rFonts w:ascii="Noto Sans" w:hAnsi="Noto Sans" w:eastAsia="Noto Sans"/>
                <w:sz w:val="17"/>
              </w:rPr>
              <w:t>Configurazione promossa in ambiente</w:t>
            </w:r>
          </w:p>
        </w:tc>
        <w:tc>
          <w:tcPr>
            <w:tcW w:type="dxa" w:w="4195"/>
          </w:tcPr>
          <w:p>
            <w:r>
              <w:rPr>
                <w:rFonts w:ascii="Noto Sans" w:hAnsi="Noto Sans" w:eastAsia="Noto Sans"/>
                <w:sz w:val="17"/>
              </w:rPr>
              <w:t>Elaborazione ordinaria</w:t>
            </w:r>
          </w:p>
        </w:tc>
      </w:tr>
    </w:tbl>
    <w:p>
      <w:pPr>
        <w:pStyle w:val="Heading1"/>
        <w:keepNext/>
        <w:spacing w:before="160"/>
      </w:pPr>
      <w:r>
        <w:rPr>
          <w:rFonts w:ascii="Noto Sans" w:hAnsi="Noto Sans" w:eastAsia="Noto Sans"/>
        </w:rPr>
        <w:t>T10. Northbound: implementazione ingress</w:t>
      </w:r>
    </w:p>
    <w:p>
      <w:pPr>
        <w:pStyle w:val="BodyText"/>
        <w:widowControl/>
      </w:pPr>
      <w:r>
        <w:rPr>
          <w:rFonts w:ascii="Noto Sans" w:hAnsi="Noto Sans" w:eastAsia="Noto Sans"/>
        </w:rPr>
        <w:t>Il listener pubblico termina TLS sul load balancer o direttamente su APISIX secondo il profilo infrastrutturale. In entrambi i casi il tratto LB-&gt;APISIX deve restare TLS in produzione quando attraversa una rete condivisa. La route applica policy capability-specific.</w:t>
      </w:r>
    </w:p>
    <w:p>
      <w:pPr>
        <w:spacing w:before="80" w:after="100"/>
        <w:ind w:left="173" w:right="173"/>
        <w:shd w:fill="F3F5F7"/>
      </w:pPr>
      <w:r>
        <w:rPr>
          <w:rFonts w:ascii="Noto Sans" w:hAnsi="Noto Sans" w:eastAsia="DejaVu Sans Mono"/>
          <w:sz w:val="17"/>
        </w:rPr>
        <w:t>Request -&gt; TLS -&gt; client/auth validation -&gt; request-id -&gt; rate limit -&gt;</w:t>
        <w:br/>
        <w:t>request-validation -&gt; route resolution -&gt; upstream TLS -&gt; response policy -&gt;</w:t>
        <w:br/>
        <w:t>access log / metrics / trace</w:t>
      </w:r>
    </w:p>
    <w:p>
      <w:pPr>
        <w:pStyle w:val="BodyText"/>
        <w:widowControl/>
      </w:pPr>
      <w:r>
        <w:rPr>
          <w:rFonts w:ascii="Noto Sans" w:hAnsi="Noto Sans" w:eastAsia="Noto Sans"/>
        </w:rPr>
        <w:t>Per ingestion viene restituito 202 Accepted dopo l'accettazione tecnica da parte del Connector Framework. Il Gateway non attende il completamento ETL. Il backend deve restituire ingestionId e statusUrl conformi al contratto.</w:t>
      </w:r>
    </w:p>
    <w:p>
      <w:pPr>
        <w:pStyle w:val="Heading1"/>
        <w:keepNext/>
        <w:spacing w:before="160"/>
      </w:pPr>
      <w:r>
        <w:rPr>
          <w:rFonts w:ascii="Noto Sans" w:hAnsi="Noto Sans" w:eastAsia="Noto Sans"/>
        </w:rPr>
        <w:t>T11. Southbound: egress governato</w:t>
      </w:r>
    </w:p>
    <w:p>
      <w:pPr>
        <w:pStyle w:val="BodyText"/>
        <w:widowControl/>
      </w:pPr>
      <w:r>
        <w:rPr>
          <w:rFonts w:ascii="Noto Sans" w:hAnsi="Noto Sans" w:eastAsia="Noto Sans"/>
        </w:rPr>
        <w:t>I Connector non chiamano direttamente Internet o reti verticali. Chiamano il Service interno apisix-southbound con hostname logico e route registrata. APISIX effettua DNS resolution, TLS validation, aggiunge credenziali tecniche quando previsto e instrada soltanto verso upstream allowlisted.</w:t>
      </w:r>
    </w:p>
    <w:p>
      <w:pPr>
        <w:spacing w:before="80" w:after="100"/>
        <w:ind w:left="173" w:right="173"/>
        <w:shd w:fill="F3F5F7"/>
      </w:pPr>
      <w:r>
        <w:rPr>
          <w:rFonts w:ascii="Noto Sans" w:hAnsi="Noto Sans" w:eastAsia="DejaVu Sans Mono"/>
          <w:sz w:val="17"/>
        </w:rPr>
        <w:t>connector -&gt; https://apisix-southbound.ouf-gateway.svc/source/sue/...</w:t>
        <w:br/>
        <w:t xml:space="preserve">           -&gt; route sourceId=sue-prod</w:t>
        <w:br/>
        <w:t xml:space="preserve">           -&gt; credential reference from secret injection</w:t>
        <w:br/>
        <w:t xml:space="preserve">           -&gt; https://sue.example.local/...</w:t>
      </w:r>
    </w:p>
    <w:p>
      <w:pPr>
        <w:pStyle w:val="ListBullet"/>
      </w:pPr>
      <w:r>
        <w:rPr>
          <w:rFonts w:ascii="Noto Sans" w:hAnsi="Noto Sans" w:eastAsia="Noto Sans"/>
        </w:rPr>
        <w:t>Nessun forward proxy generico e nessun CONNECT aperto.</w:t>
      </w:r>
    </w:p>
    <w:p>
      <w:pPr>
        <w:pStyle w:val="ListBullet"/>
      </w:pPr>
      <w:r>
        <w:rPr>
          <w:rFonts w:ascii="Noto Sans" w:hAnsi="Noto Sans" w:eastAsia="Noto Sans"/>
        </w:rPr>
        <w:t>Ogni destinazione ha host/SNI, porta, CA, timeout e retry dichiarati nel Source Manifest.</w:t>
      </w:r>
    </w:p>
    <w:p>
      <w:pPr>
        <w:pStyle w:val="ListBullet"/>
      </w:pPr>
      <w:r>
        <w:rPr>
          <w:rFonts w:ascii="Noto Sans" w:hAnsi="Noto Sans" w:eastAsia="Noto Sans"/>
        </w:rPr>
        <w:t>Retry solo per operazioni idempotenti o esplicitamente marcate safe-to-retry.</w:t>
      </w:r>
    </w:p>
    <w:p>
      <w:pPr>
        <w:pStyle w:val="ListBullet"/>
      </w:pPr>
      <w:r>
        <w:rPr>
          <w:rFonts w:ascii="Noto Sans" w:hAnsi="Noto Sans" w:eastAsia="Noto Sans"/>
        </w:rPr>
        <w:t>Circuit breaking e health check upstream configurati dove il protocollo lo consente.</w:t>
      </w:r>
    </w:p>
    <w:p>
      <w:pPr>
        <w:pStyle w:val="ListBullet"/>
      </w:pPr>
      <w:r>
        <w:rPr>
          <w:rFonts w:ascii="Noto Sans" w:hAnsi="Noto Sans" w:eastAsia="Noto Sans"/>
        </w:rPr>
        <w:t>Audit separato per northbound e southbound.</w:t>
      </w:r>
    </w:p>
    <w:p>
      <w:pPr>
        <w:pStyle w:val="Heading2"/>
      </w:pPr>
      <w:r>
        <w:rPr>
          <w:rFonts w:ascii="Noto Sans" w:hAnsi="Noto Sans" w:eastAsia="Noto Sans"/>
        </w:rPr>
        <w:t>T11.1 Pattern operativo PULL-first e Source Synchronization</w:t>
      </w:r>
    </w:p>
    <w:p>
      <w:pPr>
        <w:pStyle w:val="BodyText"/>
      </w:pPr>
      <w:r>
        <w:rPr>
          <w:rFonts w:ascii="Noto Sans" w:hAnsi="Noto Sans" w:eastAsia="Noto Sans"/>
        </w:rPr>
        <w:t>Il Gateway non decide quando interrogare una sorgente. La pianificazione appartiene a un componente separato Source Synchronization / Scheduler, configurato tramite Source Configuration / Connector Registry. Il Gateway fornisce il percorso southbound governato e osservabile. Questa separazione impedisce che il Gateway diventi un orchestratore di sincronizzazione.</w:t>
      </w:r>
    </w:p>
    <w:p>
      <w:pPr>
        <w:pStyle w:val="ListBullet"/>
      </w:pPr>
      <w:r>
        <w:rPr>
          <w:rFonts w:ascii="Noto Sans" w:hAnsi="Noto Sans" w:eastAsia="Noto Sans"/>
        </w:rPr>
        <w:t>Per ogni sourceId il profilo di sincronizzazione deve poter dichiarare almeno: initialLoadStrategy, incrementalStrategy, pollInterval, paging/cursor, watermark o change token, retry policy, checkpointing, deletion detection e concurrency limits.</w:t>
      </w:r>
    </w:p>
    <w:p>
      <w:pPr>
        <w:pStyle w:val="BodyText"/>
      </w:pPr>
      <w:r>
        <w:rPr>
          <w:rFonts w:ascii="Noto Sans" w:hAnsi="Noto Sans" w:eastAsia="Noto Sans"/>
        </w:rPr>
        <w:t>Al primo avvio della sorgente la sincronizzazione esegue un bootstrap governato: FULL_SNAPSHOT -&gt; catch-up delta -&gt; salvataggio del watermark -&gt; stato ACTIVE. A regime ogni ciclo PULL richiede esclusivamente le modifiche successive all’ultimo watermark confermato. Il watermark avanza solo dopo elaborazione end-to-end riuscita o checkpoint coerente.</w:t>
      </w:r>
    </w:p>
    <w:p>
      <w:pPr>
        <w:pStyle w:val="ListBullet"/>
      </w:pPr>
      <w:r>
        <w:rPr>
          <w:rFonts w:ascii="Noto Sans" w:hAnsi="Noto Sans" w:eastAsia="Noto Sans"/>
        </w:rPr>
        <w:t>Strategie incrementali preferite, in ordine: change token/change feed; last-modified; identificatore monotono; snapshot diff come fallback. Le sorgenti che non consentono delta efficienti devono avere frequenza e carico esplicitamente dimensionati.</w:t>
      </w:r>
    </w:p>
    <w:p>
      <w:pPr>
        <w:pStyle w:val="ListBullet"/>
      </w:pPr>
      <w:r>
        <w:rPr>
          <w:rFonts w:ascii="Noto Sans" w:hAnsi="Noto Sans" w:eastAsia="Noto Sans"/>
        </w:rPr>
        <w:t>I verticali non ricevono dipendenze applicative dall’OUF: nessun componente SUAP/SUO/SUE deve essere modificato per conoscere Source Sync, Gateway, Adapter o UDP.</w:t>
      </w:r>
    </w:p>
    <w:p>
      <w:pPr>
        <w:pStyle w:val="Heading2"/>
      </w:pPr>
      <w:r>
        <w:rPr>
          <w:rFonts w:ascii="Noto Sans" w:hAnsi="Noto Sans"/>
        </w:rPr>
        <w:t>T11.3 Southbound egress isolation e SSRF containment</w:t>
      </w:r>
    </w:p>
    <w:p>
      <w:pPr/>
      <w:r>
        <w:rPr>
          <w:rFonts w:ascii="Noto Sans" w:hAnsi="Noto Sans"/>
        </w:rPr>
        <w:t>Il deployment apisix-southbound DEVE operare sotto NetworkPolicy/CNI egress default-deny. Le sole destinazioni ammesse sono gli upstream censiti e approvati nel Source/Route Registry e i servizi interni OUF strettamente necessari (DNS, identity/secret endpoints, telemetry o altri endpoint esplicitamente governati). La configurazione applicativa di una route non può ampliare automaticamente il perimetro di rete.</w:t>
      </w:r>
    </w:p>
    <w:p>
      <w:pPr/>
      <w:r>
        <w:rPr>
          <w:rFonts w:ascii="Noto Sans" w:hAnsi="Noto Sans"/>
        </w:rPr>
        <w:t>GW-NET-01 — Ogni endpointRef risolto dal Gateway deve derivare da configurazione versionata/approvata; non è ammesso costruire un upstream da URL, host o IP arbitrario fornito dal chiamante o da payload applicativo.</w:t>
      </w:r>
    </w:p>
    <w:p>
      <w:pPr/>
      <w:r>
        <w:rPr>
          <w:rFonts w:ascii="Noto Sans" w:hAnsi="Noto Sans"/>
        </w:rPr>
        <w:t>GW-NET-02 — Il southbound DEVE impedire egress verso Internet generico, loopback, link-local/metadata endpoint (es. 169.254.169.254), RFC1918 non censite e qualunque destinazione non esplicitamente allowlistata. La difesa applicativa e la policy di rete sono cumulative.</w:t>
      </w:r>
    </w:p>
    <w:p>
      <w:pPr/>
      <w:r>
        <w:rPr>
          <w:rFonts w:ascii="Noto Sans" w:hAnsi="Noto Sans"/>
        </w:rPr>
        <w:t>GW-NET-03 — Kubernetes NetworkPolicy standard è considerata sufficiente solo quando le destinazioni possono essere espresse tramite pod/namespace selector o IP/CIDR stabili. Per FQDN con IP dinamici è richiesta una policy CNI FQDN-aware o controllo egress equivalente; l'introduzione di un egress proxy dedicato resta soggetta al Technology Economy Gate.</w:t>
      </w:r>
    </w:p>
    <w:p>
      <w:pPr/>
      <w:r>
        <w:rPr>
          <w:rFonts w:ascii="Noto Sans" w:hAnsi="Noto Sans"/>
        </w:rPr>
        <w:t>GW-NET-04 — Redirect HTTP/HTTPS che cambiano host o destinazione fuori allowlist devono essere rifiutati. DNS rebinding e risoluzioni multiple devono essere valutati rispetto all'allowlist effettiva prima della connessione.</w:t>
      </w:r>
    </w:p>
    <w:p>
      <w:pPr/>
      <w:r>
        <w:rPr>
          <w:rFonts w:ascii="Noto Sans" w:hAnsi="Noto Sans"/>
        </w:rPr>
        <w:t>GW-NET-05 — Il namespace/ServiceAccount dei workload Ingestion non ottiene egress diretto ai verticali se il contratto prevede transito obbligatorio dal southbound Gateway; un Pod compromesso non deve poter bypassare il boundary di rete.</w:t>
      </w:r>
    </w:p>
    <w:p>
      <w:pPr>
        <w:pStyle w:val="Heading2"/>
      </w:pPr>
      <w:r>
        <w:rPr>
          <w:rFonts w:ascii="Noto Sans" w:hAnsi="Noto Sans" w:eastAsia="Noto Sans"/>
        </w:rPr>
        <w:t>T11.2 Fruizione sincrona e PUSH/event-driven</w:t>
      </w:r>
    </w:p>
    <w:p>
      <w:pPr>
        <w:pStyle w:val="BodyText"/>
      </w:pPr>
      <w:r>
        <w:rPr>
          <w:rFonts w:ascii="Noto Sans" w:hAnsi="Noto Sans" w:eastAsia="Noto Sans"/>
        </w:rPr>
        <w:t>La scelta PULL-first riguarda l’acquisizione dalle sorgenti, non la fruizione della piattaforma. Frontend, dashboard, Viewer, Analytics e MCP possono consumare capability tramite REST/OGC e, quando il caso d’uso lo richiede, tramite canali streaming o PUSH governati. L’eventing non è un passaggio obbligatorio dell’ingestion.</w:t>
      </w:r>
    </w:p>
    <w:p>
      <w:pPr>
        <w:pStyle w:val="ListBullet"/>
      </w:pPr>
      <w:r>
        <w:rPr>
          <w:rFonts w:ascii="Noto Sans" w:hAnsi="Noto Sans" w:eastAsia="Noto Sans"/>
        </w:rPr>
        <w:t>Dashboard e frontend: caricamento iniziale tramite capability di lettura; aggiornamenti live tramite SSE, WebSocket o subscription/event endpoint esposto dal Gateway quando previsto.</w:t>
      </w:r>
    </w:p>
    <w:p>
      <w:pPr>
        <w:pStyle w:val="ListBullet"/>
      </w:pPr>
      <w:r>
        <w:rPr>
          <w:rFonts w:ascii="Noto Sans" w:hAnsi="Noto Sans" w:eastAsia="Noto Sans"/>
        </w:rPr>
        <w:t>MCP: il percorso base resta Agent Host -&gt; MCP Server -&gt; Gateway -&gt; capability. Per operazioni lunghe sono ammessi progress, notifiche e streaming dei risultati, mantenendo capabilityId, scope IAM, audit e correlationId.</w:t>
      </w:r>
    </w:p>
    <w:p>
      <w:pPr>
        <w:pStyle w:val="ListBullet"/>
      </w:pPr>
      <w:r>
        <w:rPr>
          <w:rFonts w:ascii="Noto Sans" w:hAnsi="Noto Sans" w:eastAsia="Noto Sans"/>
        </w:rPr>
        <w:t>Event Mesh: opzionale e trasversale. Può distribuire eventi durevoli a più subscriber, ma non sostituisce REST/OGC, Workflow, persistenza autorevole o il polling delle sorgenti che non supportano eventi.</w:t>
      </w:r>
    </w:p>
    <w:p>
      <w:pPr>
        <w:pStyle w:val="ListBullet"/>
      </w:pPr>
      <w:r>
        <w:rPr>
          <w:rFonts w:ascii="Noto Sans" w:hAnsi="Noto Sans" w:eastAsia="Noto Sans"/>
        </w:rPr>
        <w:t>I canali realtime consumer-facing devono comunque attraversare il perimetro governato del Gateway o un binding equivalente approvato; non sono ammessi collegamenti diretti di dashboard o MCP verso UDP/Data Lake.</w:t>
      </w:r>
    </w:p>
    <w:p>
      <w:pPr>
        <w:pStyle w:val="Heading1"/>
        <w:keepNext/>
        <w:spacing w:before="160"/>
      </w:pPr>
      <w:r>
        <w:rPr>
          <w:rFonts w:ascii="Noto Sans" w:hAnsi="Noto Sans" w:eastAsia="Noto Sans"/>
        </w:rPr>
        <w:t>T12. WebGIS WFS/WMS</w:t>
      </w:r>
    </w:p>
    <w:p>
      <w:pPr>
        <w:pStyle w:val="Heading2"/>
        <w:keepNext/>
        <w:spacing w:before="160"/>
      </w:pPr>
      <w:r>
        <w:rPr>
          <w:rFonts w:ascii="Noto Sans" w:hAnsi="Noto Sans" w:eastAsia="Noto Sans"/>
        </w:rPr>
        <w:t>T12.1 WFS</w:t>
      </w:r>
    </w:p>
    <w:p>
      <w:pPr>
        <w:pStyle w:val="BodyText"/>
        <w:widowControl/>
      </w:pPr>
      <w:r>
        <w:rPr>
          <w:rFonts w:ascii="Noto Sans" w:hAnsi="Noto Sans" w:eastAsia="Noto Sans"/>
        </w:rPr>
        <w:t>WFS viene consumato dal Connector OGC attraverso il southbound Gateway. Il Gateway non converte GML: valida e instrada. La conversione GML/GeoJSON -&gt; GeoJSON/JSON-FG e responsabilita dell'Adapter/ETL.</w:t>
      </w:r>
    </w:p>
    <w:p>
      <w:pPr>
        <w:pStyle w:val="ListBullet"/>
      </w:pPr>
      <w:r>
        <w:rPr>
          <w:rFonts w:ascii="Noto Sans" w:hAnsi="Noto Sans" w:eastAsia="Noto Sans"/>
        </w:rPr>
        <w:t>GetCapabilities: cache breve opzionale (es. 5-15 minuti).</w:t>
      </w:r>
    </w:p>
    <w:p>
      <w:pPr>
        <w:pStyle w:val="ListBullet"/>
      </w:pPr>
      <w:r>
        <w:rPr>
          <w:rFonts w:ascii="Noto Sans" w:hAnsi="Noto Sans" w:eastAsia="Noto Sans"/>
        </w:rPr>
        <w:t>DescribeFeatureType: cache configurabile per ridurre carico sul WebGIS.</w:t>
      </w:r>
    </w:p>
    <w:p>
      <w:pPr>
        <w:pStyle w:val="ListBullet"/>
      </w:pPr>
      <w:r>
        <w:rPr>
          <w:rFonts w:ascii="Noto Sans" w:hAnsi="Noto Sans" w:eastAsia="Noto Sans"/>
        </w:rPr>
        <w:t>GetFeature: timeout e paging per sorgente; no cache di default per dataset dinamici salvo esplicita policy.</w:t>
      </w:r>
    </w:p>
    <w:p>
      <w:pPr>
        <w:pStyle w:val="ListBullet"/>
      </w:pPr>
      <w:r>
        <w:rPr>
          <w:rFonts w:ascii="Noto Sans" w:hAnsi="Noto Sans" w:eastAsia="Noto Sans"/>
        </w:rPr>
        <w:t>Dimensione massima risposta e limiti di pagina devono impedire download non governati.</w:t>
      </w:r>
    </w:p>
    <w:p>
      <w:pPr>
        <w:pStyle w:val="Heading2"/>
        <w:keepNext/>
        <w:spacing w:before="160"/>
      </w:pPr>
      <w:r>
        <w:rPr>
          <w:rFonts w:ascii="Noto Sans" w:hAnsi="Noto Sans" w:eastAsia="Noto Sans"/>
        </w:rPr>
        <w:t>T12.2 WMS</w:t>
      </w:r>
    </w:p>
    <w:p>
      <w:pPr>
        <w:pStyle w:val="BodyText"/>
        <w:widowControl/>
      </w:pPr>
      <w:r>
        <w:rPr>
          <w:rFonts w:ascii="Noto Sans" w:hAnsi="Noto Sans" w:eastAsia="Noto Sans"/>
        </w:rPr>
        <w:t>WMS e mediato northbound per i Viewer e southbound verso l'origin. Il proxy-cache APISIX puo memorizzare GetMap/Capabilities con TTL per layer. La chiave di cache deve includere parametri che influenzano il rendering per evitare collisioni.</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blHeader w:val="true"/>
          <w:cantSplit/>
        </w:trPr>
        <w:tc>
          <w:tcPr>
            <w:tcW w:type="dxa" w:w="2592"/>
            <w:shd w:fill="0B5A73"/>
            <w:vAlign w:val="center"/>
            <w:tcMar>
              <w:top w:w="70" w:type="dxa"/>
              <w:start w:w="90" w:type="dxa"/>
              <w:bottom w:w="70" w:type="dxa"/>
              <w:end w:w="90" w:type="dxa"/>
            </w:tcMar>
          </w:tcPr>
          <w:p>
            <w:r>
              <w:rPr>
                <w:rFonts w:ascii="Noto Sans" w:hAnsi="Noto Sans" w:eastAsia="Noto Sans"/>
                <w:sz w:val="17"/>
              </w:rPr>
              <w:t>Operazione</w:t>
            </w:r>
          </w:p>
        </w:tc>
        <w:tc>
          <w:tcPr>
            <w:tcW w:type="dxa" w:w="2880"/>
            <w:shd w:fill="0B5A73"/>
            <w:vAlign w:val="center"/>
            <w:tcMar>
              <w:top w:w="70" w:type="dxa"/>
              <w:start w:w="90" w:type="dxa"/>
              <w:bottom w:w="70" w:type="dxa"/>
              <w:end w:w="90" w:type="dxa"/>
            </w:tcMar>
          </w:tcPr>
          <w:p>
            <w:r>
              <w:rPr>
                <w:rFonts w:ascii="Noto Sans" w:hAnsi="Noto Sans" w:eastAsia="Noto Sans"/>
                <w:sz w:val="17"/>
              </w:rPr>
              <w:t>Cache</w:t>
            </w:r>
          </w:p>
        </w:tc>
        <w:tc>
          <w:tcPr>
            <w:tcW w:type="dxa" w:w="2160"/>
            <w:shd w:fill="0B5A73"/>
            <w:vAlign w:val="center"/>
            <w:tcMar>
              <w:top w:w="70" w:type="dxa"/>
              <w:start w:w="90" w:type="dxa"/>
              <w:bottom w:w="70" w:type="dxa"/>
              <w:end w:w="90" w:type="dxa"/>
            </w:tcMar>
          </w:tcPr>
          <w:p>
            <w:r>
              <w:rPr>
                <w:rFonts w:ascii="Noto Sans" w:hAnsi="Noto Sans" w:eastAsia="Noto Sans"/>
                <w:sz w:val="17"/>
              </w:rPr>
              <w:t>Timeout iniziale</w:t>
            </w:r>
          </w:p>
        </w:tc>
        <w:tc>
          <w:tcPr>
            <w:tcW w:type="dxa" w:w="4320"/>
            <w:shd w:fill="0B5A73"/>
            <w:vAlign w:val="center"/>
            <w:tcMar>
              <w:top w:w="70" w:type="dxa"/>
              <w:start w:w="90" w:type="dxa"/>
              <w:bottom w:w="70" w:type="dxa"/>
              <w:end w:w="90" w:type="dxa"/>
            </w:tcMar>
          </w:tcPr>
          <w:p>
            <w:r>
              <w:rPr>
                <w:rFonts w:ascii="Noto Sans" w:hAnsi="Noto Sans" w:eastAsia="Noto Sans"/>
                <w:sz w:val="17"/>
              </w:rPr>
              <w:t>Nota</w:t>
            </w:r>
          </w:p>
        </w:tc>
      </w:tr>
      <w:tr>
        <w:trPr>
          <w:cantSplit/>
        </w:trPr>
        <w:tc>
          <w:tcPr>
            <w:tcW w:type="dxa" w:w="2592"/>
            <w:tcMar>
              <w:top w:w="70" w:type="dxa"/>
              <w:start w:w="90" w:type="dxa"/>
              <w:bottom w:w="70" w:type="dxa"/>
              <w:end w:w="90" w:type="dxa"/>
            </w:tcMar>
            <w:vAlign w:val="top"/>
          </w:tcPr>
          <w:p>
            <w:r>
              <w:rPr>
                <w:rFonts w:ascii="Noto Sans" w:hAnsi="Noto Sans" w:eastAsia="Noto Sans"/>
                <w:sz w:val="17"/>
              </w:rPr>
              <w:t>GetCapabilities</w:t>
            </w:r>
          </w:p>
        </w:tc>
        <w:tc>
          <w:tcPr>
            <w:tcW w:type="dxa" w:w="2880"/>
            <w:tcMar>
              <w:top w:w="70" w:type="dxa"/>
              <w:start w:w="90" w:type="dxa"/>
              <w:bottom w:w="70" w:type="dxa"/>
              <w:end w:w="90" w:type="dxa"/>
            </w:tcMar>
            <w:vAlign w:val="top"/>
          </w:tcPr>
          <w:p>
            <w:r>
              <w:rPr>
                <w:rFonts w:ascii="Noto Sans" w:hAnsi="Noto Sans" w:eastAsia="Noto Sans"/>
                <w:sz w:val="17"/>
              </w:rPr>
              <w:t>Sì, 5 min</w:t>
            </w:r>
          </w:p>
        </w:tc>
        <w:tc>
          <w:tcPr>
            <w:tcW w:type="dxa" w:w="2160"/>
            <w:tcMar>
              <w:top w:w="70" w:type="dxa"/>
              <w:start w:w="90" w:type="dxa"/>
              <w:bottom w:w="70" w:type="dxa"/>
              <w:end w:w="90" w:type="dxa"/>
            </w:tcMar>
            <w:vAlign w:val="top"/>
          </w:tcPr>
          <w:p>
            <w:r>
              <w:rPr>
                <w:rFonts w:ascii="Noto Sans" w:hAnsi="Noto Sans" w:eastAsia="Noto Sans"/>
                <w:sz w:val="17"/>
              </w:rPr>
              <w:t>10 s</w:t>
            </w:r>
          </w:p>
        </w:tc>
        <w:tc>
          <w:tcPr>
            <w:tcW w:type="dxa" w:w="4320"/>
            <w:tcMar>
              <w:top w:w="70" w:type="dxa"/>
              <w:start w:w="90" w:type="dxa"/>
              <w:bottom w:w="70" w:type="dxa"/>
              <w:end w:w="90" w:type="dxa"/>
            </w:tcMar>
            <w:vAlign w:val="top"/>
          </w:tcPr>
          <w:p>
            <w:r>
              <w:rPr>
                <w:rFonts w:ascii="Noto Sans" w:hAnsi="Noto Sans" w:eastAsia="Noto Sans"/>
                <w:sz w:val="17"/>
              </w:rPr>
              <w:t>Invalidate al cambio source manifest.</w:t>
            </w:r>
          </w:p>
        </w:tc>
      </w:tr>
      <w:tr>
        <w:trPr>
          <w:cantSplit/>
        </w:trPr>
        <w:tc>
          <w:tcPr>
            <w:tcW w:type="dxa" w:w="2592"/>
            <w:tcMar>
              <w:top w:w="70" w:type="dxa"/>
              <w:start w:w="90" w:type="dxa"/>
              <w:bottom w:w="70" w:type="dxa"/>
              <w:end w:w="90" w:type="dxa"/>
            </w:tcMar>
            <w:vAlign w:val="top"/>
            <w:shd w:fill="F7F9FA"/>
          </w:tcPr>
          <w:p>
            <w:r>
              <w:rPr>
                <w:rFonts w:ascii="Noto Sans" w:hAnsi="Noto Sans" w:eastAsia="Noto Sans"/>
                <w:sz w:val="17"/>
              </w:rPr>
              <w:t>GetMap</w:t>
            </w:r>
          </w:p>
        </w:tc>
        <w:tc>
          <w:tcPr>
            <w:tcW w:type="dxa" w:w="2880"/>
            <w:tcMar>
              <w:top w:w="70" w:type="dxa"/>
              <w:start w:w="90" w:type="dxa"/>
              <w:bottom w:w="70" w:type="dxa"/>
              <w:end w:w="90" w:type="dxa"/>
            </w:tcMar>
            <w:vAlign w:val="top"/>
            <w:shd w:fill="F7F9FA"/>
          </w:tcPr>
          <w:p>
            <w:r>
              <w:rPr>
                <w:rFonts w:ascii="Noto Sans" w:hAnsi="Noto Sans" w:eastAsia="Noto Sans"/>
                <w:sz w:val="17"/>
              </w:rPr>
              <w:t>Sì, 30-120 s per layer</w:t>
            </w:r>
          </w:p>
        </w:tc>
        <w:tc>
          <w:tcPr>
            <w:tcW w:type="dxa" w:w="2160"/>
            <w:tcMar>
              <w:top w:w="70" w:type="dxa"/>
              <w:start w:w="90" w:type="dxa"/>
              <w:bottom w:w="70" w:type="dxa"/>
              <w:end w:w="90" w:type="dxa"/>
            </w:tcMar>
            <w:vAlign w:val="top"/>
            <w:shd w:fill="F7F9FA"/>
          </w:tcPr>
          <w:p>
            <w:r>
              <w:rPr>
                <w:rFonts w:ascii="Noto Sans" w:hAnsi="Noto Sans" w:eastAsia="Noto Sans"/>
                <w:sz w:val="17"/>
              </w:rPr>
              <w:t>20 s</w:t>
            </w:r>
          </w:p>
        </w:tc>
        <w:tc>
          <w:tcPr>
            <w:tcW w:type="dxa" w:w="4320"/>
            <w:tcMar>
              <w:top w:w="70" w:type="dxa"/>
              <w:start w:w="90" w:type="dxa"/>
              <w:bottom w:w="70" w:type="dxa"/>
              <w:end w:w="90" w:type="dxa"/>
            </w:tcMar>
            <w:vAlign w:val="top"/>
            <w:shd w:fill="F7F9FA"/>
          </w:tcPr>
          <w:p>
            <w:r>
              <w:rPr>
                <w:rFonts w:ascii="Noto Sans" w:hAnsi="Noto Sans" w:eastAsia="Noto Sans"/>
                <w:sz w:val="17"/>
              </w:rPr>
              <w:t>TTL dipende dalla volatilita del layer.</w:t>
            </w:r>
          </w:p>
        </w:tc>
      </w:tr>
      <w:tr>
        <w:trPr>
          <w:cantSplit/>
        </w:trPr>
        <w:tc>
          <w:tcPr>
            <w:tcW w:type="dxa" w:w="2592"/>
            <w:tcMar>
              <w:top w:w="70" w:type="dxa"/>
              <w:start w:w="90" w:type="dxa"/>
              <w:bottom w:w="70" w:type="dxa"/>
              <w:end w:w="90" w:type="dxa"/>
            </w:tcMar>
            <w:vAlign w:val="top"/>
          </w:tcPr>
          <w:p>
            <w:r>
              <w:rPr>
                <w:rFonts w:ascii="Noto Sans" w:hAnsi="Noto Sans" w:eastAsia="Noto Sans"/>
                <w:sz w:val="17"/>
              </w:rPr>
              <w:t>GetFeatureInfo</w:t>
            </w:r>
          </w:p>
        </w:tc>
        <w:tc>
          <w:tcPr>
            <w:tcW w:type="dxa" w:w="2880"/>
            <w:tcMar>
              <w:top w:w="70" w:type="dxa"/>
              <w:start w:w="90" w:type="dxa"/>
              <w:bottom w:w="70" w:type="dxa"/>
              <w:end w:w="90" w:type="dxa"/>
            </w:tcMar>
            <w:vAlign w:val="top"/>
          </w:tcPr>
          <w:p>
            <w:r>
              <w:rPr>
                <w:rFonts w:ascii="Noto Sans" w:hAnsi="Noto Sans" w:eastAsia="Noto Sans"/>
                <w:sz w:val="17"/>
              </w:rPr>
              <w:t>No di default</w:t>
            </w:r>
          </w:p>
        </w:tc>
        <w:tc>
          <w:tcPr>
            <w:tcW w:type="dxa" w:w="2160"/>
            <w:tcMar>
              <w:top w:w="70" w:type="dxa"/>
              <w:start w:w="90" w:type="dxa"/>
              <w:bottom w:w="70" w:type="dxa"/>
              <w:end w:w="90" w:type="dxa"/>
            </w:tcMar>
            <w:vAlign w:val="top"/>
          </w:tcPr>
          <w:p>
            <w:r>
              <w:rPr>
                <w:rFonts w:ascii="Noto Sans" w:hAnsi="Noto Sans" w:eastAsia="Noto Sans"/>
                <w:sz w:val="17"/>
              </w:rPr>
              <w:t>15 s</w:t>
            </w:r>
          </w:p>
        </w:tc>
        <w:tc>
          <w:tcPr>
            <w:tcW w:type="dxa" w:w="4320"/>
            <w:tcMar>
              <w:top w:w="70" w:type="dxa"/>
              <w:start w:w="90" w:type="dxa"/>
              <w:bottom w:w="70" w:type="dxa"/>
              <w:end w:w="90" w:type="dxa"/>
            </w:tcMar>
            <w:vAlign w:val="top"/>
          </w:tcPr>
          <w:p>
            <w:r>
              <w:rPr>
                <w:rFonts w:ascii="Noto Sans" w:hAnsi="Noto Sans" w:eastAsia="Noto Sans"/>
                <w:sz w:val="17"/>
              </w:rPr>
              <w:t>Possibile cache solo se dataset statico.</w:t>
            </w:r>
          </w:p>
        </w:tc>
      </w:tr>
    </w:tbl>
    <w:p>
      <w:pPr>
        <w:pStyle w:val="Heading1"/>
        <w:keepNext/>
        <w:spacing w:before="160"/>
      </w:pPr>
      <w:r>
        <w:rPr>
          <w:rFonts w:ascii="Noto Sans" w:hAnsi="Noto Sans" w:eastAsia="Noto Sans"/>
        </w:rPr>
        <w:t>T13. Osservabilita tecnologica</w:t>
      </w:r>
    </w:p>
    <w:p>
      <w:pPr>
        <w:pStyle w:val="BodyText"/>
        <w:widowControl/>
      </w:pPr>
      <w:r>
        <w:rPr>
          <w:rFonts w:ascii="Noto Sans" w:hAnsi="Noto Sans" w:eastAsia="Noto Sans"/>
        </w:rPr>
        <w:t>APISIX espone metriche Prometheus e tracing OpenTelemetry. Gli access log sono JSON strutturati e vengono inviati a Loki o raccolti da stdout da un agent. La correlazione usa X-Correlation-ID/request ID come sorgente del trace quando possibile.</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blHeader w:val="true"/>
          <w:cantSplit/>
        </w:trPr>
        <w:tc>
          <w:tcPr>
            <w:tcW w:type="dxa" w:w="1728"/>
            <w:shd w:fill="0B5A73"/>
            <w:vAlign w:val="center"/>
            <w:tcMar>
              <w:top w:w="70" w:type="dxa"/>
              <w:start w:w="90" w:type="dxa"/>
              <w:bottom w:w="70" w:type="dxa"/>
              <w:end w:w="90" w:type="dxa"/>
            </w:tcMar>
          </w:tcPr>
          <w:p>
            <w:r>
              <w:rPr>
                <w:rFonts w:ascii="Noto Sans" w:hAnsi="Noto Sans" w:eastAsia="Noto Sans"/>
                <w:sz w:val="17"/>
              </w:rPr>
              <w:t>Segnale</w:t>
            </w:r>
          </w:p>
        </w:tc>
        <w:tc>
          <w:tcPr>
            <w:tcW w:type="dxa" w:w="2736"/>
            <w:shd w:fill="0B5A73"/>
            <w:vAlign w:val="center"/>
            <w:tcMar>
              <w:top w:w="70" w:type="dxa"/>
              <w:start w:w="90" w:type="dxa"/>
              <w:bottom w:w="70" w:type="dxa"/>
              <w:end w:w="90" w:type="dxa"/>
            </w:tcMar>
          </w:tcPr>
          <w:p>
            <w:r>
              <w:rPr>
                <w:rFonts w:ascii="Noto Sans" w:hAnsi="Noto Sans" w:eastAsia="Noto Sans"/>
                <w:sz w:val="17"/>
              </w:rPr>
              <w:t>Tecnologia</w:t>
            </w:r>
          </w:p>
        </w:tc>
        <w:tc>
          <w:tcPr>
            <w:tcW w:type="dxa" w:w="5328"/>
            <w:shd w:fill="0B5A73"/>
            <w:vAlign w:val="center"/>
            <w:tcMar>
              <w:top w:w="70" w:type="dxa"/>
              <w:start w:w="90" w:type="dxa"/>
              <w:bottom w:w="70" w:type="dxa"/>
              <w:end w:w="90" w:type="dxa"/>
            </w:tcMar>
          </w:tcPr>
          <w:p>
            <w:r>
              <w:rPr>
                <w:rFonts w:ascii="Noto Sans" w:hAnsi="Noto Sans" w:eastAsia="Noto Sans"/>
                <w:sz w:val="17"/>
              </w:rPr>
              <w:t>Contenuto minimo</w:t>
            </w:r>
          </w:p>
        </w:tc>
        <w:tc>
          <w:tcPr>
            <w:tcW w:type="dxa" w:w="2592"/>
            <w:shd w:fill="0B5A73"/>
            <w:vAlign w:val="center"/>
            <w:tcMar>
              <w:top w:w="70" w:type="dxa"/>
              <w:start w:w="90" w:type="dxa"/>
              <w:bottom w:w="70" w:type="dxa"/>
              <w:end w:w="90" w:type="dxa"/>
            </w:tcMar>
          </w:tcPr>
          <w:p>
            <w:r>
              <w:rPr>
                <w:rFonts w:ascii="Noto Sans" w:hAnsi="Noto Sans" w:eastAsia="Noto Sans"/>
                <w:sz w:val="17"/>
              </w:rPr>
              <w:t>Retention iniziale</w:t>
            </w:r>
          </w:p>
        </w:tc>
      </w:tr>
      <w:tr>
        <w:trPr>
          <w:cantSplit/>
        </w:trPr>
        <w:tc>
          <w:tcPr>
            <w:tcW w:type="dxa" w:w="1728"/>
            <w:tcMar>
              <w:top w:w="70" w:type="dxa"/>
              <w:start w:w="90" w:type="dxa"/>
              <w:bottom w:w="70" w:type="dxa"/>
              <w:end w:w="90" w:type="dxa"/>
            </w:tcMar>
            <w:vAlign w:val="top"/>
          </w:tcPr>
          <w:p>
            <w:r>
              <w:rPr>
                <w:rFonts w:ascii="Noto Sans" w:hAnsi="Noto Sans" w:eastAsia="Noto Sans"/>
                <w:sz w:val="17"/>
              </w:rPr>
              <w:t>Metriche</w:t>
            </w:r>
          </w:p>
        </w:tc>
        <w:tc>
          <w:tcPr>
            <w:tcW w:type="dxa" w:w="2736"/>
            <w:tcMar>
              <w:top w:w="70" w:type="dxa"/>
              <w:start w:w="90" w:type="dxa"/>
              <w:bottom w:w="70" w:type="dxa"/>
              <w:end w:w="90" w:type="dxa"/>
            </w:tcMar>
            <w:vAlign w:val="top"/>
          </w:tcPr>
          <w:p>
            <w:r>
              <w:rPr>
                <w:rFonts w:ascii="Noto Sans" w:hAnsi="Noto Sans" w:eastAsia="Noto Sans"/>
                <w:sz w:val="17"/>
              </w:rPr>
              <w:t>Prometheus 3.14.x</w:t>
            </w:r>
          </w:p>
        </w:tc>
        <w:tc>
          <w:tcPr>
            <w:tcW w:type="dxa" w:w="5328"/>
            <w:tcMar>
              <w:top w:w="70" w:type="dxa"/>
              <w:start w:w="90" w:type="dxa"/>
              <w:bottom w:w="70" w:type="dxa"/>
              <w:end w:w="90" w:type="dxa"/>
            </w:tcMar>
            <w:vAlign w:val="top"/>
          </w:tcPr>
          <w:p>
            <w:r>
              <w:rPr>
                <w:rFonts w:ascii="Noto Sans" w:hAnsi="Noto Sans" w:eastAsia="Noto Sans"/>
                <w:sz w:val="17"/>
              </w:rPr>
              <w:t>RPS, status, p50/p95/p99, upstream latency, rate-limit, timeout</w:t>
            </w:r>
          </w:p>
        </w:tc>
        <w:tc>
          <w:tcPr>
            <w:tcW w:type="dxa" w:w="2592"/>
            <w:tcMar>
              <w:top w:w="70" w:type="dxa"/>
              <w:start w:w="90" w:type="dxa"/>
              <w:bottom w:w="70" w:type="dxa"/>
              <w:end w:w="90" w:type="dxa"/>
            </w:tcMar>
            <w:vAlign w:val="top"/>
          </w:tcPr>
          <w:p>
            <w:r>
              <w:rPr>
                <w:rFonts w:ascii="Noto Sans" w:hAnsi="Noto Sans" w:eastAsia="Noto Sans"/>
                <w:sz w:val="17"/>
              </w:rPr>
              <w:t>15-30 giorni</w:t>
            </w:r>
          </w:p>
        </w:tc>
      </w:tr>
      <w:tr>
        <w:trPr>
          <w:cantSplit/>
        </w:trPr>
        <w:tc>
          <w:tcPr>
            <w:tcW w:type="dxa" w:w="1728"/>
            <w:tcMar>
              <w:top w:w="70" w:type="dxa"/>
              <w:start w:w="90" w:type="dxa"/>
              <w:bottom w:w="70" w:type="dxa"/>
              <w:end w:w="90" w:type="dxa"/>
            </w:tcMar>
            <w:vAlign w:val="top"/>
            <w:shd w:fill="F7F9FA"/>
          </w:tcPr>
          <w:p>
            <w:r>
              <w:rPr>
                <w:rFonts w:ascii="Noto Sans" w:hAnsi="Noto Sans" w:eastAsia="Noto Sans"/>
                <w:sz w:val="17"/>
              </w:rPr>
              <w:t>Dashboard</w:t>
            </w:r>
          </w:p>
        </w:tc>
        <w:tc>
          <w:tcPr>
            <w:tcW w:type="dxa" w:w="2736"/>
            <w:tcMar>
              <w:top w:w="70" w:type="dxa"/>
              <w:start w:w="90" w:type="dxa"/>
              <w:bottom w:w="70" w:type="dxa"/>
              <w:end w:w="90" w:type="dxa"/>
            </w:tcMar>
            <w:vAlign w:val="top"/>
            <w:shd w:fill="F7F9FA"/>
          </w:tcPr>
          <w:p>
            <w:r>
              <w:rPr>
                <w:rFonts w:ascii="Noto Sans" w:hAnsi="Noto Sans" w:eastAsia="Noto Sans"/>
                <w:sz w:val="17"/>
              </w:rPr>
              <w:t>Grafana OSS 13.1.x</w:t>
            </w:r>
          </w:p>
        </w:tc>
        <w:tc>
          <w:tcPr>
            <w:tcW w:type="dxa" w:w="5328"/>
            <w:tcMar>
              <w:top w:w="70" w:type="dxa"/>
              <w:start w:w="90" w:type="dxa"/>
              <w:bottom w:w="70" w:type="dxa"/>
              <w:end w:w="90" w:type="dxa"/>
            </w:tcMar>
            <w:vAlign w:val="top"/>
            <w:shd w:fill="F7F9FA"/>
          </w:tcPr>
          <w:p>
            <w:r>
              <w:rPr>
                <w:rFonts w:ascii="Noto Sans" w:hAnsi="Noto Sans" w:eastAsia="Noto Sans"/>
                <w:sz w:val="17"/>
              </w:rPr>
              <w:t>SLO, error budget, sorgenti, route, WFS/WMS</w:t>
            </w:r>
          </w:p>
        </w:tc>
        <w:tc>
          <w:tcPr>
            <w:tcW w:type="dxa" w:w="2592"/>
            <w:tcMar>
              <w:top w:w="70" w:type="dxa"/>
              <w:start w:w="90" w:type="dxa"/>
              <w:bottom w:w="70" w:type="dxa"/>
              <w:end w:w="90" w:type="dxa"/>
            </w:tcMar>
            <w:vAlign w:val="top"/>
            <w:shd w:fill="F7F9FA"/>
          </w:tcPr>
          <w:p>
            <w:r>
              <w:rPr>
                <w:rFonts w:ascii="Noto Sans" w:hAnsi="Noto Sans" w:eastAsia="Noto Sans"/>
                <w:sz w:val="17"/>
              </w:rPr>
              <w:t>N/A</w:t>
            </w:r>
          </w:p>
        </w:tc>
      </w:tr>
      <w:tr>
        <w:trPr>
          <w:cantSplit/>
        </w:trPr>
        <w:tc>
          <w:tcPr>
            <w:tcW w:type="dxa" w:w="1728"/>
            <w:tcMar>
              <w:top w:w="70" w:type="dxa"/>
              <w:start w:w="90" w:type="dxa"/>
              <w:bottom w:w="70" w:type="dxa"/>
              <w:end w:w="90" w:type="dxa"/>
            </w:tcMar>
            <w:vAlign w:val="top"/>
          </w:tcPr>
          <w:p>
            <w:r>
              <w:rPr>
                <w:rFonts w:ascii="Noto Sans" w:hAnsi="Noto Sans" w:eastAsia="Noto Sans"/>
                <w:sz w:val="17"/>
              </w:rPr>
              <w:t>Log</w:t>
            </w:r>
          </w:p>
        </w:tc>
        <w:tc>
          <w:tcPr>
            <w:tcW w:type="dxa" w:w="2736"/>
            <w:tcMar>
              <w:top w:w="70" w:type="dxa"/>
              <w:start w:w="90" w:type="dxa"/>
              <w:bottom w:w="70" w:type="dxa"/>
              <w:end w:w="90" w:type="dxa"/>
            </w:tcMar>
            <w:vAlign w:val="top"/>
          </w:tcPr>
          <w:p>
            <w:r>
              <w:rPr>
                <w:rFonts w:ascii="Noto Sans" w:hAnsi="Noto Sans" w:eastAsia="Noto Sans"/>
                <w:sz w:val="17"/>
              </w:rPr>
              <w:t>Loki 3.7.x</w:t>
            </w:r>
          </w:p>
        </w:tc>
        <w:tc>
          <w:tcPr>
            <w:tcW w:type="dxa" w:w="5328"/>
            <w:tcMar>
              <w:top w:w="70" w:type="dxa"/>
              <w:start w:w="90" w:type="dxa"/>
              <w:bottom w:w="70" w:type="dxa"/>
              <w:end w:w="90" w:type="dxa"/>
            </w:tcMar>
            <w:vAlign w:val="top"/>
          </w:tcPr>
          <w:p>
            <w:r>
              <w:rPr>
                <w:rFonts w:ascii="Noto Sans" w:hAnsi="Noto Sans" w:eastAsia="Noto Sans"/>
                <w:sz w:val="17"/>
              </w:rPr>
              <w:t>JSON access/error; no payload applicativo</w:t>
            </w:r>
          </w:p>
        </w:tc>
        <w:tc>
          <w:tcPr>
            <w:tcW w:type="dxa" w:w="2592"/>
            <w:tcMar>
              <w:top w:w="70" w:type="dxa"/>
              <w:start w:w="90" w:type="dxa"/>
              <w:bottom w:w="70" w:type="dxa"/>
              <w:end w:w="90" w:type="dxa"/>
            </w:tcMar>
            <w:vAlign w:val="top"/>
          </w:tcPr>
          <w:p>
            <w:r>
              <w:rPr>
                <w:rFonts w:ascii="Noto Sans" w:hAnsi="Noto Sans" w:eastAsia="Noto Sans"/>
                <w:sz w:val="17"/>
              </w:rPr>
              <w:t>30 giorni hot; estensione secondo policy</w:t>
            </w:r>
          </w:p>
        </w:tc>
      </w:tr>
      <w:tr>
        <w:trPr>
          <w:cantSplit/>
        </w:trPr>
        <w:tc>
          <w:tcPr>
            <w:tcW w:type="dxa" w:w="1728"/>
            <w:tcMar>
              <w:top w:w="70" w:type="dxa"/>
              <w:start w:w="90" w:type="dxa"/>
              <w:bottom w:w="70" w:type="dxa"/>
              <w:end w:w="90" w:type="dxa"/>
            </w:tcMar>
            <w:vAlign w:val="top"/>
            <w:shd w:fill="F7F9FA"/>
          </w:tcPr>
          <w:p>
            <w:r>
              <w:rPr>
                <w:rFonts w:ascii="Noto Sans" w:hAnsi="Noto Sans" w:eastAsia="Noto Sans"/>
                <w:sz w:val="17"/>
              </w:rPr>
              <w:t>Trace</w:t>
            </w:r>
          </w:p>
        </w:tc>
        <w:tc>
          <w:tcPr>
            <w:tcW w:type="dxa" w:w="2736"/>
            <w:tcMar>
              <w:top w:w="70" w:type="dxa"/>
              <w:start w:w="90" w:type="dxa"/>
              <w:bottom w:w="70" w:type="dxa"/>
              <w:end w:w="90" w:type="dxa"/>
            </w:tcMar>
            <w:vAlign w:val="top"/>
            <w:shd w:fill="F7F9FA"/>
          </w:tcPr>
          <w:p>
            <w:r>
              <w:rPr>
                <w:rFonts w:ascii="Noto Sans" w:hAnsi="Noto Sans" w:eastAsia="Noto Sans"/>
                <w:sz w:val="17"/>
              </w:rPr>
              <w:t>OTel Collector 0.159.x</w:t>
            </w:r>
          </w:p>
        </w:tc>
        <w:tc>
          <w:tcPr>
            <w:tcW w:type="dxa" w:w="5328"/>
            <w:tcMar>
              <w:top w:w="70" w:type="dxa"/>
              <w:start w:w="90" w:type="dxa"/>
              <w:bottom w:w="70" w:type="dxa"/>
              <w:end w:w="90" w:type="dxa"/>
            </w:tcMar>
            <w:vAlign w:val="top"/>
            <w:shd w:fill="F7F9FA"/>
          </w:tcPr>
          <w:p>
            <w:r>
              <w:rPr>
                <w:rFonts w:ascii="Noto Sans" w:hAnsi="Noto Sans" w:eastAsia="Noto Sans"/>
                <w:sz w:val="17"/>
              </w:rPr>
              <w:t>gateway span + upstream context</w:t>
            </w:r>
          </w:p>
        </w:tc>
        <w:tc>
          <w:tcPr>
            <w:tcW w:type="dxa" w:w="2592"/>
            <w:tcMar>
              <w:top w:w="70" w:type="dxa"/>
              <w:start w:w="90" w:type="dxa"/>
              <w:bottom w:w="70" w:type="dxa"/>
              <w:end w:w="90" w:type="dxa"/>
            </w:tcMar>
            <w:vAlign w:val="top"/>
            <w:shd w:fill="F7F9FA"/>
          </w:tcPr>
          <w:p>
            <w:r>
              <w:rPr>
                <w:rFonts w:ascii="Noto Sans" w:hAnsi="Noto Sans" w:eastAsia="Noto Sans"/>
                <w:sz w:val="17"/>
              </w:rPr>
              <w:t>7-14 giorni o sampling</w:t>
            </w:r>
          </w:p>
        </w:tc>
      </w:tr>
    </w:tbl>
    <w:p>
      <w:pPr>
        <w:pStyle w:val="BodyText"/>
        <w:widowControl/>
      </w:pPr>
      <w:r>
        <w:rPr>
          <w:rFonts w:ascii="Noto Sans" w:hAnsi="Noto Sans" w:eastAsia="Noto Sans"/>
        </w:rPr>
        <w:t>Alert minimi: availability &lt;99.9%, 5xx &gt;2% su 5 min, p95 gateway overhead &gt;100 ms, upstream timeout spike, rate-limit anomalo, etcd quorum degradato, certificato in scadenza, Argo CD drift, replica APISIX sotto minAvailable.</w:t>
      </w:r>
    </w:p>
    <w:p>
      <w:pPr>
        <w:pStyle w:val="Heading1"/>
        <w:keepNext/>
        <w:spacing w:before="160"/>
      </w:pPr>
      <w:r>
        <w:rPr>
          <w:rFonts w:ascii="Noto Sans" w:hAnsi="Noto Sans" w:eastAsia="Noto Sans"/>
        </w:rPr>
        <w:t>T14. Alta affidabilita e resilienza</w:t>
      </w:r>
    </w:p>
    <w:p>
      <w:pPr>
        <w:pStyle w:val="ListBullet"/>
      </w:pPr>
      <w:r>
        <w:rPr>
          <w:rFonts w:ascii="Noto Sans" w:hAnsi="Noto Sans" w:eastAsia="Noto Sans"/>
        </w:rPr>
        <w:t>APISIX northbound: almeno 3 replica distribuite con podAntiAffinity/topologySpreadConstraints.</w:t>
      </w:r>
    </w:p>
    <w:p>
      <w:pPr>
        <w:pStyle w:val="ListBullet"/>
      </w:pPr>
      <w:r>
        <w:rPr>
          <w:rFonts w:ascii="Noto Sans" w:hAnsi="Noto Sans" w:eastAsia="Noto Sans"/>
        </w:rPr>
        <w:t>APISIX southbound: almeno 2 replica; 3 in produzione se il southbound e critico per ingestion schedulata.</w:t>
      </w:r>
    </w:p>
    <w:p>
      <w:pPr>
        <w:pStyle w:val="ListBullet"/>
      </w:pPr>
      <w:r>
        <w:rPr>
          <w:rFonts w:ascii="Noto Sans" w:hAnsi="Noto Sans" w:eastAsia="Noto Sans"/>
        </w:rPr>
        <w:t>Ingress Controller: 2 replica con leader election.</w:t>
      </w:r>
    </w:p>
    <w:p>
      <w:pPr>
        <w:pStyle w:val="ListBullet"/>
      </w:pPr>
      <w:r>
        <w:rPr>
          <w:rFonts w:ascii="Noto Sans" w:hAnsi="Noto Sans" w:eastAsia="Noto Sans"/>
        </w:rPr>
        <w:t>etcd: 3 membri con volumi SSD persistenti, snapshot automatici e restore testato.</w:t>
      </w:r>
    </w:p>
    <w:p>
      <w:pPr>
        <w:pStyle w:val="ListBullet"/>
      </w:pPr>
      <w:r>
        <w:rPr>
          <w:rFonts w:ascii="Noto Sans" w:hAnsi="Noto Sans" w:eastAsia="Noto Sans"/>
        </w:rPr>
        <w:t>PodDisruptionBudget: northbound minAvailable=2; southbound minAvailable=1/2 secondo replica count.</w:t>
      </w:r>
    </w:p>
    <w:p>
      <w:pPr>
        <w:pStyle w:val="ListBullet"/>
      </w:pPr>
      <w:r>
        <w:rPr>
          <w:rFonts w:ascii="Noto Sans" w:hAnsi="Noto Sans" w:eastAsia="Noto Sans"/>
        </w:rPr>
        <w:t>HPA northbound: min 3, max 10; scaling su CPU e, se disponibile, request rate.</w:t>
      </w:r>
    </w:p>
    <w:p>
      <w:pPr>
        <w:pStyle w:val="ListBullet"/>
      </w:pPr>
      <w:r>
        <w:rPr>
          <w:rFonts w:ascii="Noto Sans" w:hAnsi="Noto Sans" w:eastAsia="Noto Sans"/>
        </w:rPr>
        <w:t>Readiness probe rimuove pod non pronti prima del routing; liveness riavvia solo su fault reale.</w:t>
      </w:r>
    </w:p>
    <w:p>
      <w:pPr>
        <w:pStyle w:val="ListBullet"/>
      </w:pPr>
      <w:r>
        <w:rPr>
          <w:rFonts w:ascii="Noto Sans" w:hAnsi="Noto Sans" w:eastAsia="Noto Sans"/>
        </w:rPr>
        <w:t>Rolling update maxUnavailable=0 per northbound; maxSurge &gt;=1.</w:t>
      </w:r>
    </w:p>
    <w:p>
      <w:pPr>
        <w:pStyle w:val="Heading2"/>
      </w:pPr>
      <w:r>
        <w:rPr>
          <w:rFonts w:ascii="Noto Sans" w:hAnsi="Noto Sans"/>
        </w:rPr>
        <w:t>T14.1 etcd storage, quorum health e controlled publication</w:t>
      </w:r>
    </w:p>
    <w:p>
      <w:pPr/>
      <w:r>
        <w:rPr>
          <w:rFonts w:ascii="Noto Sans" w:hAnsi="Noto Sans"/>
        </w:rPr>
        <w:t>Il cluster etcd a 3 membri è un componente latency-sensitive del control plane APISIX. Ogni membro DEVE usare storage persistente SSD a bassa latenza con IOPS/throughput prevedibili e senza noisy-neighbour incompatibile con gli SLO del cluster. Una latenza elevata di fsync/commit può aumentare election churn, ritardare i commit Raft e rendere temporaneamente indisponibile il control plane; i timeout Raft non devono essere usati per mascherare storage patologicamente lento.</w:t>
      </w:r>
    </w:p>
    <w:p>
      <w:pPr/>
      <w:r>
        <w:rPr>
          <w:rFonts w:ascii="Noto Sans" w:hAnsi="Noto Sans"/>
        </w:rPr>
        <w:t>GW-ETCD-01 — Sono monitorati almeno WAL fsync latency, backend commit latency, leader changes/election rate, pending proposals, DB size/quota, compaction/defragmentation state e APISIX configuration propagation latency.</w:t>
      </w:r>
    </w:p>
    <w:p>
      <w:pPr/>
      <w:r>
        <w:rPr>
          <w:rFonts w:ascii="Noto Sans" w:hAnsi="Noto Sans"/>
        </w:rPr>
        <w:t>GW-ETCD-02 — La pubblicazione massiva di route/plugin non scrive direttamente da Onboarding a etcd. Il flusso è: PublishedConfigurationBundle -&gt; Gateway configuration publication -&gt; validate/compile/diff -&gt; controlled APISIX update -&gt; etcd.</w:t>
      </w:r>
    </w:p>
    <w:p>
      <w:pPr/>
      <w:r>
        <w:rPr>
          <w:rFonts w:ascii="Noto Sans" w:hAnsi="Noto Sans"/>
        </w:rPr>
        <w:t>GW-ETCD-03 — Il publication worker DEVE applicare batching/coalescing, concurrency limit e backpressure. Modifiche multiple allo stesso oggetto di configurazione possono essere consolidate prima della write; non sono ammessi burst incontrollati di write derivati da una singola sessione di onboarding.</w:t>
      </w:r>
    </w:p>
    <w:p>
      <w:pPr/>
      <w:r>
        <w:rPr>
          <w:rFonts w:ascii="Noto Sans" w:hAnsi="Noto Sans"/>
        </w:rPr>
        <w:t>GW-ETCD-04 — Se etcd/control plane è degradato, nuove configurazioni non diventano ACTIVE finché publication e verifica non completano con successo. Il data plane DEVE continuare, per quanto supportato dalla versione APISIX adottata, a servire la last-known-good configuration già caricata.</w:t>
      </w:r>
    </w:p>
    <w:p>
      <w:pPr/>
      <w:r>
        <w:rPr>
          <w:rFonts w:ascii="Noto Sans" w:hAnsi="Noto Sans"/>
        </w:rPr>
        <w:t>GW-ETCD-05 — Snapshot, compaction, defragmentation e restore sono operazioni governate. Una procedura di manutenzione che può impattare quorum o latenza viene eseguita member-by-member con health gate e runbook.</w:t>
      </w:r>
    </w:p>
    <w:p>
      <w:pPr/>
      <w:r>
        <w:rPr>
          <w:rFonts w:ascii="Noto Sans" w:hAnsi="Noto Sans"/>
        </w:rPr>
        <w:t>GW-ETCD-06 — Election timeout/heartbeat interval sono calibrati su RTT e latenza storage misurati. Aumentarli indiscriminatamente non è una remediation accettabile per WAL fsync p99 fuori soglia.</w:t>
      </w:r>
    </w:p>
    <w:p>
      <w:pPr/>
      <w:r>
        <w:rPr>
          <w:rFonts w:ascii="Noto Sans" w:hAnsi="Noto Sans"/>
        </w:rPr>
        <w:t>Onboarding</w:t>
        <w:br/>
        <w:t xml:space="preserve">  -&gt; PublishedConfigurationBundle</w:t>
        <w:br/>
        <w:t xml:space="preserve">  -&gt; Gateway configuration publication</w:t>
        <w:br/>
        <w:t xml:space="preserve">       validate</w:t>
        <w:br/>
        <w:t xml:space="preserve">       compile/diff</w:t>
        <w:br/>
        <w:t xml:space="preserve">       batch/coalesce</w:t>
        <w:br/>
        <w:t xml:space="preserve">       health gate</w:t>
        <w:br/>
        <w:t xml:space="preserve">  -&gt; APISIX Admin/Ingress control plane</w:t>
        <w:br/>
        <w:t xml:space="preserve">  -&gt; etcd</w:t>
        <w:br/>
        <w:t xml:space="preserve">  -&gt; propagation verified</w:t>
        <w:br/>
        <w:t xml:space="preserve">  -&gt; configuration ACTIVE</w:t>
        <w:br/>
        <w:br/>
        <w:t>etcd degraded:</w:t>
        <w:br/>
        <w:t xml:space="preserve">  existing data plane -&gt; last-known-good</w:t>
        <w:br/>
        <w:t xml:space="preserve">  new publication -&gt; NOT ACTIVE / retry governed</w:t>
      </w:r>
    </w:p>
    <w:p>
      <w:pPr>
        <w:pStyle w:val="Heading1"/>
        <w:keepNext/>
        <w:spacing w:before="160"/>
      </w:pPr>
      <w:r>
        <w:rPr>
          <w:rFonts w:ascii="Noto Sans" w:hAnsi="Noto Sans" w:eastAsia="Noto Sans"/>
        </w:rPr>
        <w:t>T15. Sizing iniziale</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blHeader w:val="true"/>
          <w:cantSplit/>
        </w:trPr>
        <w:tc>
          <w:tcPr>
            <w:tcW w:type="dxa" w:w="2592"/>
            <w:shd w:fill="0B5A73"/>
            <w:vAlign w:val="center"/>
            <w:tcMar>
              <w:top w:w="70" w:type="dxa"/>
              <w:start w:w="90" w:type="dxa"/>
              <w:bottom w:w="70" w:type="dxa"/>
              <w:end w:w="90" w:type="dxa"/>
            </w:tcMar>
          </w:tcPr>
          <w:p>
            <w:r>
              <w:rPr>
                <w:rFonts w:ascii="Noto Sans" w:hAnsi="Noto Sans" w:eastAsia="Noto Sans"/>
                <w:sz w:val="17"/>
              </w:rPr>
              <w:t>Workload</w:t>
            </w:r>
          </w:p>
        </w:tc>
        <w:tc>
          <w:tcPr>
            <w:tcW w:type="dxa" w:w="1728"/>
            <w:shd w:fill="0B5A73"/>
            <w:vAlign w:val="center"/>
            <w:tcMar>
              <w:top w:w="70" w:type="dxa"/>
              <w:start w:w="90" w:type="dxa"/>
              <w:bottom w:w="70" w:type="dxa"/>
              <w:end w:w="90" w:type="dxa"/>
            </w:tcMar>
          </w:tcPr>
          <w:p>
            <w:r>
              <w:rPr>
                <w:rFonts w:ascii="Noto Sans" w:hAnsi="Noto Sans" w:eastAsia="Noto Sans"/>
                <w:sz w:val="17"/>
              </w:rPr>
              <w:t>Replica</w:t>
            </w:r>
          </w:p>
        </w:tc>
        <w:tc>
          <w:tcPr>
            <w:tcW w:type="dxa" w:w="2592"/>
            <w:shd w:fill="0B5A73"/>
            <w:vAlign w:val="center"/>
            <w:tcMar>
              <w:top w:w="70" w:type="dxa"/>
              <w:start w:w="90" w:type="dxa"/>
              <w:bottom w:w="70" w:type="dxa"/>
              <w:end w:w="90" w:type="dxa"/>
            </w:tcMar>
          </w:tcPr>
          <w:p>
            <w:r>
              <w:rPr>
                <w:rFonts w:ascii="Noto Sans" w:hAnsi="Noto Sans" w:eastAsia="Noto Sans"/>
                <w:sz w:val="17"/>
              </w:rPr>
              <w:t>CPU request/limit</w:t>
            </w:r>
          </w:p>
        </w:tc>
        <w:tc>
          <w:tcPr>
            <w:tcW w:type="dxa" w:w="2592"/>
            <w:shd w:fill="0B5A73"/>
            <w:vAlign w:val="center"/>
            <w:tcMar>
              <w:top w:w="70" w:type="dxa"/>
              <w:start w:w="90" w:type="dxa"/>
              <w:bottom w:w="70" w:type="dxa"/>
              <w:end w:w="90" w:type="dxa"/>
            </w:tcMar>
          </w:tcPr>
          <w:p>
            <w:r>
              <w:rPr>
                <w:rFonts w:ascii="Noto Sans" w:hAnsi="Noto Sans" w:eastAsia="Noto Sans"/>
                <w:sz w:val="17"/>
              </w:rPr>
              <w:t>RAM request/limit</w:t>
            </w:r>
          </w:p>
        </w:tc>
        <w:tc>
          <w:tcPr>
            <w:tcW w:type="dxa" w:w="3456"/>
            <w:shd w:fill="0B5A73"/>
            <w:vAlign w:val="center"/>
            <w:tcMar>
              <w:top w:w="70" w:type="dxa"/>
              <w:start w:w="90" w:type="dxa"/>
              <w:bottom w:w="70" w:type="dxa"/>
              <w:end w:w="90" w:type="dxa"/>
            </w:tcMar>
          </w:tcPr>
          <w:p>
            <w:r>
              <w:rPr>
                <w:rFonts w:ascii="Noto Sans" w:hAnsi="Noto Sans" w:eastAsia="Noto Sans"/>
                <w:sz w:val="17"/>
              </w:rPr>
              <w:t>Storage</w:t>
            </w:r>
          </w:p>
        </w:tc>
      </w:tr>
      <w:tr>
        <w:trPr>
          <w:cantSplit/>
        </w:trPr>
        <w:tc>
          <w:tcPr>
            <w:tcW w:type="dxa" w:w="2592"/>
            <w:tcMar>
              <w:top w:w="70" w:type="dxa"/>
              <w:start w:w="90" w:type="dxa"/>
              <w:bottom w:w="70" w:type="dxa"/>
              <w:end w:w="90" w:type="dxa"/>
            </w:tcMar>
            <w:vAlign w:val="top"/>
          </w:tcPr>
          <w:p>
            <w:r>
              <w:rPr>
                <w:rFonts w:ascii="Noto Sans" w:hAnsi="Noto Sans" w:eastAsia="Noto Sans"/>
                <w:sz w:val="17"/>
              </w:rPr>
              <w:t>APISIX northbound</w:t>
            </w:r>
          </w:p>
        </w:tc>
        <w:tc>
          <w:tcPr>
            <w:tcW w:type="dxa" w:w="1728"/>
            <w:tcMar>
              <w:top w:w="70" w:type="dxa"/>
              <w:start w:w="90" w:type="dxa"/>
              <w:bottom w:w="70" w:type="dxa"/>
              <w:end w:w="90" w:type="dxa"/>
            </w:tcMar>
            <w:vAlign w:val="top"/>
          </w:tcPr>
          <w:p>
            <w:r>
              <w:rPr>
                <w:rFonts w:ascii="Noto Sans" w:hAnsi="Noto Sans" w:eastAsia="Noto Sans"/>
                <w:sz w:val="17"/>
              </w:rPr>
              <w:t>3 (HPA 3-10)</w:t>
            </w:r>
          </w:p>
        </w:tc>
        <w:tc>
          <w:tcPr>
            <w:tcW w:type="dxa" w:w="2592"/>
            <w:tcMar>
              <w:top w:w="70" w:type="dxa"/>
              <w:start w:w="90" w:type="dxa"/>
              <w:bottom w:w="70" w:type="dxa"/>
              <w:end w:w="90" w:type="dxa"/>
            </w:tcMar>
            <w:vAlign w:val="top"/>
          </w:tcPr>
          <w:p>
            <w:r>
              <w:rPr>
                <w:rFonts w:ascii="Noto Sans" w:hAnsi="Noto Sans" w:eastAsia="Noto Sans"/>
                <w:sz w:val="17"/>
              </w:rPr>
              <w:t>500m / 2</w:t>
            </w:r>
          </w:p>
        </w:tc>
        <w:tc>
          <w:tcPr>
            <w:tcW w:type="dxa" w:w="2592"/>
            <w:tcMar>
              <w:top w:w="70" w:type="dxa"/>
              <w:start w:w="90" w:type="dxa"/>
              <w:bottom w:w="70" w:type="dxa"/>
              <w:end w:w="90" w:type="dxa"/>
            </w:tcMar>
            <w:vAlign w:val="top"/>
          </w:tcPr>
          <w:p>
            <w:r>
              <w:rPr>
                <w:rFonts w:ascii="Noto Sans" w:hAnsi="Noto Sans" w:eastAsia="Noto Sans"/>
                <w:sz w:val="17"/>
              </w:rPr>
              <w:t>512Mi / 2Gi</w:t>
            </w:r>
          </w:p>
        </w:tc>
        <w:tc>
          <w:tcPr>
            <w:tcW w:type="dxa" w:w="3456"/>
            <w:tcMar>
              <w:top w:w="70" w:type="dxa"/>
              <w:start w:w="90" w:type="dxa"/>
              <w:bottom w:w="70" w:type="dxa"/>
              <w:end w:w="90" w:type="dxa"/>
            </w:tcMar>
            <w:vAlign w:val="top"/>
          </w:tcPr>
          <w:p>
            <w:r>
              <w:rPr>
                <w:rFonts w:ascii="Noto Sans" w:hAnsi="Noto Sans" w:eastAsia="Noto Sans"/>
                <w:sz w:val="17"/>
              </w:rPr>
              <w:t>cache WMS 5-20Gi per pod se disk cache</w:t>
            </w:r>
          </w:p>
        </w:tc>
      </w:tr>
      <w:tr>
        <w:trPr>
          <w:cantSplit/>
        </w:trPr>
        <w:tc>
          <w:tcPr>
            <w:tcW w:type="dxa" w:w="2592"/>
            <w:tcMar>
              <w:top w:w="70" w:type="dxa"/>
              <w:start w:w="90" w:type="dxa"/>
              <w:bottom w:w="70" w:type="dxa"/>
              <w:end w:w="90" w:type="dxa"/>
            </w:tcMar>
            <w:vAlign w:val="top"/>
            <w:shd w:fill="F7F9FA"/>
          </w:tcPr>
          <w:p>
            <w:r>
              <w:rPr>
                <w:rFonts w:ascii="Noto Sans" w:hAnsi="Noto Sans" w:eastAsia="Noto Sans"/>
                <w:sz w:val="17"/>
              </w:rPr>
              <w:t>APISIX southbound</w:t>
            </w:r>
          </w:p>
        </w:tc>
        <w:tc>
          <w:tcPr>
            <w:tcW w:type="dxa" w:w="1728"/>
            <w:tcMar>
              <w:top w:w="70" w:type="dxa"/>
              <w:start w:w="90" w:type="dxa"/>
              <w:bottom w:w="70" w:type="dxa"/>
              <w:end w:w="90" w:type="dxa"/>
            </w:tcMar>
            <w:vAlign w:val="top"/>
            <w:shd w:fill="F7F9FA"/>
          </w:tcPr>
          <w:p>
            <w:r>
              <w:rPr>
                <w:rFonts w:ascii="Noto Sans" w:hAnsi="Noto Sans" w:eastAsia="Noto Sans"/>
                <w:sz w:val="17"/>
              </w:rPr>
              <w:t>2-3</w:t>
            </w:r>
          </w:p>
        </w:tc>
        <w:tc>
          <w:tcPr>
            <w:tcW w:type="dxa" w:w="2592"/>
            <w:tcMar>
              <w:top w:w="70" w:type="dxa"/>
              <w:start w:w="90" w:type="dxa"/>
              <w:bottom w:w="70" w:type="dxa"/>
              <w:end w:w="90" w:type="dxa"/>
            </w:tcMar>
            <w:vAlign w:val="top"/>
            <w:shd w:fill="F7F9FA"/>
          </w:tcPr>
          <w:p>
            <w:r>
              <w:rPr>
                <w:rFonts w:ascii="Noto Sans" w:hAnsi="Noto Sans" w:eastAsia="Noto Sans"/>
                <w:sz w:val="17"/>
              </w:rPr>
              <w:t>300m / 1</w:t>
            </w:r>
          </w:p>
        </w:tc>
        <w:tc>
          <w:tcPr>
            <w:tcW w:type="dxa" w:w="2592"/>
            <w:tcMar>
              <w:top w:w="70" w:type="dxa"/>
              <w:start w:w="90" w:type="dxa"/>
              <w:bottom w:w="70" w:type="dxa"/>
              <w:end w:w="90" w:type="dxa"/>
            </w:tcMar>
            <w:vAlign w:val="top"/>
            <w:shd w:fill="F7F9FA"/>
          </w:tcPr>
          <w:p>
            <w:r>
              <w:rPr>
                <w:rFonts w:ascii="Noto Sans" w:hAnsi="Noto Sans" w:eastAsia="Noto Sans"/>
                <w:sz w:val="17"/>
              </w:rPr>
              <w:t>384Mi / 1Gi</w:t>
            </w:r>
          </w:p>
        </w:tc>
        <w:tc>
          <w:tcPr>
            <w:tcW w:type="dxa" w:w="3456"/>
            <w:tcMar>
              <w:top w:w="70" w:type="dxa"/>
              <w:start w:w="90" w:type="dxa"/>
              <w:bottom w:w="70" w:type="dxa"/>
              <w:end w:w="90" w:type="dxa"/>
            </w:tcMar>
            <w:vAlign w:val="top"/>
            <w:shd w:fill="F7F9FA"/>
          </w:tcPr>
          <w:p>
            <w:r>
              <w:rPr>
                <w:rFonts w:ascii="Noto Sans" w:hAnsi="Noto Sans" w:eastAsia="Noto Sans"/>
                <w:sz w:val="17"/>
              </w:rPr>
              <w:t>ephemeral</w:t>
            </w:r>
          </w:p>
        </w:tc>
      </w:tr>
      <w:tr>
        <w:trPr>
          <w:cantSplit/>
        </w:trPr>
        <w:tc>
          <w:tcPr>
            <w:tcW w:type="dxa" w:w="2592"/>
            <w:tcMar>
              <w:top w:w="70" w:type="dxa"/>
              <w:start w:w="90" w:type="dxa"/>
              <w:bottom w:w="70" w:type="dxa"/>
              <w:end w:w="90" w:type="dxa"/>
            </w:tcMar>
            <w:vAlign w:val="top"/>
          </w:tcPr>
          <w:p>
            <w:r>
              <w:rPr>
                <w:rFonts w:ascii="Noto Sans" w:hAnsi="Noto Sans" w:eastAsia="Noto Sans"/>
                <w:sz w:val="17"/>
              </w:rPr>
              <w:t>APISIX control plane</w:t>
            </w:r>
          </w:p>
        </w:tc>
        <w:tc>
          <w:tcPr>
            <w:tcW w:type="dxa" w:w="1728"/>
            <w:tcMar>
              <w:top w:w="70" w:type="dxa"/>
              <w:start w:w="90" w:type="dxa"/>
              <w:bottom w:w="70" w:type="dxa"/>
              <w:end w:w="90" w:type="dxa"/>
            </w:tcMar>
            <w:vAlign w:val="top"/>
          </w:tcPr>
          <w:p>
            <w:r>
              <w:rPr>
                <w:rFonts w:ascii="Noto Sans" w:hAnsi="Noto Sans" w:eastAsia="Noto Sans"/>
                <w:sz w:val="17"/>
              </w:rPr>
              <w:t>2</w:t>
            </w:r>
          </w:p>
        </w:tc>
        <w:tc>
          <w:tcPr>
            <w:tcW w:type="dxa" w:w="2592"/>
            <w:tcMar>
              <w:top w:w="70" w:type="dxa"/>
              <w:start w:w="90" w:type="dxa"/>
              <w:bottom w:w="70" w:type="dxa"/>
              <w:end w:w="90" w:type="dxa"/>
            </w:tcMar>
            <w:vAlign w:val="top"/>
          </w:tcPr>
          <w:p>
            <w:r>
              <w:rPr>
                <w:rFonts w:ascii="Noto Sans" w:hAnsi="Noto Sans" w:eastAsia="Noto Sans"/>
                <w:sz w:val="17"/>
              </w:rPr>
              <w:t>250m / 1</w:t>
            </w:r>
          </w:p>
        </w:tc>
        <w:tc>
          <w:tcPr>
            <w:tcW w:type="dxa" w:w="2592"/>
            <w:tcMar>
              <w:top w:w="70" w:type="dxa"/>
              <w:start w:w="90" w:type="dxa"/>
              <w:bottom w:w="70" w:type="dxa"/>
              <w:end w:w="90" w:type="dxa"/>
            </w:tcMar>
            <w:vAlign w:val="top"/>
          </w:tcPr>
          <w:p>
            <w:r>
              <w:rPr>
                <w:rFonts w:ascii="Noto Sans" w:hAnsi="Noto Sans" w:eastAsia="Noto Sans"/>
                <w:sz w:val="17"/>
              </w:rPr>
              <w:t>256Mi / 1Gi</w:t>
            </w:r>
          </w:p>
        </w:tc>
        <w:tc>
          <w:tcPr>
            <w:tcW w:type="dxa" w:w="3456"/>
            <w:tcMar>
              <w:top w:w="70" w:type="dxa"/>
              <w:start w:w="90" w:type="dxa"/>
              <w:bottom w:w="70" w:type="dxa"/>
              <w:end w:w="90" w:type="dxa"/>
            </w:tcMar>
            <w:vAlign w:val="top"/>
          </w:tcPr>
          <w:p>
            <w:r>
              <w:rPr>
                <w:rFonts w:ascii="Noto Sans" w:hAnsi="Noto Sans" w:eastAsia="Noto Sans"/>
                <w:sz w:val="17"/>
              </w:rPr>
              <w:t>ephemeral</w:t>
            </w:r>
          </w:p>
        </w:tc>
      </w:tr>
      <w:tr>
        <w:trPr>
          <w:cantSplit/>
        </w:trPr>
        <w:tc>
          <w:tcPr>
            <w:tcW w:type="dxa" w:w="2592"/>
            <w:tcMar>
              <w:top w:w="70" w:type="dxa"/>
              <w:start w:w="90" w:type="dxa"/>
              <w:bottom w:w="70" w:type="dxa"/>
              <w:end w:w="90" w:type="dxa"/>
            </w:tcMar>
            <w:vAlign w:val="top"/>
            <w:shd w:fill="F7F9FA"/>
          </w:tcPr>
          <w:p>
            <w:r>
              <w:rPr>
                <w:rFonts w:ascii="Noto Sans" w:hAnsi="Noto Sans" w:eastAsia="Noto Sans"/>
                <w:sz w:val="17"/>
              </w:rPr>
              <w:t>Ingress Controller</w:t>
            </w:r>
          </w:p>
        </w:tc>
        <w:tc>
          <w:tcPr>
            <w:tcW w:type="dxa" w:w="1728"/>
            <w:tcMar>
              <w:top w:w="70" w:type="dxa"/>
              <w:start w:w="90" w:type="dxa"/>
              <w:bottom w:w="70" w:type="dxa"/>
              <w:end w:w="90" w:type="dxa"/>
            </w:tcMar>
            <w:vAlign w:val="top"/>
            <w:shd w:fill="F7F9FA"/>
          </w:tcPr>
          <w:p>
            <w:r>
              <w:rPr>
                <w:rFonts w:ascii="Noto Sans" w:hAnsi="Noto Sans" w:eastAsia="Noto Sans"/>
                <w:sz w:val="17"/>
              </w:rPr>
              <w:t>2</w:t>
            </w:r>
          </w:p>
        </w:tc>
        <w:tc>
          <w:tcPr>
            <w:tcW w:type="dxa" w:w="2592"/>
            <w:tcMar>
              <w:top w:w="70" w:type="dxa"/>
              <w:start w:w="90" w:type="dxa"/>
              <w:bottom w:w="70" w:type="dxa"/>
              <w:end w:w="90" w:type="dxa"/>
            </w:tcMar>
            <w:vAlign w:val="top"/>
            <w:shd w:fill="F7F9FA"/>
          </w:tcPr>
          <w:p>
            <w:r>
              <w:rPr>
                <w:rFonts w:ascii="Noto Sans" w:hAnsi="Noto Sans" w:eastAsia="Noto Sans"/>
                <w:sz w:val="17"/>
              </w:rPr>
              <w:t>200m / 500m</w:t>
            </w:r>
          </w:p>
        </w:tc>
        <w:tc>
          <w:tcPr>
            <w:tcW w:type="dxa" w:w="2592"/>
            <w:tcMar>
              <w:top w:w="70" w:type="dxa"/>
              <w:start w:w="90" w:type="dxa"/>
              <w:bottom w:w="70" w:type="dxa"/>
              <w:end w:w="90" w:type="dxa"/>
            </w:tcMar>
            <w:vAlign w:val="top"/>
            <w:shd w:fill="F7F9FA"/>
          </w:tcPr>
          <w:p>
            <w:r>
              <w:rPr>
                <w:rFonts w:ascii="Noto Sans" w:hAnsi="Noto Sans" w:eastAsia="Noto Sans"/>
                <w:sz w:val="17"/>
              </w:rPr>
              <w:t>256Mi / 512Mi</w:t>
            </w:r>
          </w:p>
        </w:tc>
        <w:tc>
          <w:tcPr>
            <w:tcW w:type="dxa" w:w="3456"/>
            <w:tcMar>
              <w:top w:w="70" w:type="dxa"/>
              <w:start w:w="90" w:type="dxa"/>
              <w:bottom w:w="70" w:type="dxa"/>
              <w:end w:w="90" w:type="dxa"/>
            </w:tcMar>
            <w:vAlign w:val="top"/>
            <w:shd w:fill="F7F9FA"/>
          </w:tcPr>
          <w:p>
            <w:r>
              <w:rPr>
                <w:rFonts w:ascii="Noto Sans" w:hAnsi="Noto Sans" w:eastAsia="Noto Sans"/>
                <w:sz w:val="17"/>
              </w:rPr>
              <w:t>ephemeral</w:t>
            </w:r>
          </w:p>
        </w:tc>
      </w:tr>
      <w:tr>
        <w:trPr>
          <w:cantSplit/>
        </w:trPr>
        <w:tc>
          <w:tcPr>
            <w:tcW w:type="dxa" w:w="2592"/>
            <w:tcMar>
              <w:top w:w="70" w:type="dxa"/>
              <w:start w:w="90" w:type="dxa"/>
              <w:bottom w:w="70" w:type="dxa"/>
              <w:end w:w="90" w:type="dxa"/>
            </w:tcMar>
            <w:vAlign w:val="top"/>
          </w:tcPr>
          <w:p>
            <w:r>
              <w:rPr>
                <w:rFonts w:ascii="Noto Sans" w:hAnsi="Noto Sans" w:eastAsia="Noto Sans"/>
                <w:sz w:val="17"/>
              </w:rPr>
              <w:t>etcd</w:t>
            </w:r>
          </w:p>
        </w:tc>
        <w:tc>
          <w:tcPr>
            <w:tcW w:type="dxa" w:w="1728"/>
            <w:tcMar>
              <w:top w:w="70" w:type="dxa"/>
              <w:start w:w="90" w:type="dxa"/>
              <w:bottom w:w="70" w:type="dxa"/>
              <w:end w:w="90" w:type="dxa"/>
            </w:tcMar>
            <w:vAlign w:val="top"/>
          </w:tcPr>
          <w:p>
            <w:r>
              <w:rPr>
                <w:rFonts w:ascii="Noto Sans" w:hAnsi="Noto Sans" w:eastAsia="Noto Sans"/>
                <w:sz w:val="17"/>
              </w:rPr>
              <w:t>3</w:t>
            </w:r>
          </w:p>
        </w:tc>
        <w:tc>
          <w:tcPr>
            <w:tcW w:type="dxa" w:w="2592"/>
            <w:tcMar>
              <w:top w:w="70" w:type="dxa"/>
              <w:start w:w="90" w:type="dxa"/>
              <w:bottom w:w="70" w:type="dxa"/>
              <w:end w:w="90" w:type="dxa"/>
            </w:tcMar>
            <w:vAlign w:val="top"/>
          </w:tcPr>
          <w:p>
            <w:r>
              <w:rPr>
                <w:rFonts w:ascii="Noto Sans" w:hAnsi="Noto Sans" w:eastAsia="Noto Sans"/>
                <w:sz w:val="17"/>
              </w:rPr>
              <w:t>500m / 2</w:t>
            </w:r>
          </w:p>
        </w:tc>
        <w:tc>
          <w:tcPr>
            <w:tcW w:type="dxa" w:w="2592"/>
            <w:tcMar>
              <w:top w:w="70" w:type="dxa"/>
              <w:start w:w="90" w:type="dxa"/>
              <w:bottom w:w="70" w:type="dxa"/>
              <w:end w:w="90" w:type="dxa"/>
            </w:tcMar>
            <w:vAlign w:val="top"/>
          </w:tcPr>
          <w:p>
            <w:r>
              <w:rPr>
                <w:rFonts w:ascii="Noto Sans" w:hAnsi="Noto Sans" w:eastAsia="Noto Sans"/>
                <w:sz w:val="17"/>
              </w:rPr>
              <w:t>1Gi / 4Gi</w:t>
            </w:r>
          </w:p>
        </w:tc>
        <w:tc>
          <w:tcPr>
            <w:tcW w:type="dxa" w:w="3456"/>
            <w:tcMar>
              <w:top w:w="70" w:type="dxa"/>
              <w:start w:w="90" w:type="dxa"/>
              <w:bottom w:w="70" w:type="dxa"/>
              <w:end w:w="90" w:type="dxa"/>
            </w:tcMar>
            <w:vAlign w:val="top"/>
          </w:tcPr>
          <w:p>
            <w:r>
              <w:rPr>
                <w:rFonts w:ascii="Noto Sans" w:hAnsi="Noto Sans" w:eastAsia="Noto Sans"/>
                <w:sz w:val="17"/>
              </w:rPr>
              <w:t>20Gi SSD/member, espandibile</w:t>
            </w:r>
          </w:p>
        </w:tc>
      </w:tr>
      <w:tr>
        <w:trPr>
          <w:cantSplit/>
        </w:trPr>
        <w:tc>
          <w:tcPr>
            <w:tcW w:type="dxa" w:w="2592"/>
            <w:tcMar>
              <w:top w:w="70" w:type="dxa"/>
              <w:start w:w="90" w:type="dxa"/>
              <w:bottom w:w="70" w:type="dxa"/>
              <w:end w:w="90" w:type="dxa"/>
            </w:tcMar>
            <w:vAlign w:val="top"/>
            <w:shd w:fill="F7F9FA"/>
          </w:tcPr>
          <w:p>
            <w:r>
              <w:rPr>
                <w:rFonts w:ascii="Noto Sans" w:hAnsi="Noto Sans" w:eastAsia="Noto Sans"/>
                <w:sz w:val="17"/>
              </w:rPr>
              <w:t>OTel Collector</w:t>
            </w:r>
          </w:p>
        </w:tc>
        <w:tc>
          <w:tcPr>
            <w:tcW w:type="dxa" w:w="1728"/>
            <w:tcMar>
              <w:top w:w="70" w:type="dxa"/>
              <w:start w:w="90" w:type="dxa"/>
              <w:bottom w:w="70" w:type="dxa"/>
              <w:end w:w="90" w:type="dxa"/>
            </w:tcMar>
            <w:vAlign w:val="top"/>
            <w:shd w:fill="F7F9FA"/>
          </w:tcPr>
          <w:p>
            <w:r>
              <w:rPr>
                <w:rFonts w:ascii="Noto Sans" w:hAnsi="Noto Sans" w:eastAsia="Noto Sans"/>
                <w:sz w:val="17"/>
              </w:rPr>
              <w:t>2</w:t>
            </w:r>
          </w:p>
        </w:tc>
        <w:tc>
          <w:tcPr>
            <w:tcW w:type="dxa" w:w="2592"/>
            <w:tcMar>
              <w:top w:w="70" w:type="dxa"/>
              <w:start w:w="90" w:type="dxa"/>
              <w:bottom w:w="70" w:type="dxa"/>
              <w:end w:w="90" w:type="dxa"/>
            </w:tcMar>
            <w:vAlign w:val="top"/>
            <w:shd w:fill="F7F9FA"/>
          </w:tcPr>
          <w:p>
            <w:r>
              <w:rPr>
                <w:rFonts w:ascii="Noto Sans" w:hAnsi="Noto Sans" w:eastAsia="Noto Sans"/>
                <w:sz w:val="17"/>
              </w:rPr>
              <w:t>250m / 1</w:t>
            </w:r>
          </w:p>
        </w:tc>
        <w:tc>
          <w:tcPr>
            <w:tcW w:type="dxa" w:w="2592"/>
            <w:tcMar>
              <w:top w:w="70" w:type="dxa"/>
              <w:start w:w="90" w:type="dxa"/>
              <w:bottom w:w="70" w:type="dxa"/>
              <w:end w:w="90" w:type="dxa"/>
            </w:tcMar>
            <w:vAlign w:val="top"/>
            <w:shd w:fill="F7F9FA"/>
          </w:tcPr>
          <w:p>
            <w:r>
              <w:rPr>
                <w:rFonts w:ascii="Noto Sans" w:hAnsi="Noto Sans" w:eastAsia="Noto Sans"/>
                <w:sz w:val="17"/>
              </w:rPr>
              <w:t>256Mi / 1Gi</w:t>
            </w:r>
          </w:p>
        </w:tc>
        <w:tc>
          <w:tcPr>
            <w:tcW w:type="dxa" w:w="3456"/>
            <w:tcMar>
              <w:top w:w="70" w:type="dxa"/>
              <w:start w:w="90" w:type="dxa"/>
              <w:bottom w:w="70" w:type="dxa"/>
              <w:end w:w="90" w:type="dxa"/>
            </w:tcMar>
            <w:vAlign w:val="top"/>
            <w:shd w:fill="F7F9FA"/>
          </w:tcPr>
          <w:p>
            <w:r>
              <w:rPr>
                <w:rFonts w:ascii="Noto Sans" w:hAnsi="Noto Sans" w:eastAsia="Noto Sans"/>
                <w:sz w:val="17"/>
              </w:rPr>
              <w:t>ephemeral</w:t>
            </w:r>
          </w:p>
        </w:tc>
      </w:tr>
    </w:tbl>
    <w:p>
      <w:pPr>
        <w:pStyle w:val="BodyText"/>
        <w:widowControl/>
      </w:pPr>
      <w:r>
        <w:rPr>
          <w:rFonts w:ascii="Noto Sans" w:hAnsi="Noto Sans" w:eastAsia="Noto Sans"/>
        </w:rPr>
        <w:t>Questi valori sono baseline di avvio. Prima della produzione si esegue un load test con profili: ingestion burst, query UI concorrenti, GetFeature paginati, GetMap cache-hit/cache-miss e failure upstream. L'obiettivo e mantenere overhead Gateway p95 &lt;100 ms escluso backend e disponibilita &gt;=99,9%.</w:t>
      </w:r>
    </w:p>
    <w:p>
      <w:pPr>
        <w:pStyle w:val="Heading1"/>
        <w:keepNext/>
        <w:spacing w:before="160"/>
      </w:pPr>
      <w:r>
        <w:rPr>
          <w:rFonts w:ascii="Noto Sans" w:hAnsi="Noto Sans" w:eastAsia="Noto Sans"/>
        </w:rPr>
        <w:t>T16. Sicurezza tecnologica</w:t>
      </w:r>
    </w:p>
    <w:p>
      <w:pPr>
        <w:pStyle w:val="ListBullet"/>
      </w:pPr>
      <w:r>
        <w:rPr>
          <w:rFonts w:ascii="Noto Sans" w:hAnsi="Noto Sans" w:eastAsia="Noto Sans"/>
        </w:rPr>
        <w:t>TLS 1.2 minimo; TLS 1.3 preferito; cipher suite conforme alla baseline dell'ente.</w:t>
      </w:r>
    </w:p>
    <w:p>
      <w:pPr>
        <w:pStyle w:val="ListBullet"/>
      </w:pPr>
      <w:r>
        <w:rPr>
          <w:rFonts w:ascii="Noto Sans" w:hAnsi="Noto Sans" w:eastAsia="Noto Sans"/>
        </w:rPr>
        <w:t>Admin API APISIX non pubblica, raggiungibile solo da control plane/Ingress Controller con NetworkPolicy.</w:t>
      </w:r>
    </w:p>
    <w:p>
      <w:pPr>
        <w:pStyle w:val="ListBullet"/>
      </w:pPr>
      <w:r>
        <w:rPr>
          <w:rFonts w:ascii="Noto Sans" w:hAnsi="Noto Sans" w:eastAsia="Noto Sans"/>
        </w:rPr>
        <w:t>mTLS su etcd e, quando richiesto, tra Gateway e backend sensibili.</w:t>
      </w:r>
    </w:p>
    <w:p>
      <w:pPr>
        <w:pStyle w:val="ListBullet"/>
      </w:pPr>
      <w:r>
        <w:rPr>
          <w:rFonts w:ascii="Noto Sans" w:hAnsi="Noto Sans" w:eastAsia="Noto Sans"/>
        </w:rPr>
        <w:t>Container image scanning, SBOM e firma/verifica delle immagini in pipeline.</w:t>
      </w:r>
    </w:p>
    <w:p>
      <w:pPr>
        <w:pStyle w:val="ListBullet"/>
      </w:pPr>
      <w:r>
        <w:rPr>
          <w:rFonts w:ascii="Noto Sans" w:hAnsi="Noto Sans" w:eastAsia="Noto Sans"/>
        </w:rPr>
        <w:t>No privileged container; filesystem read-only quando compatibile; drop Linux capabilities non necessarie.</w:t>
      </w:r>
    </w:p>
    <w:p>
      <w:pPr>
        <w:pStyle w:val="ListBullet"/>
      </w:pPr>
      <w:r>
        <w:rPr>
          <w:rFonts w:ascii="Noto Sans" w:hAnsi="Noto Sans" w:eastAsia="Noto Sans"/>
        </w:rPr>
        <w:t>WAF esterno opzionale davanti al Gateway se gia disponibile; il Gateway non sostituisce protezione DDoS di rete.</w:t>
      </w:r>
    </w:p>
    <w:p>
      <w:pPr>
        <w:pStyle w:val="ListBullet"/>
      </w:pPr>
      <w:r>
        <w:rPr>
          <w:rFonts w:ascii="Noto Sans" w:hAnsi="Noto Sans" w:eastAsia="Noto Sans"/>
        </w:rPr>
        <w:t>Default deny per MCP: toolEligible=false se non esplicitamente abilitato.</w:t>
      </w:r>
    </w:p>
    <w:p>
      <w:pPr>
        <w:pStyle w:val="ListBullet"/>
      </w:pPr>
      <w:r>
        <w:rPr>
          <w:rFonts w:ascii="Noto Sans" w:hAnsi="Noto Sans" w:eastAsia="Noto Sans"/>
        </w:rPr>
        <w:t>Nessun payload applicativo completo in access log; header Authorization e secret sempre redatti.</w:t>
      </w:r>
    </w:p>
    <w:p>
      <w:pPr>
        <w:pStyle w:val="ListBullet"/>
      </w:pPr>
      <w:r>
        <w:rPr>
          <w:rFonts w:ascii="Noto Sans" w:hAnsi="Noto Sans" w:eastAsia="Noto Sans"/>
        </w:rPr>
        <w:t>Future restricted/personal data: policy ABAC, masking e data authorization vengono aggiunte senza cambiare il confine del Gateway.</w:t>
      </w:r>
    </w:p>
    <w:p>
      <w:pPr>
        <w:pStyle w:val="Heading1"/>
        <w:keepNext/>
        <w:spacing w:before="160"/>
      </w:pPr>
      <w:r>
        <w:rPr>
          <w:rFonts w:ascii="Noto Sans" w:hAnsi="Noto Sans" w:eastAsia="Noto Sans"/>
        </w:rPr>
        <w:t>T17. GitOps, CI/CD e ambienti</w:t>
      </w:r>
    </w:p>
    <w:p>
      <w:pPr>
        <w:spacing w:before="80" w:after="100"/>
        <w:ind w:left="173" w:right="173"/>
        <w:shd w:fill="F3F5F7"/>
      </w:pPr>
      <w:r>
        <w:rPr>
          <w:rFonts w:ascii="Noto Sans" w:hAnsi="Noto Sans" w:eastAsia="DejaVu Sans Mono"/>
          <w:sz w:val="17"/>
        </w:rPr>
        <w:t>Developer/Architect -&gt; pull request -&gt; static validation -&gt; security scan -&gt;</w:t>
        <w:br/>
        <w:t>contract tests -&gt; merge -&gt; Argo CD DEV -&gt; integration tests -&gt; promotion TEST -&gt;</w:t>
        <w:br/>
        <w:t>performance/security tests -&gt; approval -&gt; Argo CD PROD -&gt; canary/rolling -&gt; verify -&gt; close</w:t>
      </w:r>
    </w:p>
    <w:p>
      <w:pPr>
        <w:pStyle w:val="BodyText"/>
        <w:widowControl/>
      </w:pPr>
      <w:r>
        <w:rPr>
          <w:rFonts w:ascii="Noto Sans" w:hAnsi="Noto Sans" w:eastAsia="Noto Sans"/>
        </w:rPr>
        <w:t>Ambienti minimi: DEV, TEST/INTEGRATION, PROD. È raccomandato un ambiente PREPROD quando le sorgenti verticali mettono a disposizione endpoint di collaudo. Le configurazioni di ambiente usano overlay; capabilityId e semantica non cambiano tra ambienti, mentre URL, secretRef e rate limit possono cambiare.</w:t>
      </w:r>
    </w:p>
    <w:tbl>
      <w:tblPr>
        <w:tblStyle w:val="TableGrid"/>
        <w:tblW w:type="auto" w:w="0"/>
        <w:jc w:val="center"/>
        <w:tblLook w:firstColumn="1" w:firstRow="1" w:lastColumn="0" w:lastRow="0" w:noHBand="0" w:noVBand="1" w:val="04A0"/>
      </w:tblPr>
      <w:tblGrid>
        <w:gridCol w:w="3024"/>
        <w:gridCol w:w="3024"/>
        <w:gridCol w:w="3024"/>
      </w:tblGrid>
      <w:tr>
        <w:trPr>
          <w:tblHeader w:val="true"/>
          <w:tblHeader w:val="true"/>
          <w:cantSplit/>
        </w:trPr>
        <w:tc>
          <w:tcPr>
            <w:tcW w:type="dxa" w:w="2304"/>
            <w:shd w:fill="0B5A73"/>
            <w:vAlign w:val="center"/>
            <w:tcMar>
              <w:top w:w="70" w:type="dxa"/>
              <w:start w:w="90" w:type="dxa"/>
              <w:bottom w:w="70" w:type="dxa"/>
              <w:end w:w="90" w:type="dxa"/>
            </w:tcMar>
          </w:tcPr>
          <w:p>
            <w:r>
              <w:rPr>
                <w:rFonts w:ascii="Noto Sans" w:hAnsi="Noto Sans" w:eastAsia="Noto Sans"/>
                <w:sz w:val="17"/>
              </w:rPr>
              <w:t>Gate CI</w:t>
            </w:r>
          </w:p>
        </w:tc>
        <w:tc>
          <w:tcPr>
            <w:tcW w:type="dxa" w:w="1728"/>
            <w:shd w:fill="0B5A73"/>
            <w:vAlign w:val="center"/>
            <w:tcMar>
              <w:top w:w="70" w:type="dxa"/>
              <w:start w:w="90" w:type="dxa"/>
              <w:bottom w:w="70" w:type="dxa"/>
              <w:end w:w="90" w:type="dxa"/>
            </w:tcMar>
          </w:tcPr>
          <w:p>
            <w:r>
              <w:rPr>
                <w:rFonts w:ascii="Noto Sans" w:hAnsi="Noto Sans" w:eastAsia="Noto Sans"/>
                <w:sz w:val="17"/>
              </w:rPr>
              <w:t>Bloccante</w:t>
            </w:r>
          </w:p>
        </w:tc>
        <w:tc>
          <w:tcPr>
            <w:tcW w:type="dxa" w:w="7488"/>
            <w:shd w:fill="0B5A73"/>
            <w:vAlign w:val="center"/>
            <w:tcMar>
              <w:top w:w="70" w:type="dxa"/>
              <w:start w:w="90" w:type="dxa"/>
              <w:bottom w:w="70" w:type="dxa"/>
              <w:end w:w="90" w:type="dxa"/>
            </w:tcMar>
          </w:tcPr>
          <w:p>
            <w:r>
              <w:rPr>
                <w:rFonts w:ascii="Noto Sans" w:hAnsi="Noto Sans" w:eastAsia="Noto Sans"/>
                <w:sz w:val="17"/>
              </w:rPr>
              <w:t>Esempi</w:t>
            </w:r>
          </w:p>
        </w:tc>
      </w:tr>
      <w:tr>
        <w:trPr>
          <w:cantSplit/>
        </w:trPr>
        <w:tc>
          <w:tcPr>
            <w:tcW w:type="dxa" w:w="2304"/>
            <w:tcMar>
              <w:top w:w="70" w:type="dxa"/>
              <w:start w:w="90" w:type="dxa"/>
              <w:bottom w:w="70" w:type="dxa"/>
              <w:end w:w="90" w:type="dxa"/>
            </w:tcMar>
            <w:vAlign w:val="top"/>
          </w:tcPr>
          <w:p>
            <w:r>
              <w:rPr>
                <w:rFonts w:ascii="Noto Sans" w:hAnsi="Noto Sans" w:eastAsia="Noto Sans"/>
                <w:sz w:val="17"/>
              </w:rPr>
              <w:t>Lint/syntax</w:t>
            </w:r>
          </w:p>
        </w:tc>
        <w:tc>
          <w:tcPr>
            <w:tcW w:type="dxa" w:w="1728"/>
            <w:tcMar>
              <w:top w:w="70" w:type="dxa"/>
              <w:start w:w="90" w:type="dxa"/>
              <w:bottom w:w="70" w:type="dxa"/>
              <w:end w:w="90" w:type="dxa"/>
            </w:tcMar>
            <w:vAlign w:val="top"/>
          </w:tcPr>
          <w:p>
            <w:r>
              <w:rPr>
                <w:rFonts w:ascii="Noto Sans" w:hAnsi="Noto Sans" w:eastAsia="Noto Sans"/>
                <w:sz w:val="17"/>
              </w:rPr>
              <w:t>Sì</w:t>
            </w:r>
          </w:p>
        </w:tc>
        <w:tc>
          <w:tcPr>
            <w:tcW w:type="dxa" w:w="7488"/>
            <w:tcMar>
              <w:top w:w="70" w:type="dxa"/>
              <w:start w:w="90" w:type="dxa"/>
              <w:bottom w:w="70" w:type="dxa"/>
              <w:end w:w="90" w:type="dxa"/>
            </w:tcMar>
            <w:vAlign w:val="top"/>
          </w:tcPr>
          <w:p>
            <w:r>
              <w:rPr>
                <w:rFonts w:ascii="Noto Sans" w:hAnsi="Noto Sans" w:eastAsia="Noto Sans"/>
                <w:sz w:val="17"/>
              </w:rPr>
              <w:t>YAML, OpenAPI, JSON Schema, Kubernetes schema.</w:t>
            </w:r>
          </w:p>
        </w:tc>
      </w:tr>
      <w:tr>
        <w:trPr>
          <w:cantSplit/>
        </w:trPr>
        <w:tc>
          <w:tcPr>
            <w:tcW w:type="dxa" w:w="2304"/>
            <w:tcMar>
              <w:top w:w="70" w:type="dxa"/>
              <w:start w:w="90" w:type="dxa"/>
              <w:bottom w:w="70" w:type="dxa"/>
              <w:end w:w="90" w:type="dxa"/>
            </w:tcMar>
            <w:vAlign w:val="top"/>
            <w:shd w:fill="F7F9FA"/>
          </w:tcPr>
          <w:p>
            <w:r>
              <w:rPr>
                <w:rFonts w:ascii="Noto Sans" w:hAnsi="Noto Sans" w:eastAsia="Noto Sans"/>
                <w:sz w:val="17"/>
              </w:rPr>
              <w:t>Referential integrity</w:t>
            </w:r>
          </w:p>
        </w:tc>
        <w:tc>
          <w:tcPr>
            <w:tcW w:type="dxa" w:w="1728"/>
            <w:tcMar>
              <w:top w:w="70" w:type="dxa"/>
              <w:start w:w="90" w:type="dxa"/>
              <w:bottom w:w="70" w:type="dxa"/>
              <w:end w:w="90" w:type="dxa"/>
            </w:tcMar>
            <w:vAlign w:val="top"/>
            <w:shd w:fill="F7F9FA"/>
          </w:tcPr>
          <w:p>
            <w:r>
              <w:rPr>
                <w:rFonts w:ascii="Noto Sans" w:hAnsi="Noto Sans" w:eastAsia="Noto Sans"/>
                <w:sz w:val="17"/>
              </w:rPr>
              <w:t>Sì</w:t>
            </w:r>
          </w:p>
        </w:tc>
        <w:tc>
          <w:tcPr>
            <w:tcW w:type="dxa" w:w="7488"/>
            <w:tcMar>
              <w:top w:w="70" w:type="dxa"/>
              <w:start w:w="90" w:type="dxa"/>
              <w:bottom w:w="70" w:type="dxa"/>
              <w:end w:w="90" w:type="dxa"/>
            </w:tcMar>
            <w:vAlign w:val="top"/>
            <w:shd w:fill="F7F9FA"/>
          </w:tcPr>
          <w:p>
            <w:r>
              <w:rPr>
                <w:rFonts w:ascii="Noto Sans" w:hAnsi="Noto Sans" w:eastAsia="Noto Sans"/>
                <w:sz w:val="17"/>
              </w:rPr>
              <w:t>capabilityId/sourceId/backendBinding esistenti.</w:t>
            </w:r>
          </w:p>
        </w:tc>
      </w:tr>
      <w:tr>
        <w:trPr>
          <w:cantSplit/>
        </w:trPr>
        <w:tc>
          <w:tcPr>
            <w:tcW w:type="dxa" w:w="2304"/>
            <w:tcMar>
              <w:top w:w="70" w:type="dxa"/>
              <w:start w:w="90" w:type="dxa"/>
              <w:bottom w:w="70" w:type="dxa"/>
              <w:end w:w="90" w:type="dxa"/>
            </w:tcMar>
            <w:vAlign w:val="top"/>
          </w:tcPr>
          <w:p>
            <w:r>
              <w:rPr>
                <w:rFonts w:ascii="Noto Sans" w:hAnsi="Noto Sans" w:eastAsia="Noto Sans"/>
                <w:sz w:val="17"/>
              </w:rPr>
              <w:t>Security</w:t>
            </w:r>
          </w:p>
        </w:tc>
        <w:tc>
          <w:tcPr>
            <w:tcW w:type="dxa" w:w="1728"/>
            <w:tcMar>
              <w:top w:w="70" w:type="dxa"/>
              <w:start w:w="90" w:type="dxa"/>
              <w:bottom w:w="70" w:type="dxa"/>
              <w:end w:w="90" w:type="dxa"/>
            </w:tcMar>
            <w:vAlign w:val="top"/>
          </w:tcPr>
          <w:p>
            <w:r>
              <w:rPr>
                <w:rFonts w:ascii="Noto Sans" w:hAnsi="Noto Sans" w:eastAsia="Noto Sans"/>
                <w:sz w:val="17"/>
              </w:rPr>
              <w:t>Sì</w:t>
            </w:r>
          </w:p>
        </w:tc>
        <w:tc>
          <w:tcPr>
            <w:tcW w:type="dxa" w:w="7488"/>
            <w:tcMar>
              <w:top w:w="70" w:type="dxa"/>
              <w:start w:w="90" w:type="dxa"/>
              <w:bottom w:w="70" w:type="dxa"/>
              <w:end w:w="90" w:type="dxa"/>
            </w:tcMar>
            <w:vAlign w:val="top"/>
          </w:tcPr>
          <w:p>
            <w:r>
              <w:rPr>
                <w:rFonts w:ascii="Noto Sans" w:hAnsi="Noto Sans" w:eastAsia="Noto Sans"/>
                <w:sz w:val="17"/>
              </w:rPr>
              <w:t>secret detection, image CVE policy, misconfiguration scan.</w:t>
            </w:r>
          </w:p>
        </w:tc>
      </w:tr>
      <w:tr>
        <w:trPr>
          <w:cantSplit/>
        </w:trPr>
        <w:tc>
          <w:tcPr>
            <w:tcW w:type="dxa" w:w="2304"/>
            <w:tcMar>
              <w:top w:w="70" w:type="dxa"/>
              <w:start w:w="90" w:type="dxa"/>
              <w:bottom w:w="70" w:type="dxa"/>
              <w:end w:w="90" w:type="dxa"/>
            </w:tcMar>
            <w:vAlign w:val="top"/>
            <w:shd w:fill="F7F9FA"/>
          </w:tcPr>
          <w:p>
            <w:r>
              <w:rPr>
                <w:rFonts w:ascii="Noto Sans" w:hAnsi="Noto Sans" w:eastAsia="Noto Sans"/>
                <w:sz w:val="17"/>
              </w:rPr>
              <w:t>Contract test</w:t>
            </w:r>
          </w:p>
        </w:tc>
        <w:tc>
          <w:tcPr>
            <w:tcW w:type="dxa" w:w="1728"/>
            <w:tcMar>
              <w:top w:w="70" w:type="dxa"/>
              <w:start w:w="90" w:type="dxa"/>
              <w:bottom w:w="70" w:type="dxa"/>
              <w:end w:w="90" w:type="dxa"/>
            </w:tcMar>
            <w:vAlign w:val="top"/>
            <w:shd w:fill="F7F9FA"/>
          </w:tcPr>
          <w:p>
            <w:r>
              <w:rPr>
                <w:rFonts w:ascii="Noto Sans" w:hAnsi="Noto Sans" w:eastAsia="Noto Sans"/>
                <w:sz w:val="17"/>
              </w:rPr>
              <w:t>Sì</w:t>
            </w:r>
          </w:p>
        </w:tc>
        <w:tc>
          <w:tcPr>
            <w:tcW w:type="dxa" w:w="7488"/>
            <w:tcMar>
              <w:top w:w="70" w:type="dxa"/>
              <w:start w:w="90" w:type="dxa"/>
              <w:bottom w:w="70" w:type="dxa"/>
              <w:end w:w="90" w:type="dxa"/>
            </w:tcMar>
            <w:vAlign w:val="top"/>
            <w:shd w:fill="F7F9FA"/>
          </w:tcPr>
          <w:p>
            <w:r>
              <w:rPr>
                <w:rFonts w:ascii="Noto Sans" w:hAnsi="Noto Sans" w:eastAsia="Noto Sans"/>
                <w:sz w:val="17"/>
              </w:rPr>
              <w:t>response/error model, auth scope, schema sorgente di bordo e schema OUF Envelope interno prodotto dall’Adapter.</w:t>
            </w:r>
          </w:p>
        </w:tc>
      </w:tr>
      <w:tr>
        <w:trPr>
          <w:cantSplit/>
        </w:trPr>
        <w:tc>
          <w:tcPr>
            <w:tcW w:type="dxa" w:w="2304"/>
            <w:tcMar>
              <w:top w:w="70" w:type="dxa"/>
              <w:start w:w="90" w:type="dxa"/>
              <w:bottom w:w="70" w:type="dxa"/>
              <w:end w:w="90" w:type="dxa"/>
            </w:tcMar>
            <w:vAlign w:val="top"/>
          </w:tcPr>
          <w:p>
            <w:r>
              <w:rPr>
                <w:rFonts w:ascii="Noto Sans" w:hAnsi="Noto Sans" w:eastAsia="Noto Sans"/>
                <w:sz w:val="17"/>
              </w:rPr>
              <w:t>Integration test</w:t>
            </w:r>
          </w:p>
        </w:tc>
        <w:tc>
          <w:tcPr>
            <w:tcW w:type="dxa" w:w="1728"/>
            <w:tcMar>
              <w:top w:w="70" w:type="dxa"/>
              <w:start w:w="90" w:type="dxa"/>
              <w:bottom w:w="70" w:type="dxa"/>
              <w:end w:w="90" w:type="dxa"/>
            </w:tcMar>
            <w:vAlign w:val="top"/>
          </w:tcPr>
          <w:p>
            <w:r>
              <w:rPr>
                <w:rFonts w:ascii="Noto Sans" w:hAnsi="Noto Sans" w:eastAsia="Noto Sans"/>
                <w:sz w:val="17"/>
              </w:rPr>
              <w:t>Sì prima PROD</w:t>
            </w:r>
          </w:p>
        </w:tc>
        <w:tc>
          <w:tcPr>
            <w:tcW w:type="dxa" w:w="7488"/>
            <w:tcMar>
              <w:top w:w="70" w:type="dxa"/>
              <w:start w:w="90" w:type="dxa"/>
              <w:bottom w:w="70" w:type="dxa"/>
              <w:end w:w="90" w:type="dxa"/>
            </w:tcMar>
            <w:vAlign w:val="top"/>
          </w:tcPr>
          <w:p>
            <w:r>
              <w:rPr>
                <w:rFonts w:ascii="Noto Sans" w:hAnsi="Noto Sans" w:eastAsia="Noto Sans"/>
                <w:sz w:val="17"/>
              </w:rPr>
              <w:t>SUAP/SUO/SUE mock o test endpoint; WFS/WMS test.</w:t>
            </w:r>
          </w:p>
        </w:tc>
      </w:tr>
      <w:tr>
        <w:trPr>
          <w:cantSplit/>
        </w:trPr>
        <w:tc>
          <w:tcPr>
            <w:tcW w:type="dxa" w:w="2304"/>
            <w:tcMar>
              <w:top w:w="70" w:type="dxa"/>
              <w:start w:w="90" w:type="dxa"/>
              <w:bottom w:w="70" w:type="dxa"/>
              <w:end w:w="90" w:type="dxa"/>
            </w:tcMar>
            <w:vAlign w:val="top"/>
            <w:shd w:fill="F7F9FA"/>
          </w:tcPr>
          <w:p>
            <w:r>
              <w:rPr>
                <w:rFonts w:ascii="Noto Sans" w:hAnsi="Noto Sans" w:eastAsia="Noto Sans"/>
                <w:sz w:val="17"/>
              </w:rPr>
              <w:t>Performance</w:t>
            </w:r>
          </w:p>
        </w:tc>
        <w:tc>
          <w:tcPr>
            <w:tcW w:type="dxa" w:w="1728"/>
            <w:tcMar>
              <w:top w:w="70" w:type="dxa"/>
              <w:start w:w="90" w:type="dxa"/>
              <w:bottom w:w="70" w:type="dxa"/>
              <w:end w:w="90" w:type="dxa"/>
            </w:tcMar>
            <w:vAlign w:val="top"/>
            <w:shd w:fill="F7F9FA"/>
          </w:tcPr>
          <w:p>
            <w:r>
              <w:rPr>
                <w:rFonts w:ascii="Noto Sans" w:hAnsi="Noto Sans" w:eastAsia="Noto Sans"/>
                <w:sz w:val="17"/>
              </w:rPr>
              <w:t>Sì per release major/minor</w:t>
            </w:r>
          </w:p>
        </w:tc>
        <w:tc>
          <w:tcPr>
            <w:tcW w:type="dxa" w:w="7488"/>
            <w:tcMar>
              <w:top w:w="70" w:type="dxa"/>
              <w:start w:w="90" w:type="dxa"/>
              <w:bottom w:w="70" w:type="dxa"/>
              <w:end w:w="90" w:type="dxa"/>
            </w:tcMar>
            <w:vAlign w:val="top"/>
            <w:shd w:fill="F7F9FA"/>
          </w:tcPr>
          <w:p>
            <w:r>
              <w:rPr>
                <w:rFonts w:ascii="Noto Sans" w:hAnsi="Noto Sans" w:eastAsia="Noto Sans"/>
                <w:sz w:val="17"/>
              </w:rPr>
              <w:t>p95 overhead, max throughput, saturation.</w:t>
            </w:r>
          </w:p>
        </w:tc>
      </w:tr>
    </w:tbl>
    <w:p>
      <w:pPr>
        <w:pStyle w:val="Heading1"/>
        <w:keepNext/>
        <w:spacing w:before="160"/>
      </w:pPr>
      <w:r>
        <w:rPr>
          <w:rFonts w:ascii="Noto Sans" w:hAnsi="Noto Sans" w:eastAsia="Noto Sans"/>
        </w:rPr>
        <w:t>T18. Strategia di rilascio e rollback</w:t>
      </w:r>
    </w:p>
    <w:p>
      <w:pPr>
        <w:pStyle w:val="ListBullet"/>
      </w:pPr>
      <w:r>
        <w:rPr>
          <w:rFonts w:ascii="Noto Sans" w:hAnsi="Noto Sans" w:eastAsia="Noto Sans"/>
        </w:rPr>
        <w:t>Configurazioni Gateway: rollout GitOps con diff verificabile e rollback a commit/tag precedente.</w:t>
      </w:r>
    </w:p>
    <w:p>
      <w:pPr>
        <w:pStyle w:val="ListBullet"/>
      </w:pPr>
      <w:r>
        <w:rPr>
          <w:rFonts w:ascii="Noto Sans" w:hAnsi="Noto Sans" w:eastAsia="Noto Sans"/>
        </w:rPr>
        <w:t>APISIX data plane: rolling update o blue/green per upgrade con breaking change.</w:t>
      </w:r>
    </w:p>
    <w:p>
      <w:pPr>
        <w:pStyle w:val="ListBullet"/>
      </w:pPr>
      <w:r>
        <w:rPr>
          <w:rFonts w:ascii="Noto Sans" w:hAnsi="Noto Sans" w:eastAsia="Noto Sans"/>
        </w:rPr>
        <w:t>Ingress Controller/APISIX minor upgrade: test compatibilita CRD/Gateway API e canary.</w:t>
      </w:r>
    </w:p>
    <w:p>
      <w:pPr>
        <w:pStyle w:val="ListBullet"/>
      </w:pPr>
      <w:r>
        <w:rPr>
          <w:rFonts w:ascii="Noto Sans" w:hAnsi="Noto Sans" w:eastAsia="Noto Sans"/>
        </w:rPr>
        <w:t>etcd: snapshot prima di upgrade; rolling member-by-member secondo matrice di compatibilita.</w:t>
      </w:r>
    </w:p>
    <w:p>
      <w:pPr>
        <w:pStyle w:val="ListBullet"/>
      </w:pPr>
      <w:r>
        <w:rPr>
          <w:rFonts w:ascii="Noto Sans" w:hAnsi="Noto Sans" w:eastAsia="Noto Sans"/>
        </w:rPr>
        <w:t>Schema/API: deprecazione esplicita; nessuna rimozione di binding senza finestra comunicata.</w:t>
      </w:r>
    </w:p>
    <w:p>
      <w:pPr>
        <w:pStyle w:val="ListBullet"/>
      </w:pPr>
      <w:r>
        <w:rPr>
          <w:rFonts w:ascii="Noto Sans" w:hAnsi="Noto Sans" w:eastAsia="Noto Sans"/>
        </w:rPr>
        <w:t>Emergency rollback: ripristino route/config entro 15 minuti come obiettivo operativo iniziale.</w:t>
      </w:r>
    </w:p>
    <w:p>
      <w:pPr>
        <w:pStyle w:val="Heading1"/>
        <w:keepNext/>
        <w:spacing w:before="160"/>
      </w:pPr>
      <w:r>
        <w:rPr>
          <w:rFonts w:ascii="Noto Sans" w:hAnsi="Noto Sans" w:eastAsia="Noto Sans"/>
        </w:rPr>
        <w:t>T19. Test tecnologici di accettazione</w:t>
      </w:r>
    </w:p>
    <w:tbl>
      <w:tblPr>
        <w:tblStyle w:val="TableGrid"/>
        <w:tblW w:type="auto" w:w="0"/>
        <w:jc w:val="center"/>
        <w:tblLook w:firstColumn="1" w:firstRow="1" w:lastColumn="0" w:lastRow="0" w:noHBand="0" w:noVBand="1" w:val="04A0"/>
      </w:tblPr>
      <w:tblGrid>
        <w:gridCol w:w="3024"/>
        <w:gridCol w:w="3024"/>
        <w:gridCol w:w="3024"/>
      </w:tblGrid>
      <w:tr>
        <w:trPr>
          <w:tblHeader w:val="true"/>
          <w:tblHeader w:val="true"/>
          <w:cantSplit/>
        </w:trPr>
        <w:tc>
          <w:tcPr>
            <w:tcW w:type="dxa" w:w="1296"/>
            <w:shd w:fill="0B5A73"/>
            <w:vAlign w:val="center"/>
            <w:tcMar>
              <w:top w:w="70" w:type="dxa"/>
              <w:start w:w="90" w:type="dxa"/>
              <w:bottom w:w="70" w:type="dxa"/>
              <w:end w:w="90" w:type="dxa"/>
            </w:tcMar>
          </w:tcPr>
          <w:p>
            <w:r>
              <w:rPr>
                <w:rFonts w:ascii="Noto Sans" w:hAnsi="Noto Sans" w:eastAsia="Noto Sans"/>
                <w:sz w:val="17"/>
              </w:rPr>
              <w:t>ID</w:t>
            </w:r>
          </w:p>
        </w:tc>
        <w:tc>
          <w:tcPr>
            <w:tcW w:type="dxa" w:w="3744"/>
            <w:shd w:fill="0B5A73"/>
            <w:vAlign w:val="center"/>
            <w:tcMar>
              <w:top w:w="70" w:type="dxa"/>
              <w:start w:w="90" w:type="dxa"/>
              <w:bottom w:w="70" w:type="dxa"/>
              <w:end w:w="90" w:type="dxa"/>
            </w:tcMar>
          </w:tcPr>
          <w:p>
            <w:r>
              <w:rPr>
                <w:rFonts w:ascii="Noto Sans" w:hAnsi="Noto Sans" w:eastAsia="Noto Sans"/>
                <w:sz w:val="17"/>
              </w:rPr>
              <w:t>Test</w:t>
            </w:r>
          </w:p>
        </w:tc>
        <w:tc>
          <w:tcPr>
            <w:tcW w:type="dxa" w:w="6768"/>
            <w:shd w:fill="0B5A73"/>
            <w:vAlign w:val="center"/>
            <w:tcMar>
              <w:top w:w="70" w:type="dxa"/>
              <w:start w:w="90" w:type="dxa"/>
              <w:bottom w:w="70" w:type="dxa"/>
              <w:end w:w="90" w:type="dxa"/>
            </w:tcMar>
          </w:tcPr>
          <w:p>
            <w:r>
              <w:rPr>
                <w:rFonts w:ascii="Noto Sans" w:hAnsi="Noto Sans" w:eastAsia="Noto Sans"/>
                <w:sz w:val="17"/>
              </w:rPr>
              <w:t>Criterio</w:t>
            </w:r>
          </w:p>
        </w:tc>
      </w:tr>
      <w:tr>
        <w:trPr>
          <w:cantSplit/>
        </w:trPr>
        <w:tc>
          <w:tcPr>
            <w:tcW w:type="dxa" w:w="1296"/>
            <w:tcMar>
              <w:top w:w="70" w:type="dxa"/>
              <w:start w:w="90" w:type="dxa"/>
              <w:bottom w:w="70" w:type="dxa"/>
              <w:end w:w="90" w:type="dxa"/>
            </w:tcMar>
            <w:vAlign w:val="top"/>
          </w:tcPr>
          <w:p>
            <w:r>
              <w:rPr>
                <w:rFonts w:ascii="Noto Sans" w:hAnsi="Noto Sans" w:eastAsia="Noto Sans"/>
                <w:sz w:val="17"/>
              </w:rPr>
              <w:t>TECH-01</w:t>
            </w:r>
          </w:p>
        </w:tc>
        <w:tc>
          <w:tcPr>
            <w:tcW w:type="dxa" w:w="3744"/>
            <w:tcMar>
              <w:top w:w="70" w:type="dxa"/>
              <w:start w:w="90" w:type="dxa"/>
              <w:bottom w:w="70" w:type="dxa"/>
              <w:end w:w="90" w:type="dxa"/>
            </w:tcMar>
            <w:vAlign w:val="top"/>
          </w:tcPr>
          <w:p>
            <w:r>
              <w:rPr>
                <w:rFonts w:ascii="Noto Sans" w:hAnsi="Noto Sans" w:eastAsia="Noto Sans"/>
                <w:sz w:val="17"/>
              </w:rPr>
              <w:t>HA northbound</w:t>
            </w:r>
          </w:p>
        </w:tc>
        <w:tc>
          <w:tcPr>
            <w:tcW w:type="dxa" w:w="6768"/>
            <w:tcMar>
              <w:top w:w="70" w:type="dxa"/>
              <w:start w:w="90" w:type="dxa"/>
              <w:bottom w:w="70" w:type="dxa"/>
              <w:end w:w="90" w:type="dxa"/>
            </w:tcMar>
            <w:vAlign w:val="top"/>
          </w:tcPr>
          <w:p>
            <w:r>
              <w:rPr>
                <w:rFonts w:ascii="Noto Sans" w:hAnsi="Noto Sans" w:eastAsia="Noto Sans"/>
                <w:sz w:val="17"/>
              </w:rPr>
              <w:t>Perdita di un pod senza interruzione percepibile; minAvailable rispettato.</w:t>
            </w:r>
          </w:p>
        </w:tc>
      </w:tr>
      <w:tr>
        <w:trPr>
          <w:cantSplit/>
        </w:trPr>
        <w:tc>
          <w:tcPr>
            <w:tcW w:type="dxa" w:w="1296"/>
            <w:tcMar>
              <w:top w:w="70" w:type="dxa"/>
              <w:start w:w="90" w:type="dxa"/>
              <w:bottom w:w="70" w:type="dxa"/>
              <w:end w:w="90" w:type="dxa"/>
            </w:tcMar>
            <w:vAlign w:val="top"/>
            <w:shd w:fill="F7F9FA"/>
          </w:tcPr>
          <w:p>
            <w:r>
              <w:rPr>
                <w:rFonts w:ascii="Noto Sans" w:hAnsi="Noto Sans" w:eastAsia="Noto Sans"/>
                <w:sz w:val="17"/>
              </w:rPr>
              <w:t>TECH-02</w:t>
            </w:r>
          </w:p>
        </w:tc>
        <w:tc>
          <w:tcPr>
            <w:tcW w:type="dxa" w:w="3744"/>
            <w:tcMar>
              <w:top w:w="70" w:type="dxa"/>
              <w:start w:w="90" w:type="dxa"/>
              <w:bottom w:w="70" w:type="dxa"/>
              <w:end w:w="90" w:type="dxa"/>
            </w:tcMar>
            <w:vAlign w:val="top"/>
            <w:shd w:fill="F7F9FA"/>
          </w:tcPr>
          <w:p>
            <w:r>
              <w:rPr>
                <w:rFonts w:ascii="Noto Sans" w:hAnsi="Noto Sans" w:eastAsia="Noto Sans"/>
                <w:sz w:val="17"/>
              </w:rPr>
              <w:t>Failover node</w:t>
            </w:r>
          </w:p>
        </w:tc>
        <w:tc>
          <w:tcPr>
            <w:tcW w:type="dxa" w:w="6768"/>
            <w:tcMar>
              <w:top w:w="70" w:type="dxa"/>
              <w:start w:w="90" w:type="dxa"/>
              <w:bottom w:w="70" w:type="dxa"/>
              <w:end w:w="90" w:type="dxa"/>
            </w:tcMar>
            <w:vAlign w:val="top"/>
            <w:shd w:fill="F7F9FA"/>
          </w:tcPr>
          <w:p>
            <w:r>
              <w:rPr>
                <w:rFonts w:ascii="Noto Sans" w:hAnsi="Noto Sans" w:eastAsia="Noto Sans"/>
                <w:sz w:val="17"/>
              </w:rPr>
              <w:t>Drain di un worker; traffico continua su replica alternativa.</w:t>
            </w:r>
          </w:p>
        </w:tc>
      </w:tr>
      <w:tr>
        <w:trPr>
          <w:cantSplit/>
        </w:trPr>
        <w:tc>
          <w:tcPr>
            <w:tcW w:type="dxa" w:w="1296"/>
            <w:tcMar>
              <w:top w:w="70" w:type="dxa"/>
              <w:start w:w="90" w:type="dxa"/>
              <w:bottom w:w="70" w:type="dxa"/>
              <w:end w:w="90" w:type="dxa"/>
            </w:tcMar>
            <w:vAlign w:val="top"/>
          </w:tcPr>
          <w:p>
            <w:r>
              <w:rPr>
                <w:rFonts w:ascii="Noto Sans" w:hAnsi="Noto Sans" w:eastAsia="Noto Sans"/>
                <w:sz w:val="17"/>
              </w:rPr>
              <w:t>TECH-03</w:t>
            </w:r>
          </w:p>
        </w:tc>
        <w:tc>
          <w:tcPr>
            <w:tcW w:type="dxa" w:w="3744"/>
            <w:tcMar>
              <w:top w:w="70" w:type="dxa"/>
              <w:start w:w="90" w:type="dxa"/>
              <w:bottom w:w="70" w:type="dxa"/>
              <w:end w:w="90" w:type="dxa"/>
            </w:tcMar>
            <w:vAlign w:val="top"/>
          </w:tcPr>
          <w:p>
            <w:r>
              <w:rPr>
                <w:rFonts w:ascii="Noto Sans" w:hAnsi="Noto Sans" w:eastAsia="Noto Sans"/>
                <w:sz w:val="17"/>
              </w:rPr>
              <w:t>etcd member loss</w:t>
            </w:r>
          </w:p>
        </w:tc>
        <w:tc>
          <w:tcPr>
            <w:tcW w:type="dxa" w:w="6768"/>
            <w:tcMar>
              <w:top w:w="70" w:type="dxa"/>
              <w:start w:w="90" w:type="dxa"/>
              <w:bottom w:w="70" w:type="dxa"/>
              <w:end w:w="90" w:type="dxa"/>
            </w:tcMar>
            <w:vAlign w:val="top"/>
          </w:tcPr>
          <w:p>
            <w:r>
              <w:rPr>
                <w:rFonts w:ascii="Noto Sans" w:hAnsi="Noto Sans" w:eastAsia="Noto Sans"/>
                <w:sz w:val="17"/>
              </w:rPr>
              <w:t>Quorum resta operativo con un membro non disponibile.</w:t>
            </w:r>
          </w:p>
        </w:tc>
      </w:tr>
      <w:tr>
        <w:trPr>
          <w:cantSplit/>
        </w:trPr>
        <w:tc>
          <w:tcPr>
            <w:tcW w:type="dxa" w:w="1296"/>
            <w:tcMar>
              <w:top w:w="70" w:type="dxa"/>
              <w:start w:w="90" w:type="dxa"/>
              <w:bottom w:w="70" w:type="dxa"/>
              <w:end w:w="90" w:type="dxa"/>
            </w:tcMar>
            <w:vAlign w:val="top"/>
            <w:shd w:fill="F7F9FA"/>
          </w:tcPr>
          <w:p>
            <w:r>
              <w:rPr>
                <w:rFonts w:ascii="Noto Sans" w:hAnsi="Noto Sans" w:eastAsia="Noto Sans"/>
                <w:sz w:val="17"/>
              </w:rPr>
              <w:t>TECH-04</w:t>
            </w:r>
          </w:p>
        </w:tc>
        <w:tc>
          <w:tcPr>
            <w:tcW w:type="dxa" w:w="3744"/>
            <w:tcMar>
              <w:top w:w="70" w:type="dxa"/>
              <w:start w:w="90" w:type="dxa"/>
              <w:bottom w:w="70" w:type="dxa"/>
              <w:end w:w="90" w:type="dxa"/>
            </w:tcMar>
            <w:vAlign w:val="top"/>
            <w:shd w:fill="F7F9FA"/>
          </w:tcPr>
          <w:p>
            <w:r>
              <w:rPr>
                <w:rFonts w:ascii="Noto Sans" w:hAnsi="Noto Sans" w:eastAsia="Noto Sans"/>
                <w:sz w:val="17"/>
              </w:rPr>
              <w:t>OAuth2 client credentials</w:t>
            </w:r>
          </w:p>
        </w:tc>
        <w:tc>
          <w:tcPr>
            <w:tcW w:type="dxa" w:w="6768"/>
            <w:tcMar>
              <w:top w:w="70" w:type="dxa"/>
              <w:start w:w="90" w:type="dxa"/>
              <w:bottom w:w="70" w:type="dxa"/>
              <w:end w:w="90" w:type="dxa"/>
            </w:tcMar>
            <w:vAlign w:val="top"/>
            <w:shd w:fill="F7F9FA"/>
          </w:tcPr>
          <w:p>
            <w:r>
              <w:rPr>
                <w:rFonts w:ascii="Noto Sans" w:hAnsi="Noto Sans" w:eastAsia="Noto Sans"/>
                <w:sz w:val="17"/>
              </w:rPr>
              <w:t>SUAP/SUO/SUE accedono solo a scope/route autorizzati.</w:t>
            </w:r>
          </w:p>
        </w:tc>
      </w:tr>
      <w:tr>
        <w:trPr>
          <w:cantSplit/>
        </w:trPr>
        <w:tc>
          <w:tcPr>
            <w:tcW w:type="dxa" w:w="1296"/>
            <w:tcMar>
              <w:top w:w="70" w:type="dxa"/>
              <w:start w:w="90" w:type="dxa"/>
              <w:bottom w:w="70" w:type="dxa"/>
              <w:end w:w="90" w:type="dxa"/>
            </w:tcMar>
            <w:vAlign w:val="top"/>
          </w:tcPr>
          <w:p>
            <w:r>
              <w:rPr>
                <w:rFonts w:ascii="Noto Sans" w:hAnsi="Noto Sans" w:eastAsia="Noto Sans"/>
                <w:sz w:val="17"/>
              </w:rPr>
              <w:t>TECH-05</w:t>
            </w:r>
          </w:p>
        </w:tc>
        <w:tc>
          <w:tcPr>
            <w:tcW w:type="dxa" w:w="3744"/>
            <w:tcMar>
              <w:top w:w="70" w:type="dxa"/>
              <w:start w:w="90" w:type="dxa"/>
              <w:bottom w:w="70" w:type="dxa"/>
              <w:end w:w="90" w:type="dxa"/>
            </w:tcMar>
            <w:vAlign w:val="top"/>
          </w:tcPr>
          <w:p>
            <w:r>
              <w:rPr>
                <w:rFonts w:ascii="Noto Sans" w:hAnsi="Noto Sans" w:eastAsia="Noto Sans"/>
                <w:sz w:val="17"/>
              </w:rPr>
              <w:t>mTLS</w:t>
            </w:r>
          </w:p>
        </w:tc>
        <w:tc>
          <w:tcPr>
            <w:tcW w:type="dxa" w:w="6768"/>
            <w:tcMar>
              <w:top w:w="70" w:type="dxa"/>
              <w:start w:w="90" w:type="dxa"/>
              <w:bottom w:w="70" w:type="dxa"/>
              <w:end w:w="90" w:type="dxa"/>
            </w:tcMar>
            <w:vAlign w:val="top"/>
          </w:tcPr>
          <w:p>
            <w:r>
              <w:rPr>
                <w:rFonts w:ascii="Noto Sans" w:hAnsi="Noto Sans" w:eastAsia="Noto Sans"/>
                <w:sz w:val="17"/>
              </w:rPr>
              <w:t>Client non firmato da CA approvata rifiutato.</w:t>
            </w:r>
          </w:p>
        </w:tc>
      </w:tr>
      <w:tr>
        <w:trPr>
          <w:cantSplit/>
        </w:trPr>
        <w:tc>
          <w:tcPr>
            <w:tcW w:type="dxa" w:w="1296"/>
            <w:tcMar>
              <w:top w:w="70" w:type="dxa"/>
              <w:start w:w="90" w:type="dxa"/>
              <w:bottom w:w="70" w:type="dxa"/>
              <w:end w:w="90" w:type="dxa"/>
            </w:tcMar>
            <w:vAlign w:val="top"/>
            <w:shd w:fill="F7F9FA"/>
          </w:tcPr>
          <w:p>
            <w:r>
              <w:rPr>
                <w:rFonts w:ascii="Noto Sans" w:hAnsi="Noto Sans" w:eastAsia="Noto Sans"/>
                <w:sz w:val="17"/>
              </w:rPr>
              <w:t>TECH-06</w:t>
            </w:r>
          </w:p>
        </w:tc>
        <w:tc>
          <w:tcPr>
            <w:tcW w:type="dxa" w:w="3744"/>
            <w:tcMar>
              <w:top w:w="70" w:type="dxa"/>
              <w:start w:w="90" w:type="dxa"/>
              <w:bottom w:w="70" w:type="dxa"/>
              <w:end w:w="90" w:type="dxa"/>
            </w:tcMar>
            <w:vAlign w:val="top"/>
            <w:shd w:fill="F7F9FA"/>
          </w:tcPr>
          <w:p>
            <w:r>
              <w:rPr>
                <w:rFonts w:ascii="Noto Sans" w:hAnsi="Noto Sans" w:eastAsia="Noto Sans"/>
                <w:sz w:val="17"/>
              </w:rPr>
              <w:t>Edge contract validation</w:t>
            </w:r>
          </w:p>
        </w:tc>
        <w:tc>
          <w:tcPr>
            <w:tcW w:type="dxa" w:w="6768"/>
            <w:tcMar>
              <w:top w:w="70" w:type="dxa"/>
              <w:start w:w="90" w:type="dxa"/>
              <w:bottom w:w="70" w:type="dxa"/>
              <w:end w:w="90" w:type="dxa"/>
            </w:tcMar>
            <w:vAlign w:val="top"/>
            <w:shd w:fill="F7F9FA"/>
          </w:tcPr>
          <w:p>
            <w:r>
              <w:rPr>
                <w:rFonts w:ascii="Noto Sans" w:hAnsi="Noto Sans" w:eastAsia="Noto Sans"/>
                <w:sz w:val="17"/>
              </w:rPr>
              <w:t>Payload/media type non ammesso dal contratto sorgente viene rifiutato prima del Connector; il Gateway non richiede un OUF Envelope dal verticale.</w:t>
            </w:r>
          </w:p>
        </w:tc>
      </w:tr>
      <w:tr>
        <w:trPr>
          <w:cantSplit/>
        </w:trPr>
        <w:tc>
          <w:tcPr>
            <w:tcW w:type="dxa" w:w="1296"/>
            <w:tcMar>
              <w:top w:w="70" w:type="dxa"/>
              <w:start w:w="90" w:type="dxa"/>
              <w:bottom w:w="70" w:type="dxa"/>
              <w:end w:w="90" w:type="dxa"/>
            </w:tcMar>
            <w:vAlign w:val="top"/>
          </w:tcPr>
          <w:p>
            <w:r>
              <w:rPr>
                <w:rFonts w:ascii="Noto Sans" w:hAnsi="Noto Sans" w:eastAsia="Noto Sans"/>
                <w:sz w:val="17"/>
              </w:rPr>
              <w:t>TECH-07</w:t>
            </w:r>
          </w:p>
        </w:tc>
        <w:tc>
          <w:tcPr>
            <w:tcW w:type="dxa" w:w="3744"/>
            <w:tcMar>
              <w:top w:w="70" w:type="dxa"/>
              <w:start w:w="90" w:type="dxa"/>
              <w:bottom w:w="70" w:type="dxa"/>
              <w:end w:w="90" w:type="dxa"/>
            </w:tcMar>
            <w:vAlign w:val="top"/>
          </w:tcPr>
          <w:p>
            <w:r>
              <w:rPr>
                <w:rFonts w:ascii="Noto Sans" w:hAnsi="Noto Sans" w:eastAsia="Noto Sans"/>
                <w:sz w:val="17"/>
              </w:rPr>
              <w:t>Rate limit</w:t>
            </w:r>
          </w:p>
        </w:tc>
        <w:tc>
          <w:tcPr>
            <w:tcW w:type="dxa" w:w="6768"/>
            <w:tcMar>
              <w:top w:w="70" w:type="dxa"/>
              <w:start w:w="90" w:type="dxa"/>
              <w:bottom w:w="70" w:type="dxa"/>
              <w:end w:w="90" w:type="dxa"/>
            </w:tcMar>
            <w:vAlign w:val="top"/>
          </w:tcPr>
          <w:p>
            <w:r>
              <w:rPr>
                <w:rFonts w:ascii="Noto Sans" w:hAnsi="Noto Sans" w:eastAsia="Noto Sans"/>
                <w:sz w:val="17"/>
              </w:rPr>
              <w:t>Superamento soglia produce 429 e metrica/alert previsto.</w:t>
            </w:r>
          </w:p>
        </w:tc>
      </w:tr>
      <w:tr>
        <w:trPr>
          <w:cantSplit/>
        </w:trPr>
        <w:tc>
          <w:tcPr>
            <w:tcW w:type="dxa" w:w="1296"/>
            <w:tcMar>
              <w:top w:w="70" w:type="dxa"/>
              <w:start w:w="90" w:type="dxa"/>
              <w:bottom w:w="70" w:type="dxa"/>
              <w:end w:w="90" w:type="dxa"/>
            </w:tcMar>
            <w:vAlign w:val="top"/>
            <w:shd w:fill="F7F9FA"/>
          </w:tcPr>
          <w:p>
            <w:r>
              <w:rPr>
                <w:rFonts w:ascii="Noto Sans" w:hAnsi="Noto Sans" w:eastAsia="Noto Sans"/>
                <w:sz w:val="17"/>
              </w:rPr>
              <w:t>TECH-08</w:t>
            </w:r>
          </w:p>
        </w:tc>
        <w:tc>
          <w:tcPr>
            <w:tcW w:type="dxa" w:w="3744"/>
            <w:tcMar>
              <w:top w:w="70" w:type="dxa"/>
              <w:start w:w="90" w:type="dxa"/>
              <w:bottom w:w="70" w:type="dxa"/>
              <w:end w:w="90" w:type="dxa"/>
            </w:tcMar>
            <w:vAlign w:val="top"/>
            <w:shd w:fill="F7F9FA"/>
          </w:tcPr>
          <w:p>
            <w:r>
              <w:rPr>
                <w:rFonts w:ascii="Noto Sans" w:hAnsi="Noto Sans" w:eastAsia="Noto Sans"/>
                <w:sz w:val="17"/>
              </w:rPr>
              <w:t>Southbound allowlist</w:t>
            </w:r>
          </w:p>
        </w:tc>
        <w:tc>
          <w:tcPr>
            <w:tcW w:type="dxa" w:w="6768"/>
            <w:tcMar>
              <w:top w:w="70" w:type="dxa"/>
              <w:start w:w="90" w:type="dxa"/>
              <w:bottom w:w="70" w:type="dxa"/>
              <w:end w:w="90" w:type="dxa"/>
            </w:tcMar>
            <w:vAlign w:val="top"/>
            <w:shd w:fill="F7F9FA"/>
          </w:tcPr>
          <w:p>
            <w:r>
              <w:rPr>
                <w:rFonts w:ascii="Noto Sans" w:hAnsi="Noto Sans" w:eastAsia="Noto Sans"/>
                <w:sz w:val="17"/>
              </w:rPr>
              <w:t>Destinazione non registrata non e raggiungibile.</w:t>
            </w:r>
          </w:p>
        </w:tc>
      </w:tr>
      <w:tr>
        <w:trPr>
          <w:cantSplit/>
        </w:trPr>
        <w:tc>
          <w:tcPr>
            <w:tcW w:type="dxa" w:w="1296"/>
            <w:tcMar>
              <w:top w:w="70" w:type="dxa"/>
              <w:start w:w="90" w:type="dxa"/>
              <w:bottom w:w="70" w:type="dxa"/>
              <w:end w:w="90" w:type="dxa"/>
            </w:tcMar>
            <w:vAlign w:val="top"/>
          </w:tcPr>
          <w:p>
            <w:r>
              <w:rPr>
                <w:rFonts w:ascii="Noto Sans" w:hAnsi="Noto Sans" w:eastAsia="Noto Sans"/>
                <w:sz w:val="17"/>
              </w:rPr>
              <w:t>TECH-09</w:t>
            </w:r>
          </w:p>
        </w:tc>
        <w:tc>
          <w:tcPr>
            <w:tcW w:type="dxa" w:w="3744"/>
            <w:tcMar>
              <w:top w:w="70" w:type="dxa"/>
              <w:start w:w="90" w:type="dxa"/>
              <w:bottom w:w="70" w:type="dxa"/>
              <w:end w:w="90" w:type="dxa"/>
            </w:tcMar>
            <w:vAlign w:val="top"/>
          </w:tcPr>
          <w:p>
            <w:r>
              <w:rPr>
                <w:rFonts w:ascii="Noto Sans" w:hAnsi="Noto Sans" w:eastAsia="Noto Sans"/>
                <w:sz w:val="17"/>
              </w:rPr>
              <w:t>WMS cache</w:t>
            </w:r>
          </w:p>
        </w:tc>
        <w:tc>
          <w:tcPr>
            <w:tcW w:type="dxa" w:w="6768"/>
            <w:tcMar>
              <w:top w:w="70" w:type="dxa"/>
              <w:start w:w="90" w:type="dxa"/>
              <w:bottom w:w="70" w:type="dxa"/>
              <w:end w:w="90" w:type="dxa"/>
            </w:tcMar>
            <w:vAlign w:val="top"/>
          </w:tcPr>
          <w:p>
            <w:r>
              <w:rPr>
                <w:rFonts w:ascii="Noto Sans" w:hAnsi="Noto Sans" w:eastAsia="Noto Sans"/>
                <w:sz w:val="17"/>
              </w:rPr>
              <w:t>GetMap identico produce cache hit dopo prima richiesta; chiavi non collidono.</w:t>
            </w:r>
          </w:p>
        </w:tc>
      </w:tr>
      <w:tr>
        <w:trPr>
          <w:cantSplit/>
        </w:trPr>
        <w:tc>
          <w:tcPr>
            <w:tcW w:type="dxa" w:w="1296"/>
            <w:tcMar>
              <w:top w:w="70" w:type="dxa"/>
              <w:start w:w="90" w:type="dxa"/>
              <w:bottom w:w="70" w:type="dxa"/>
              <w:end w:w="90" w:type="dxa"/>
            </w:tcMar>
            <w:vAlign w:val="top"/>
            <w:shd w:fill="F7F9FA"/>
          </w:tcPr>
          <w:p>
            <w:r>
              <w:rPr>
                <w:rFonts w:ascii="Noto Sans" w:hAnsi="Noto Sans" w:eastAsia="Noto Sans"/>
                <w:sz w:val="17"/>
              </w:rPr>
              <w:t>TECH-10</w:t>
            </w:r>
          </w:p>
        </w:tc>
        <w:tc>
          <w:tcPr>
            <w:tcW w:type="dxa" w:w="3744"/>
            <w:tcMar>
              <w:top w:w="70" w:type="dxa"/>
              <w:start w:w="90" w:type="dxa"/>
              <w:bottom w:w="70" w:type="dxa"/>
              <w:end w:w="90" w:type="dxa"/>
            </w:tcMar>
            <w:vAlign w:val="top"/>
            <w:shd w:fill="F7F9FA"/>
          </w:tcPr>
          <w:p>
            <w:r>
              <w:rPr>
                <w:rFonts w:ascii="Noto Sans" w:hAnsi="Noto Sans" w:eastAsia="Noto Sans"/>
                <w:sz w:val="17"/>
              </w:rPr>
              <w:t>Tracing</w:t>
            </w:r>
          </w:p>
        </w:tc>
        <w:tc>
          <w:tcPr>
            <w:tcW w:type="dxa" w:w="6768"/>
            <w:tcMar>
              <w:top w:w="70" w:type="dxa"/>
              <w:start w:w="90" w:type="dxa"/>
              <w:bottom w:w="70" w:type="dxa"/>
              <w:end w:w="90" w:type="dxa"/>
            </w:tcMar>
            <w:vAlign w:val="top"/>
            <w:shd w:fill="F7F9FA"/>
          </w:tcPr>
          <w:p>
            <w:r>
              <w:rPr>
                <w:rFonts w:ascii="Noto Sans" w:hAnsi="Noto Sans" w:eastAsia="Noto Sans"/>
                <w:sz w:val="17"/>
              </w:rPr>
              <w:t>Correlation ID ricostruibile Gateway -&gt; backend/Connector.</w:t>
            </w:r>
          </w:p>
        </w:tc>
      </w:tr>
      <w:tr>
        <w:trPr>
          <w:cantSplit/>
        </w:trPr>
        <w:tc>
          <w:tcPr>
            <w:tcW w:type="dxa" w:w="1296"/>
            <w:tcMar>
              <w:top w:w="70" w:type="dxa"/>
              <w:start w:w="90" w:type="dxa"/>
              <w:bottom w:w="70" w:type="dxa"/>
              <w:end w:w="90" w:type="dxa"/>
            </w:tcMar>
            <w:vAlign w:val="top"/>
          </w:tcPr>
          <w:p>
            <w:r>
              <w:rPr>
                <w:rFonts w:ascii="Noto Sans" w:hAnsi="Noto Sans" w:eastAsia="Noto Sans"/>
                <w:sz w:val="17"/>
              </w:rPr>
              <w:t>TECH-11</w:t>
            </w:r>
          </w:p>
        </w:tc>
        <w:tc>
          <w:tcPr>
            <w:tcW w:type="dxa" w:w="3744"/>
            <w:tcMar>
              <w:top w:w="70" w:type="dxa"/>
              <w:start w:w="90" w:type="dxa"/>
              <w:bottom w:w="70" w:type="dxa"/>
              <w:end w:w="90" w:type="dxa"/>
            </w:tcMar>
            <w:vAlign w:val="top"/>
          </w:tcPr>
          <w:p>
            <w:r>
              <w:rPr>
                <w:rFonts w:ascii="Noto Sans" w:hAnsi="Noto Sans" w:eastAsia="Noto Sans"/>
                <w:sz w:val="17"/>
              </w:rPr>
              <w:t>GitOps drift</w:t>
            </w:r>
          </w:p>
        </w:tc>
        <w:tc>
          <w:tcPr>
            <w:tcW w:type="dxa" w:w="6768"/>
            <w:tcMar>
              <w:top w:w="70" w:type="dxa"/>
              <w:start w:w="90" w:type="dxa"/>
              <w:bottom w:w="70" w:type="dxa"/>
              <w:end w:w="90" w:type="dxa"/>
            </w:tcMar>
            <w:vAlign w:val="top"/>
          </w:tcPr>
          <w:p>
            <w:r>
              <w:rPr>
                <w:rFonts w:ascii="Noto Sans" w:hAnsi="Noto Sans" w:eastAsia="Noto Sans"/>
                <w:sz w:val="17"/>
              </w:rPr>
              <w:t>Modifica manuale rilevata e riconciliata/alertata.</w:t>
            </w:r>
          </w:p>
        </w:tc>
      </w:tr>
      <w:tr>
        <w:trPr>
          <w:cantSplit/>
        </w:trPr>
        <w:tc>
          <w:tcPr>
            <w:tcW w:type="dxa" w:w="1296"/>
            <w:tcMar>
              <w:top w:w="70" w:type="dxa"/>
              <w:start w:w="90" w:type="dxa"/>
              <w:bottom w:w="70" w:type="dxa"/>
              <w:end w:w="90" w:type="dxa"/>
            </w:tcMar>
            <w:vAlign w:val="top"/>
            <w:shd w:fill="F7F9FA"/>
          </w:tcPr>
          <w:p>
            <w:r>
              <w:rPr>
                <w:rFonts w:ascii="Noto Sans" w:hAnsi="Noto Sans" w:eastAsia="Noto Sans"/>
                <w:sz w:val="17"/>
              </w:rPr>
              <w:t>TECH-12</w:t>
            </w:r>
          </w:p>
        </w:tc>
        <w:tc>
          <w:tcPr>
            <w:tcW w:type="dxa" w:w="3744"/>
            <w:tcMar>
              <w:top w:w="70" w:type="dxa"/>
              <w:start w:w="90" w:type="dxa"/>
              <w:bottom w:w="70" w:type="dxa"/>
              <w:end w:w="90" w:type="dxa"/>
            </w:tcMar>
            <w:vAlign w:val="top"/>
            <w:shd w:fill="F7F9FA"/>
          </w:tcPr>
          <w:p>
            <w:r>
              <w:rPr>
                <w:rFonts w:ascii="Noto Sans" w:hAnsi="Noto Sans" w:eastAsia="Noto Sans"/>
                <w:sz w:val="17"/>
              </w:rPr>
              <w:t>Secret rotation</w:t>
            </w:r>
          </w:p>
        </w:tc>
        <w:tc>
          <w:tcPr>
            <w:tcW w:type="dxa" w:w="6768"/>
            <w:tcMar>
              <w:top w:w="70" w:type="dxa"/>
              <w:start w:w="90" w:type="dxa"/>
              <w:bottom w:w="70" w:type="dxa"/>
              <w:end w:w="90" w:type="dxa"/>
            </w:tcMar>
            <w:vAlign w:val="top"/>
            <w:shd w:fill="F7F9FA"/>
          </w:tcPr>
          <w:p>
            <w:r>
              <w:rPr>
                <w:rFonts w:ascii="Noto Sans" w:hAnsi="Noto Sans" w:eastAsia="Noto Sans"/>
                <w:sz w:val="17"/>
              </w:rPr>
              <w:t>Rotazione client secret/cert senza downtime del Gateway.</w:t>
            </w:r>
          </w:p>
        </w:tc>
      </w:tr>
      <w:tr>
        <w:trPr>
          <w:cantSplit/>
        </w:trPr>
        <w:tc>
          <w:tcPr>
            <w:tcW w:type="dxa" w:w="1296"/>
            <w:tcMar>
              <w:top w:w="70" w:type="dxa"/>
              <w:start w:w="90" w:type="dxa"/>
              <w:bottom w:w="70" w:type="dxa"/>
              <w:end w:w="90" w:type="dxa"/>
            </w:tcMar>
            <w:vAlign w:val="top"/>
          </w:tcPr>
          <w:p>
            <w:r>
              <w:rPr>
                <w:rFonts w:ascii="Noto Sans" w:hAnsi="Noto Sans" w:eastAsia="Noto Sans"/>
                <w:sz w:val="17"/>
              </w:rPr>
              <w:t>TECH-13</w:t>
            </w:r>
          </w:p>
        </w:tc>
        <w:tc>
          <w:tcPr>
            <w:tcW w:type="dxa" w:w="3744"/>
            <w:tcMar>
              <w:top w:w="70" w:type="dxa"/>
              <w:start w:w="90" w:type="dxa"/>
              <w:bottom w:w="70" w:type="dxa"/>
              <w:end w:w="90" w:type="dxa"/>
            </w:tcMar>
            <w:vAlign w:val="top"/>
          </w:tcPr>
          <w:p>
            <w:r>
              <w:rPr>
                <w:rFonts w:ascii="Noto Sans" w:hAnsi="Noto Sans" w:eastAsia="Noto Sans"/>
                <w:sz w:val="17"/>
              </w:rPr>
              <w:t>MCP guard</w:t>
            </w:r>
          </w:p>
        </w:tc>
        <w:tc>
          <w:tcPr>
            <w:tcW w:type="dxa" w:w="6768"/>
            <w:tcMar>
              <w:top w:w="70" w:type="dxa"/>
              <w:start w:w="90" w:type="dxa"/>
              <w:bottom w:w="70" w:type="dxa"/>
              <w:end w:w="90" w:type="dxa"/>
            </w:tcMar>
            <w:vAlign w:val="top"/>
          </w:tcPr>
          <w:p>
            <w:r>
              <w:rPr>
                <w:rFonts w:ascii="Noto Sans" w:hAnsi="Noto Sans" w:eastAsia="Noto Sans"/>
                <w:sz w:val="17"/>
              </w:rPr>
              <w:t>Capability toolEligible=false non risolvibile come tool.</w:t>
            </w:r>
          </w:p>
        </w:tc>
      </w:tr>
      <w:tr>
        <w:trPr>
          <w:cantSplit/>
        </w:trPr>
        <w:tc>
          <w:tcPr>
            <w:tcW w:type="dxa" w:w="1296"/>
            <w:tcMar>
              <w:top w:w="70" w:type="dxa"/>
              <w:start w:w="90" w:type="dxa"/>
              <w:bottom w:w="70" w:type="dxa"/>
              <w:end w:w="90" w:type="dxa"/>
            </w:tcMar>
            <w:vAlign w:val="top"/>
            <w:shd w:fill="F7F9FA"/>
          </w:tcPr>
          <w:p>
            <w:r>
              <w:rPr>
                <w:rFonts w:ascii="Noto Sans" w:hAnsi="Noto Sans" w:eastAsia="Noto Sans"/>
                <w:sz w:val="17"/>
              </w:rPr>
              <w:t>TECH-14</w:t>
            </w:r>
          </w:p>
        </w:tc>
        <w:tc>
          <w:tcPr>
            <w:tcW w:type="dxa" w:w="3744"/>
            <w:tcMar>
              <w:top w:w="70" w:type="dxa"/>
              <w:start w:w="90" w:type="dxa"/>
              <w:bottom w:w="70" w:type="dxa"/>
              <w:end w:w="90" w:type="dxa"/>
            </w:tcMar>
            <w:vAlign w:val="top"/>
            <w:shd w:fill="F7F9FA"/>
          </w:tcPr>
          <w:p>
            <w:r>
              <w:rPr>
                <w:rFonts w:ascii="Noto Sans" w:hAnsi="Noto Sans" w:eastAsia="Noto Sans"/>
                <w:sz w:val="17"/>
              </w:rPr>
              <w:t>No direct access</w:t>
            </w:r>
          </w:p>
        </w:tc>
        <w:tc>
          <w:tcPr>
            <w:tcW w:type="dxa" w:w="6768"/>
            <w:tcMar>
              <w:top w:w="70" w:type="dxa"/>
              <w:start w:w="90" w:type="dxa"/>
              <w:bottom w:w="70" w:type="dxa"/>
              <w:end w:w="90" w:type="dxa"/>
            </w:tcMar>
            <w:vAlign w:val="top"/>
            <w:shd w:fill="F7F9FA"/>
          </w:tcPr>
          <w:p>
            <w:r>
              <w:rPr>
                <w:rFonts w:ascii="Noto Sans" w:hAnsi="Noto Sans" w:eastAsia="Noto Sans"/>
                <w:sz w:val="17"/>
              </w:rPr>
              <w:t>Test rete conferma che client esterni non raggiungono Connector/ETL/UDP.</w:t>
            </w:r>
          </w:p>
        </w:tc>
      </w:tr>
      <w:tr>
        <w:tc>
          <w:tcPr>
            <w:tcW w:type="dxa" w:w="3024"/>
          </w:tcPr>
          <w:p>
            <w:r>
              <w:rPr>
                <w:rFonts w:ascii="Noto Sans" w:hAnsi="Noto Sans" w:eastAsia="Noto Sans"/>
                <w:sz w:val="17"/>
              </w:rPr>
              <w:t>TECH-06B</w:t>
            </w:r>
          </w:p>
        </w:tc>
        <w:tc>
          <w:tcPr>
            <w:tcW w:type="dxa" w:w="3024"/>
          </w:tcPr>
          <w:p>
            <w:r>
              <w:rPr>
                <w:rFonts w:ascii="Noto Sans" w:hAnsi="Noto Sans" w:eastAsia="Noto Sans"/>
                <w:sz w:val="17"/>
              </w:rPr>
              <w:t>Adapter envelope generation</w:t>
            </w:r>
          </w:p>
        </w:tc>
        <w:tc>
          <w:tcPr>
            <w:tcW w:type="dxa" w:w="3024"/>
          </w:tcPr>
          <w:p>
            <w:r>
              <w:rPr>
                <w:rFonts w:ascii="Noto Sans" w:hAnsi="Noto Sans" w:eastAsia="Noto Sans"/>
                <w:sz w:val="17"/>
              </w:rPr>
              <w:t>Un payload sorgente valido attraversa il Gateway nativamente; l’Adapter genera un OUF Canonical Data Envelope conforme prima dell’ETL.</w:t>
            </w:r>
          </w:p>
        </w:tc>
      </w:tr>
    </w:tbl>
    <w:p>
      <w:pPr>
        <w:pStyle w:val="ListBullet"/>
      </w:pPr>
      <w:r>
        <w:rPr>
          <w:rFonts w:ascii="Noto Sans" w:hAnsi="Noto Sans" w:eastAsia="Noto Sans"/>
        </w:rPr>
        <w:t>TECH-15 — Source runtime discrimination: due procedimenti differenti dello stesso verticale possono essere acquisiti usando profili/adapter configurati senza hard-code nel Gateway; la classificazione dei procedimenti resta esterna.</w:t>
      </w:r>
    </w:p>
    <w:p>
      <w:pPr>
        <w:pStyle w:val="ListBullet"/>
      </w:pPr>
      <w:r>
        <w:rPr>
          <w:rFonts w:ascii="Noto Sans" w:hAnsi="Noto Sans" w:eastAsia="Noto Sans"/>
        </w:rPr>
        <w:t>TECH-16 — Semantic/onboarding boundary: route e PluginConfig non contengono canonicalType, ontologie, vocabolari o classificazioni dei campi; il Gateway consuma solo extractionProfileId/version e artefatti runtime approvati.</w:t>
      </w:r>
    </w:p>
    <w:p>
      <w:pPr>
        <w:pStyle w:val="ListBullet"/>
      </w:pPr>
      <w:r>
        <w:rPr>
          <w:rFonts w:ascii="Noto Sans" w:hAnsi="Noto Sans" w:eastAsia="Noto Sans"/>
        </w:rPr>
        <w:t>TECH-17 — Unknown source type: una tipologia non configurata non viene promossa e produce stato UNKNOWN_SOURCE_TYPE/quarantena verificabile.</w:t>
      </w:r>
    </w:p>
    <w:p>
      <w:pPr>
        <w:pStyle w:val="ListBullet"/>
      </w:pPr>
      <w:r>
        <w:rPr>
          <w:rFonts w:ascii="Noto Sans" w:hAnsi="Noto Sans" w:eastAsia="Noto Sans"/>
        </w:rPr>
        <w:t>TECH-18 — Unmapped semantic concept: un tipo sorgente noto privo di mapping approvato produce UNMAPPED_SEMANTIC_CONCEPT e non raggiunge la UDP canonica.</w:t>
      </w:r>
    </w:p>
    <w:p>
      <w:pPr>
        <w:pStyle w:val="ListBullet"/>
      </w:pPr>
      <w:r>
        <w:rPr>
          <w:rFonts w:ascii="Noto Sans" w:hAnsi="Noto Sans" w:eastAsia="Noto Sans"/>
        </w:rPr>
        <w:t>TECH-19 — Provenance boundary: sourceInstanceId e riferimenti di mapping sono propagati da Adapter/ETL secondo gli artefatti prodotti dall’onboarding; il Gateway non li interpreta semanticamente.</w:t>
      </w:r>
    </w:p>
    <w:p>
      <w:pPr>
        <w:pStyle w:val="ListBullet"/>
      </w:pPr>
      <w:r>
        <w:rPr>
          <w:rFonts w:ascii="Noto Sans" w:hAnsi="Noto Sans" w:eastAsia="Noto Sans"/>
        </w:rPr>
        <w:t>TECH-20 — Envelope boundary: il verticale invia il payload nel formato sorgente configurato; il Gateway applica solo controlli di bordo e l’Adapter costruisce e valida l’OUF Canonical Data Envelope prima dell’ETL.</w:t>
      </w:r>
    </w:p>
    <w:p>
      <w:pPr>
        <w:pStyle w:val="Heading2"/>
      </w:pPr>
      <w:r>
        <w:rPr>
          <w:rFonts w:ascii="Noto Sans" w:hAnsi="Noto Sans" w:eastAsia="Noto Sans"/>
        </w:rPr>
        <w:t>TECH-21 - Bootstrap PULL</w:t>
      </w:r>
    </w:p>
    <w:p>
      <w:pPr>
        <w:pStyle w:val="BodyText"/>
      </w:pPr>
      <w:r>
        <w:rPr>
          <w:rFonts w:ascii="Noto Sans" w:hAnsi="Noto Sans" w:eastAsia="Noto Sans"/>
        </w:rPr>
        <w:t>Da piattaforma vuota, Source Sync completa FULL_SNAPSHOT e catch-up delta di una sorgente mock attraverso APISIX southbound. I parametri di coerenza snapshot/delta previsti dalla Source API sono propagati senza alterazioni e nessuna modifica avvenuta durante lo snapshot viene persa.</w:t>
      </w:r>
    </w:p>
    <w:p>
      <w:pPr>
        <w:pStyle w:val="Heading2"/>
      </w:pPr>
      <w:r>
        <w:rPr>
          <w:rFonts w:ascii="Noto Sans" w:hAnsi="Noto Sans" w:eastAsia="Noto Sans"/>
        </w:rPr>
        <w:t>TECH-22 - Watermark e resume</w:t>
      </w:r>
    </w:p>
    <w:p>
      <w:pPr>
        <w:pStyle w:val="BodyText"/>
      </w:pPr>
      <w:r>
        <w:rPr>
          <w:rFonts w:ascii="Noto Sans" w:hAnsi="Noto Sans" w:eastAsia="Noto Sans"/>
        </w:rPr>
        <w:t>Un’interruzione durante la sincronizzazione riprende dal checkpoint previsto, può rileggere in sicurezza la stessa finestra incrementale e non avanza il watermark oltre l’ultimo punto coerente. Il Gateway non presume exactly-once.</w:t>
      </w:r>
    </w:p>
    <w:p>
      <w:pPr>
        <w:pStyle w:val="Heading2"/>
      </w:pPr>
      <w:r>
        <w:rPr>
          <w:rFonts w:ascii="Noto Sans" w:hAnsi="Noto Sans" w:eastAsia="Noto Sans"/>
        </w:rPr>
        <w:t>TECH-23 - Pull isolation</w:t>
      </w:r>
    </w:p>
    <w:p>
      <w:pPr>
        <w:pStyle w:val="BodyText"/>
      </w:pPr>
      <w:r>
        <w:rPr>
          <w:rFonts w:ascii="Noto Sans" w:hAnsi="Noto Sans" w:eastAsia="Noto Sans"/>
        </w:rPr>
        <w:t>I workload di sincronizzazione possono raggiungere una sorgente esterna soltanto attraverso la route southbound associata al relativo sourceId; l’egress diretto è bloccato da NetworkPolicy.</w:t>
      </w:r>
    </w:p>
    <w:p>
      <w:pPr>
        <w:pStyle w:val="Heading2"/>
      </w:pPr>
      <w:r>
        <w:rPr>
          <w:rFonts w:ascii="Noto Sans" w:hAnsi="Noto Sans" w:eastAsia="Noto Sans"/>
        </w:rPr>
        <w:t>TECH-24 — Extraction Profile enforcement: il Gateway/Connector compone la richiesta PULL usando esclusivamente filtri, field projection, paging e delta strategy pubblicati nel profilo runtime; la Source API restituisce solo i campi richiesti e il Gateway non esegue filtraggio semantico sul payload di risposta.</w:t>
      </w:r>
    </w:p>
    <w:p>
      <w:pPr>
        <w:pStyle w:val="BodyText"/>
      </w:pPr>
      <w:r>
        <w:rPr>
          <w:rFonts w:ascii="Noto Sans" w:hAnsi="Noto Sans" w:eastAsia="Noto Sans"/>
        </w:rPr>
        <w:t>Una capability realtime di test eroga aggiornamenti tramite SSE o WebSocket attraverso il perimetro governato; la UI non dispone di accesso diretto a UDP/Data Lake. Un eventuale Event Mesh non è richiesto per il superamento del test.</w:t>
      </w:r>
    </w:p>
    <w:p>
      <w:pPr>
        <w:pStyle w:val="Heading2"/>
      </w:pPr>
      <w:r>
        <w:rPr>
          <w:rFonts w:ascii="Noto Sans" w:hAnsi="Noto Sans" w:eastAsia="Noto Sans"/>
        </w:rPr>
        <w:t>TECH-25 - Snapshot/delta continuity</w:t>
      </w:r>
    </w:p>
    <w:p>
      <w:pPr>
        <w:pStyle w:val="BodyText"/>
      </w:pPr>
      <w:r>
        <w:rPr>
          <w:rFonts w:ascii="Noto Sans" w:hAnsi="Noto Sans" w:eastAsia="Noto Sans"/>
        </w:rPr>
        <w:t>Una sorgente mock viene modificata durante il bootstrap. Il flusso FULL_SNAPSHOT + catch-up, attraversando il Gateway southbound, acquisisce anche la modifica concorrente senza buchi tra snapshot e delta.</w:t>
      </w:r>
    </w:p>
    <w:p>
      <w:pPr>
        <w:pStyle w:val="Heading2"/>
      </w:pPr>
      <w:r>
        <w:rPr>
          <w:rFonts w:ascii="Noto Sans" w:hAnsi="Noto Sans" w:eastAsia="Noto Sans"/>
        </w:rPr>
        <w:t>TECH-26 - Exit-scope passthrough</w:t>
      </w:r>
    </w:p>
    <w:p>
      <w:pPr>
        <w:pStyle w:val="BodyText"/>
      </w:pPr>
      <w:r>
        <w:rPr>
          <w:rFonts w:ascii="Noto Sans" w:hAnsi="Noto Sans" w:eastAsia="Noto Sans"/>
        </w:rPr>
        <w:t>Un record già acquisito come eleggibile viene successivamente modificato in uno stato non più compreso negli eligibleStates. La Source API rende osservabile la variazione e il Gateway la inoltra al Connector senza sopprimerla sulla base del nuovo stato.</w:t>
      </w:r>
    </w:p>
    <w:p>
      <w:pPr>
        <w:pStyle w:val="Heading1"/>
        <w:keepNext/>
        <w:spacing w:before="160"/>
      </w:pPr>
      <w:r>
        <w:rPr>
          <w:rFonts w:ascii="Noto Sans" w:hAnsi="Noto Sans" w:eastAsia="Noto Sans"/>
        </w:rPr>
        <w:t>T20. Deliverable per il fornitore</w:t>
      </w:r>
    </w:p>
    <w:p>
      <w:pPr>
        <w:pStyle w:val="ListBullet"/>
      </w:pPr>
      <w:r>
        <w:rPr>
          <w:rFonts w:ascii="Noto Sans" w:hAnsi="Noto Sans" w:eastAsia="Noto Sans"/>
        </w:rPr>
        <w:t>Helm values e manifest Kubernetes per APISIX northbound/southbound/control-plane e etcd.</w:t>
      </w:r>
    </w:p>
    <w:p>
      <w:pPr>
        <w:pStyle w:val="ListBullet"/>
      </w:pPr>
      <w:r>
        <w:rPr>
          <w:rFonts w:ascii="Noto Sans" w:hAnsi="Noto Sans" w:eastAsia="Noto Sans"/>
        </w:rPr>
        <w:t>GatewayClass/Gateway/HTTPRoute e PluginConfig versionati.</w:t>
      </w:r>
    </w:p>
    <w:p>
      <w:pPr>
        <w:pStyle w:val="ListBullet"/>
      </w:pPr>
      <w:r>
        <w:rPr>
          <w:rFonts w:ascii="Noto Sans" w:hAnsi="Noto Sans" w:eastAsia="Noto Sans"/>
        </w:rPr>
        <w:t>Repository ouf-config con capability, source manifest, schema, policy e overlay ambienti.</w:t>
      </w:r>
    </w:p>
    <w:p>
      <w:pPr>
        <w:pStyle w:val="ListBullet"/>
      </w:pPr>
      <w:r>
        <w:rPr>
          <w:rFonts w:ascii="Noto Sans" w:hAnsi="Noto Sans" w:eastAsia="Noto Sans"/>
        </w:rPr>
        <w:t>OpenAPI e JSON Schema della baseline.</w:t>
      </w:r>
    </w:p>
    <w:p>
      <w:pPr>
        <w:pStyle w:val="ListBullet"/>
      </w:pPr>
      <w:r>
        <w:rPr>
          <w:rFonts w:ascii="Noto Sans" w:hAnsi="Noto Sans" w:eastAsia="Noto Sans"/>
        </w:rPr>
        <w:t>Configurazione integrazione OIDC/mTLS e secretRef OpenBao.</w:t>
      </w:r>
    </w:p>
    <w:p>
      <w:pPr>
        <w:pStyle w:val="ListBullet"/>
      </w:pPr>
      <w:r>
        <w:rPr>
          <w:rFonts w:ascii="Noto Sans" w:hAnsi="Noto Sans" w:eastAsia="Noto Sans"/>
        </w:rPr>
        <w:t>Dashboard Grafana, alert rules Prometheus e configurazione tracing/logging.</w:t>
      </w:r>
    </w:p>
    <w:p>
      <w:pPr>
        <w:pStyle w:val="ListBullet"/>
      </w:pPr>
      <w:r>
        <w:rPr>
          <w:rFonts w:ascii="Noto Sans" w:hAnsi="Noto Sans" w:eastAsia="Noto Sans"/>
        </w:rPr>
        <w:t>Test automatici funzionali, contract, security e performance.</w:t>
      </w:r>
    </w:p>
    <w:p>
      <w:pPr>
        <w:pStyle w:val="ListBullet"/>
      </w:pPr>
      <w:r>
        <w:rPr>
          <w:rFonts w:ascii="Noto Sans" w:hAnsi="Noto Sans" w:eastAsia="Noto Sans"/>
        </w:rPr>
        <w:t>Runbook: startup, incident, certificate rotation, source disable, backup/restore etcd, rollback.</w:t>
      </w:r>
    </w:p>
    <w:p>
      <w:pPr>
        <w:pStyle w:val="ListBullet"/>
      </w:pPr>
      <w:r>
        <w:rPr>
          <w:rFonts w:ascii="Noto Sans" w:hAnsi="Noto Sans" w:eastAsia="Noto Sans"/>
        </w:rPr>
        <w:t>SBOM delle immagini/componenti e lista dipendenze/versioni.</w:t>
      </w:r>
    </w:p>
    <w:p>
      <w:pPr>
        <w:pStyle w:val="ListBullet"/>
      </w:pPr>
      <w:r>
        <w:rPr>
          <w:rFonts w:ascii="Noto Sans" w:hAnsi="Noto Sans" w:eastAsia="Noto Sans"/>
        </w:rPr>
        <w:t>Verbale di collaudo con evidenze dell’intero set di test TECH definito nel presente documento e dei collaudi logico-funzionali già previsti.</w:t>
      </w:r>
    </w:p>
    <w:p>
      <w:pPr>
        <w:pStyle w:val="Heading1"/>
        <w:keepNext/>
        <w:spacing w:before="160"/>
      </w:pPr>
      <w:r>
        <w:rPr>
          <w:rFonts w:ascii="Noto Sans" w:hAnsi="Noto Sans" w:eastAsia="Noto Sans"/>
        </w:rPr>
        <w:t>T21. Assunzioni e dipendenze esterne</w:t>
      </w:r>
    </w:p>
    <w:p>
      <w:pPr>
        <w:pStyle w:val="BodyText"/>
      </w:pPr>
      <w:r>
        <w:rPr>
          <w:rFonts w:ascii="Noto Sans" w:hAnsi="Noto Sans" w:eastAsia="Noto Sans"/>
        </w:rPr>
        <w:t>Dipendenza specifica del Gateway: deve essere disponibile un’interfaccia o artefatto versionato prodotto dal Source Onboarding / Source Configuration che pubblichi Source Runtime Profile, Extraction Profile runtime e relativi Route Binding. La disponibilità di UI, AI agent/MCP, ontologie e workflow di approvazione è responsabilità di moduli esterni e non costituisce dipendenza runtime diretta del Gateway.</w:t>
      </w:r>
    </w:p>
    <w:p>
      <w:pPr>
        <w:pStyle w:val="BodyText"/>
        <w:widowControl/>
      </w:pPr>
      <w:r>
        <w:rPr>
          <w:rFonts w:ascii="Noto Sans" w:hAnsi="Noto Sans" w:eastAsia="Noto Sans"/>
        </w:rPr>
        <w:t>La v1.0 seleziona la tecnologia del modulo ma non sostituisce i progetti esecutivi di Connector Framework, ETL/Ingestion, Semantic Model o UDP. Il Gateway puo essere completato e collaudato con mock/stub di tali backend; il collaudo end-to-end reale richiede i rispettivi contratti implementati.</w:t>
      </w:r>
    </w:p>
    <w:p>
      <w:pPr>
        <w:pStyle w:val="ListBullet"/>
      </w:pPr>
      <w:r>
        <w:rPr>
          <w:rFonts w:ascii="Noto Sans" w:hAnsi="Noto Sans" w:eastAsia="Noto Sans"/>
        </w:rPr>
        <w:t>Disponibilita di una PKI o autorizzazione a usare OpenBao PKI come intermediate CA.</w:t>
      </w:r>
    </w:p>
    <w:p>
      <w:pPr>
        <w:pStyle w:val="ListBullet"/>
      </w:pPr>
      <w:r>
        <w:rPr>
          <w:rFonts w:ascii="Noto Sans" w:hAnsi="Noto Sans" w:eastAsia="Noto Sans"/>
        </w:rPr>
        <w:t>Disponibilita di DNS/VIP/load balancer e regole firewall.</w:t>
      </w:r>
    </w:p>
    <w:p>
      <w:pPr>
        <w:pStyle w:val="ListBullet"/>
      </w:pPr>
      <w:r>
        <w:rPr>
          <w:rFonts w:ascii="Noto Sans" w:hAnsi="Noto Sans" w:eastAsia="Noto Sans"/>
        </w:rPr>
        <w:t>Endpoint di test o mock per SUAP/SUO/SUE e almeno un WFS/WMS.</w:t>
      </w:r>
    </w:p>
    <w:p>
      <w:pPr>
        <w:pStyle w:val="ListBullet"/>
      </w:pPr>
      <w:r>
        <w:rPr>
          <w:rFonts w:ascii="Noto Sans" w:hAnsi="Noto Sans" w:eastAsia="Noto Sans"/>
          <w:sz w:val="18"/>
        </w:rPr>
        <w:t>Applicazione dello scenario M2M selezionato dalla Authorization &amp; Access Control Specification: A) EVO anche per M2M; B) stesso Keycloak con perimetro tecnico OUF separato; C) Technical IAM OUF minimale.</w:t>
      </w:r>
    </w:p>
    <w:p>
      <w:pPr>
        <w:pStyle w:val="ListBullet"/>
      </w:pPr>
      <w:r>
        <w:rPr>
          <w:rFonts w:ascii="Noto Sans" w:hAnsi="Noto Sans" w:eastAsia="Noto Sans"/>
        </w:rPr>
        <w:t>Registry container approvato e pipeline CI disponibile.</w:t>
      </w:r>
    </w:p>
    <w:p>
      <w:pPr>
        <w:pStyle w:val="ListBullet"/>
      </w:pPr>
      <w:r>
        <w:rPr>
          <w:rFonts w:ascii="Noto Sans" w:hAnsi="Noto Sans" w:eastAsia="Noto Sans"/>
        </w:rPr>
        <w:t>Storage class SSD per etcd e, se usata, cache WMS su disco.</w:t>
      </w:r>
    </w:p>
    <w:p>
      <w:pPr>
        <w:pStyle w:val="Heading1"/>
        <w:keepNext/>
        <w:spacing w:before="160"/>
      </w:pPr>
      <w:r>
        <w:rPr>
          <w:rFonts w:ascii="Noto Sans" w:hAnsi="Noto Sans" w:eastAsia="Noto Sans"/>
        </w:rPr>
        <w:t>T22. Riferimenti tecnologici ufficiali della baseline</w:t>
      </w:r>
    </w:p>
    <w:tbl>
      <w:tblPr>
        <w:tblStyle w:val="TableGrid"/>
        <w:tblW w:type="auto" w:w="0"/>
        <w:jc w:val="center"/>
        <w:tblLook w:firstColumn="1" w:firstRow="1" w:lastColumn="0" w:lastRow="0" w:noHBand="0" w:noVBand="1" w:val="04A0"/>
      </w:tblPr>
      <w:tblGrid>
        <w:gridCol w:w="3024"/>
        <w:gridCol w:w="3024"/>
        <w:gridCol w:w="3024"/>
      </w:tblGrid>
      <w:tr>
        <w:trPr>
          <w:tblHeader w:val="true"/>
          <w:tblHeader w:val="true"/>
          <w:cantSplit/>
        </w:trPr>
        <w:tc>
          <w:tcPr>
            <w:tcW w:type="dxa" w:w="2304"/>
            <w:shd w:fill="0B5A73"/>
            <w:vAlign w:val="center"/>
            <w:tcMar>
              <w:top w:w="70" w:type="dxa"/>
              <w:start w:w="90" w:type="dxa"/>
              <w:bottom w:w="70" w:type="dxa"/>
              <w:end w:w="90" w:type="dxa"/>
            </w:tcMar>
          </w:tcPr>
          <w:p>
            <w:r>
              <w:rPr>
                <w:rFonts w:ascii="Noto Sans" w:hAnsi="Noto Sans" w:eastAsia="Noto Sans"/>
                <w:sz w:val="17"/>
              </w:rPr>
              <w:t>Tecnologia</w:t>
            </w:r>
          </w:p>
        </w:tc>
        <w:tc>
          <w:tcPr>
            <w:tcW w:type="dxa" w:w="3600"/>
            <w:shd w:fill="0B5A73"/>
            <w:vAlign w:val="center"/>
            <w:tcMar>
              <w:top w:w="70" w:type="dxa"/>
              <w:start w:w="90" w:type="dxa"/>
              <w:bottom w:w="70" w:type="dxa"/>
              <w:end w:w="90" w:type="dxa"/>
            </w:tcMar>
          </w:tcPr>
          <w:p>
            <w:r>
              <w:rPr>
                <w:rFonts w:ascii="Noto Sans" w:hAnsi="Noto Sans" w:eastAsia="Noto Sans"/>
                <w:sz w:val="17"/>
              </w:rPr>
              <w:t>Riferimento</w:t>
            </w:r>
          </w:p>
        </w:tc>
        <w:tc>
          <w:tcPr>
            <w:tcW w:type="dxa" w:w="6336"/>
            <w:shd w:fill="0B5A73"/>
            <w:vAlign w:val="center"/>
            <w:tcMar>
              <w:top w:w="70" w:type="dxa"/>
              <w:start w:w="90" w:type="dxa"/>
              <w:bottom w:w="70" w:type="dxa"/>
              <w:end w:w="90" w:type="dxa"/>
            </w:tcMar>
          </w:tcPr>
          <w:p>
            <w:r>
              <w:rPr>
                <w:rFonts w:ascii="Noto Sans" w:hAnsi="Noto Sans" w:eastAsia="Noto Sans"/>
                <w:sz w:val="17"/>
              </w:rPr>
              <w:t>Dato usato nella baseline</w:t>
            </w:r>
          </w:p>
        </w:tc>
      </w:tr>
      <w:tr>
        <w:trPr>
          <w:cantSplit/>
        </w:trPr>
        <w:tc>
          <w:tcPr>
            <w:tcW w:type="dxa" w:w="2304"/>
            <w:tcMar>
              <w:top w:w="70" w:type="dxa"/>
              <w:start w:w="90" w:type="dxa"/>
              <w:bottom w:w="70" w:type="dxa"/>
              <w:end w:w="90" w:type="dxa"/>
            </w:tcMar>
            <w:vAlign w:val="top"/>
          </w:tcPr>
          <w:p>
            <w:r>
              <w:rPr>
                <w:rFonts w:ascii="Noto Sans" w:hAnsi="Noto Sans" w:eastAsia="Noto Sans"/>
                <w:sz w:val="17"/>
              </w:rPr>
              <w:t>Apache APISIX</w:t>
            </w:r>
          </w:p>
        </w:tc>
        <w:tc>
          <w:tcPr>
            <w:tcW w:type="dxa" w:w="3600"/>
            <w:tcMar>
              <w:top w:w="70" w:type="dxa"/>
              <w:start w:w="90" w:type="dxa"/>
              <w:bottom w:w="70" w:type="dxa"/>
              <w:end w:w="90" w:type="dxa"/>
            </w:tcMar>
            <w:vAlign w:val="top"/>
          </w:tcPr>
          <w:p>
            <w:r>
              <w:rPr>
                <w:rFonts w:ascii="Noto Sans" w:hAnsi="Noto Sans" w:eastAsia="Noto Sans"/>
                <w:sz w:val="17"/>
              </w:rPr>
              <w:t>apisix.apache.org/docs</w:t>
            </w:r>
          </w:p>
        </w:tc>
        <w:tc>
          <w:tcPr>
            <w:tcW w:type="dxa" w:w="6336"/>
            <w:tcMar>
              <w:top w:w="70" w:type="dxa"/>
              <w:start w:w="90" w:type="dxa"/>
              <w:bottom w:w="70" w:type="dxa"/>
              <w:end w:w="90" w:type="dxa"/>
            </w:tcMar>
            <w:vAlign w:val="top"/>
          </w:tcPr>
          <w:p>
            <w:r>
              <w:rPr>
                <w:rFonts w:ascii="Noto Sans" w:hAnsi="Noto Sans" w:eastAsia="Noto Sans"/>
                <w:sz w:val="17"/>
              </w:rPr>
              <w:t>APISIX 3.18.x; plugin OIDC, rate limit, request-validation, Prometheus, OpenTelemetry, proxy-cache; deployment modes.</w:t>
            </w:r>
          </w:p>
        </w:tc>
      </w:tr>
      <w:tr>
        <w:trPr>
          <w:cantSplit/>
        </w:trPr>
        <w:tc>
          <w:tcPr>
            <w:tcW w:type="dxa" w:w="2304"/>
            <w:tcMar>
              <w:top w:w="70" w:type="dxa"/>
              <w:start w:w="90" w:type="dxa"/>
              <w:bottom w:w="70" w:type="dxa"/>
              <w:end w:w="90" w:type="dxa"/>
            </w:tcMar>
            <w:vAlign w:val="top"/>
            <w:shd w:fill="F7F9FA"/>
          </w:tcPr>
          <w:p>
            <w:r>
              <w:rPr>
                <w:rFonts w:ascii="Noto Sans" w:hAnsi="Noto Sans" w:eastAsia="Noto Sans"/>
                <w:sz w:val="17"/>
              </w:rPr>
              <w:t>APISIX Ingress Controller</w:t>
            </w:r>
          </w:p>
        </w:tc>
        <w:tc>
          <w:tcPr>
            <w:tcW w:type="dxa" w:w="3600"/>
            <w:tcMar>
              <w:top w:w="70" w:type="dxa"/>
              <w:start w:w="90" w:type="dxa"/>
              <w:bottom w:w="70" w:type="dxa"/>
              <w:end w:w="90" w:type="dxa"/>
            </w:tcMar>
            <w:vAlign w:val="top"/>
            <w:shd w:fill="F7F9FA"/>
          </w:tcPr>
          <w:p>
            <w:r>
              <w:rPr>
                <w:rFonts w:ascii="Noto Sans" w:hAnsi="Noto Sans" w:eastAsia="Noto Sans"/>
                <w:sz w:val="17"/>
              </w:rPr>
              <w:t>apisix.apache.org/docs/ingress-controller</w:t>
            </w:r>
          </w:p>
        </w:tc>
        <w:tc>
          <w:tcPr>
            <w:tcW w:type="dxa" w:w="6336"/>
            <w:tcMar>
              <w:top w:w="70" w:type="dxa"/>
              <w:start w:w="90" w:type="dxa"/>
              <w:bottom w:w="70" w:type="dxa"/>
              <w:end w:w="90" w:type="dxa"/>
            </w:tcMar>
            <w:vAlign w:val="top"/>
            <w:shd w:fill="F7F9FA"/>
          </w:tcPr>
          <w:p>
            <w:r>
              <w:rPr>
                <w:rFonts w:ascii="Noto Sans" w:hAnsi="Noto Sans" w:eastAsia="Noto Sans"/>
                <w:sz w:val="17"/>
              </w:rPr>
              <w:t>2.2.x; Gateway API; Kubernetes 1.31+; integrazione APISIX.</w:t>
            </w:r>
          </w:p>
        </w:tc>
      </w:tr>
      <w:tr>
        <w:trPr>
          <w:cantSplit/>
        </w:trPr>
        <w:tc>
          <w:tcPr>
            <w:tcW w:type="dxa" w:w="2304"/>
            <w:tcMar>
              <w:top w:w="70" w:type="dxa"/>
              <w:start w:w="90" w:type="dxa"/>
              <w:bottom w:w="70" w:type="dxa"/>
              <w:end w:w="90" w:type="dxa"/>
            </w:tcMar>
            <w:vAlign w:val="top"/>
          </w:tcPr>
          <w:p>
            <w:r>
              <w:rPr>
                <w:rFonts w:ascii="Noto Sans" w:hAnsi="Noto Sans" w:eastAsia="Noto Sans"/>
                <w:sz w:val="17"/>
              </w:rPr>
              <w:t>Kubernetes</w:t>
            </w:r>
          </w:p>
        </w:tc>
        <w:tc>
          <w:tcPr>
            <w:tcW w:type="dxa" w:w="3600"/>
            <w:tcMar>
              <w:top w:w="70" w:type="dxa"/>
              <w:start w:w="90" w:type="dxa"/>
              <w:bottom w:w="70" w:type="dxa"/>
              <w:end w:w="90" w:type="dxa"/>
            </w:tcMar>
            <w:vAlign w:val="top"/>
          </w:tcPr>
          <w:p>
            <w:r>
              <w:rPr>
                <w:rFonts w:ascii="Noto Sans" w:hAnsi="Noto Sans" w:eastAsia="Noto Sans"/>
                <w:sz w:val="17"/>
              </w:rPr>
              <w:t>kubernetes.io/releases</w:t>
            </w:r>
          </w:p>
        </w:tc>
        <w:tc>
          <w:tcPr>
            <w:tcW w:type="dxa" w:w="6336"/>
            <w:tcMar>
              <w:top w:w="70" w:type="dxa"/>
              <w:start w:w="90" w:type="dxa"/>
              <w:bottom w:w="70" w:type="dxa"/>
              <w:end w:w="90" w:type="dxa"/>
            </w:tcMar>
            <w:vAlign w:val="top"/>
          </w:tcPr>
          <w:p>
            <w:r>
              <w:rPr>
                <w:rFonts w:ascii="Noto Sans" w:hAnsi="Noto Sans" w:eastAsia="Noto Sans"/>
                <w:sz w:val="17"/>
              </w:rPr>
              <w:t>1.36.x supportato; 1.34 prossimo a maintenance/EOL alla data della baseline.</w:t>
            </w:r>
          </w:p>
        </w:tc>
      </w:tr>
      <w:tr>
        <w:trPr>
          <w:cantSplit/>
        </w:trPr>
        <w:tc>
          <w:tcPr>
            <w:tcW w:type="dxa" w:w="2304"/>
            <w:tcMar>
              <w:top w:w="70" w:type="dxa"/>
              <w:start w:w="90" w:type="dxa"/>
              <w:bottom w:w="70" w:type="dxa"/>
              <w:end w:w="90" w:type="dxa"/>
            </w:tcMar>
            <w:vAlign w:val="top"/>
            <w:shd w:fill="F7F9FA"/>
          </w:tcPr>
          <w:p>
            <w:r>
              <w:rPr>
                <w:rFonts w:ascii="Noto Sans" w:hAnsi="Noto Sans" w:eastAsia="Noto Sans"/>
                <w:sz w:val="17"/>
              </w:rPr>
              <w:t>Keycloak</w:t>
            </w:r>
          </w:p>
        </w:tc>
        <w:tc>
          <w:tcPr>
            <w:tcW w:type="dxa" w:w="3600"/>
            <w:tcMar>
              <w:top w:w="70" w:type="dxa"/>
              <w:start w:w="90" w:type="dxa"/>
              <w:bottom w:w="70" w:type="dxa"/>
              <w:end w:w="90" w:type="dxa"/>
            </w:tcMar>
            <w:vAlign w:val="top"/>
            <w:shd w:fill="F7F9FA"/>
          </w:tcPr>
          <w:p>
            <w:r>
              <w:rPr>
                <w:rFonts w:ascii="Noto Sans" w:hAnsi="Noto Sans" w:eastAsia="Noto Sans"/>
                <w:sz w:val="17"/>
              </w:rPr>
              <w:t>keycloak.org</w:t>
            </w:r>
          </w:p>
        </w:tc>
        <w:tc>
          <w:tcPr>
            <w:tcW w:type="dxa" w:w="6336"/>
            <w:tcMar>
              <w:top w:w="70" w:type="dxa"/>
              <w:start w:w="90" w:type="dxa"/>
              <w:bottom w:w="70" w:type="dxa"/>
              <w:end w:w="90" w:type="dxa"/>
            </w:tcMar>
            <w:vAlign w:val="top"/>
            <w:shd w:fill="F7F9FA"/>
          </w:tcPr>
          <w:p>
            <w:r>
              <w:rPr>
                <w:rFonts w:ascii="Noto Sans" w:hAnsi="Noto Sans" w:eastAsia="Noto Sans"/>
                <w:sz w:val="17"/>
              </w:rPr>
              <w:t>26.7.x; OIDC/OAuth2 e workload client.</w:t>
            </w:r>
          </w:p>
        </w:tc>
      </w:tr>
      <w:tr>
        <w:trPr>
          <w:cantSplit/>
        </w:trPr>
        <w:tc>
          <w:tcPr>
            <w:tcW w:type="dxa" w:w="2304"/>
            <w:tcMar>
              <w:top w:w="70" w:type="dxa"/>
              <w:start w:w="90" w:type="dxa"/>
              <w:bottom w:w="70" w:type="dxa"/>
              <w:end w:w="90" w:type="dxa"/>
            </w:tcMar>
            <w:vAlign w:val="top"/>
          </w:tcPr>
          <w:p>
            <w:r>
              <w:rPr>
                <w:rFonts w:ascii="Noto Sans" w:hAnsi="Noto Sans" w:eastAsia="Noto Sans"/>
                <w:sz w:val="17"/>
              </w:rPr>
              <w:t>OpenBao</w:t>
            </w:r>
          </w:p>
        </w:tc>
        <w:tc>
          <w:tcPr>
            <w:tcW w:type="dxa" w:w="3600"/>
            <w:tcMar>
              <w:top w:w="70" w:type="dxa"/>
              <w:start w:w="90" w:type="dxa"/>
              <w:bottom w:w="70" w:type="dxa"/>
              <w:end w:w="90" w:type="dxa"/>
            </w:tcMar>
            <w:vAlign w:val="top"/>
          </w:tcPr>
          <w:p>
            <w:r>
              <w:rPr>
                <w:rFonts w:ascii="Noto Sans" w:hAnsi="Noto Sans" w:eastAsia="Noto Sans"/>
                <w:sz w:val="17"/>
              </w:rPr>
              <w:t>openbao.org</w:t>
            </w:r>
          </w:p>
        </w:tc>
        <w:tc>
          <w:tcPr>
            <w:tcW w:type="dxa" w:w="6336"/>
            <w:tcMar>
              <w:top w:w="70" w:type="dxa"/>
              <w:start w:w="90" w:type="dxa"/>
              <w:bottom w:w="70" w:type="dxa"/>
              <w:end w:w="90" w:type="dxa"/>
            </w:tcMar>
            <w:vAlign w:val="top"/>
          </w:tcPr>
          <w:p>
            <w:r>
              <w:rPr>
                <w:rFonts w:ascii="Noto Sans" w:hAnsi="Noto Sans" w:eastAsia="Noto Sans"/>
                <w:sz w:val="17"/>
              </w:rPr>
              <w:t>2.6.x; Kubernetes auth, KV/secret engine e PKI.</w:t>
            </w:r>
          </w:p>
        </w:tc>
      </w:tr>
      <w:tr>
        <w:trPr>
          <w:cantSplit/>
        </w:trPr>
        <w:tc>
          <w:tcPr>
            <w:tcW w:type="dxa" w:w="2304"/>
            <w:tcMar>
              <w:top w:w="70" w:type="dxa"/>
              <w:start w:w="90" w:type="dxa"/>
              <w:bottom w:w="70" w:type="dxa"/>
              <w:end w:w="90" w:type="dxa"/>
            </w:tcMar>
            <w:vAlign w:val="top"/>
            <w:shd w:fill="F7F9FA"/>
          </w:tcPr>
          <w:p>
            <w:r>
              <w:rPr>
                <w:rFonts w:ascii="Noto Sans" w:hAnsi="Noto Sans" w:eastAsia="Noto Sans"/>
                <w:sz w:val="17"/>
              </w:rPr>
              <w:t>cert-manager</w:t>
            </w:r>
          </w:p>
        </w:tc>
        <w:tc>
          <w:tcPr>
            <w:tcW w:type="dxa" w:w="3600"/>
            <w:tcMar>
              <w:top w:w="70" w:type="dxa"/>
              <w:start w:w="90" w:type="dxa"/>
              <w:bottom w:w="70" w:type="dxa"/>
              <w:end w:w="90" w:type="dxa"/>
            </w:tcMar>
            <w:vAlign w:val="top"/>
            <w:shd w:fill="F7F9FA"/>
          </w:tcPr>
          <w:p>
            <w:r>
              <w:rPr>
                <w:rFonts w:ascii="Noto Sans" w:hAnsi="Noto Sans" w:eastAsia="Noto Sans"/>
                <w:sz w:val="17"/>
              </w:rPr>
              <w:t>cert-manager.io/docs/releases</w:t>
            </w:r>
          </w:p>
        </w:tc>
        <w:tc>
          <w:tcPr>
            <w:tcW w:type="dxa" w:w="6336"/>
            <w:tcMar>
              <w:top w:w="70" w:type="dxa"/>
              <w:start w:w="90" w:type="dxa"/>
              <w:bottom w:w="70" w:type="dxa"/>
              <w:end w:w="90" w:type="dxa"/>
            </w:tcMar>
            <w:vAlign w:val="top"/>
            <w:shd w:fill="F7F9FA"/>
          </w:tcPr>
          <w:p>
            <w:r>
              <w:rPr>
                <w:rFonts w:ascii="Noto Sans" w:hAnsi="Noto Sans" w:eastAsia="Noto Sans"/>
                <w:sz w:val="17"/>
              </w:rPr>
              <w:t>1.21.x compatibile con Kubernetes 1.33-1.36.</w:t>
            </w:r>
          </w:p>
        </w:tc>
      </w:tr>
      <w:tr>
        <w:trPr>
          <w:cantSplit/>
        </w:trPr>
        <w:tc>
          <w:tcPr>
            <w:tcW w:type="dxa" w:w="2304"/>
            <w:tcMar>
              <w:top w:w="70" w:type="dxa"/>
              <w:start w:w="90" w:type="dxa"/>
              <w:bottom w:w="70" w:type="dxa"/>
              <w:end w:w="90" w:type="dxa"/>
            </w:tcMar>
            <w:vAlign w:val="top"/>
          </w:tcPr>
          <w:p>
            <w:r>
              <w:rPr>
                <w:rFonts w:ascii="Noto Sans" w:hAnsi="Noto Sans" w:eastAsia="Noto Sans"/>
                <w:sz w:val="17"/>
              </w:rPr>
              <w:t>Prometheus</w:t>
            </w:r>
          </w:p>
        </w:tc>
        <w:tc>
          <w:tcPr>
            <w:tcW w:type="dxa" w:w="3600"/>
            <w:tcMar>
              <w:top w:w="70" w:type="dxa"/>
              <w:start w:w="90" w:type="dxa"/>
              <w:bottom w:w="70" w:type="dxa"/>
              <w:end w:w="90" w:type="dxa"/>
            </w:tcMar>
            <w:vAlign w:val="top"/>
          </w:tcPr>
          <w:p>
            <w:r>
              <w:rPr>
                <w:rFonts w:ascii="Noto Sans" w:hAnsi="Noto Sans" w:eastAsia="Noto Sans"/>
                <w:sz w:val="17"/>
              </w:rPr>
              <w:t>prometheus.io/download</w:t>
            </w:r>
          </w:p>
        </w:tc>
        <w:tc>
          <w:tcPr>
            <w:tcW w:type="dxa" w:w="6336"/>
            <w:tcMar>
              <w:top w:w="70" w:type="dxa"/>
              <w:start w:w="90" w:type="dxa"/>
              <w:bottom w:w="70" w:type="dxa"/>
              <w:end w:w="90" w:type="dxa"/>
            </w:tcMar>
            <w:vAlign w:val="top"/>
          </w:tcPr>
          <w:p>
            <w:r>
              <w:rPr>
                <w:rFonts w:ascii="Noto Sans" w:hAnsi="Noto Sans" w:eastAsia="Noto Sans"/>
                <w:sz w:val="17"/>
              </w:rPr>
              <w:t>3.14.x.</w:t>
            </w:r>
          </w:p>
        </w:tc>
      </w:tr>
      <w:tr>
        <w:trPr>
          <w:cantSplit/>
        </w:trPr>
        <w:tc>
          <w:tcPr>
            <w:tcW w:type="dxa" w:w="2304"/>
            <w:tcMar>
              <w:top w:w="70" w:type="dxa"/>
              <w:start w:w="90" w:type="dxa"/>
              <w:bottom w:w="70" w:type="dxa"/>
              <w:end w:w="90" w:type="dxa"/>
            </w:tcMar>
            <w:vAlign w:val="top"/>
            <w:shd w:fill="F7F9FA"/>
          </w:tcPr>
          <w:p>
            <w:r>
              <w:rPr>
                <w:rFonts w:ascii="Noto Sans" w:hAnsi="Noto Sans" w:eastAsia="Noto Sans"/>
                <w:sz w:val="17"/>
              </w:rPr>
              <w:t>Grafana/Loki</w:t>
            </w:r>
          </w:p>
        </w:tc>
        <w:tc>
          <w:tcPr>
            <w:tcW w:type="dxa" w:w="3600"/>
            <w:tcMar>
              <w:top w:w="70" w:type="dxa"/>
              <w:start w:w="90" w:type="dxa"/>
              <w:bottom w:w="70" w:type="dxa"/>
              <w:end w:w="90" w:type="dxa"/>
            </w:tcMar>
            <w:vAlign w:val="top"/>
            <w:shd w:fill="F7F9FA"/>
          </w:tcPr>
          <w:p>
            <w:r>
              <w:rPr>
                <w:rFonts w:ascii="Noto Sans" w:hAnsi="Noto Sans" w:eastAsia="Noto Sans"/>
                <w:sz w:val="17"/>
              </w:rPr>
              <w:t>grafana.com/docs</w:t>
            </w:r>
          </w:p>
        </w:tc>
        <w:tc>
          <w:tcPr>
            <w:tcW w:type="dxa" w:w="6336"/>
            <w:tcMar>
              <w:top w:w="70" w:type="dxa"/>
              <w:start w:w="90" w:type="dxa"/>
              <w:bottom w:w="70" w:type="dxa"/>
              <w:end w:w="90" w:type="dxa"/>
            </w:tcMar>
            <w:vAlign w:val="top"/>
            <w:shd w:fill="F7F9FA"/>
          </w:tcPr>
          <w:p>
            <w:r>
              <w:rPr>
                <w:rFonts w:ascii="Noto Sans" w:hAnsi="Noto Sans" w:eastAsia="Noto Sans"/>
                <w:sz w:val="17"/>
              </w:rPr>
              <w:t>Grafana 13.1.x; Loki 3.7.x.</w:t>
            </w:r>
          </w:p>
        </w:tc>
      </w:tr>
      <w:tr>
        <w:trPr>
          <w:cantSplit/>
        </w:trPr>
        <w:tc>
          <w:tcPr>
            <w:tcW w:type="dxa" w:w="2304"/>
            <w:tcMar>
              <w:top w:w="70" w:type="dxa"/>
              <w:start w:w="90" w:type="dxa"/>
              <w:bottom w:w="70" w:type="dxa"/>
              <w:end w:w="90" w:type="dxa"/>
            </w:tcMar>
            <w:vAlign w:val="top"/>
          </w:tcPr>
          <w:p>
            <w:r>
              <w:rPr>
                <w:rFonts w:ascii="Noto Sans" w:hAnsi="Noto Sans" w:eastAsia="Noto Sans"/>
                <w:sz w:val="17"/>
              </w:rPr>
              <w:t>OpenTelemetry Collector</w:t>
            </w:r>
          </w:p>
        </w:tc>
        <w:tc>
          <w:tcPr>
            <w:tcW w:type="dxa" w:w="3600"/>
            <w:tcMar>
              <w:top w:w="70" w:type="dxa"/>
              <w:start w:w="90" w:type="dxa"/>
              <w:bottom w:w="70" w:type="dxa"/>
              <w:end w:w="90" w:type="dxa"/>
            </w:tcMar>
            <w:vAlign w:val="top"/>
          </w:tcPr>
          <w:p>
            <w:r>
              <w:rPr>
                <w:rFonts w:ascii="Noto Sans" w:hAnsi="Noto Sans" w:eastAsia="Noto Sans"/>
                <w:sz w:val="17"/>
              </w:rPr>
              <w:t>opentelemetry.io/docs/collector</w:t>
            </w:r>
          </w:p>
        </w:tc>
        <w:tc>
          <w:tcPr>
            <w:tcW w:type="dxa" w:w="6336"/>
            <w:tcMar>
              <w:top w:w="70" w:type="dxa"/>
              <w:start w:w="90" w:type="dxa"/>
              <w:bottom w:w="70" w:type="dxa"/>
              <w:end w:w="90" w:type="dxa"/>
            </w:tcMar>
            <w:vAlign w:val="top"/>
          </w:tcPr>
          <w:p>
            <w:r>
              <w:rPr>
                <w:rFonts w:ascii="Noto Sans" w:hAnsi="Noto Sans" w:eastAsia="Noto Sans"/>
                <w:sz w:val="17"/>
              </w:rPr>
              <w:t>0.159.x baseline di Agosto 2026.</w:t>
            </w:r>
          </w:p>
        </w:tc>
      </w:tr>
      <w:tr>
        <w:trPr>
          <w:cantSplit/>
        </w:trPr>
        <w:tc>
          <w:tcPr>
            <w:tcW w:type="dxa" w:w="2304"/>
            <w:tcMar>
              <w:top w:w="70" w:type="dxa"/>
              <w:start w:w="90" w:type="dxa"/>
              <w:bottom w:w="70" w:type="dxa"/>
              <w:end w:w="90" w:type="dxa"/>
            </w:tcMar>
            <w:vAlign w:val="top"/>
            <w:shd w:fill="F7F9FA"/>
          </w:tcPr>
          <w:p>
            <w:r>
              <w:rPr>
                <w:rFonts w:ascii="Noto Sans" w:hAnsi="Noto Sans" w:eastAsia="Noto Sans"/>
                <w:sz w:val="17"/>
              </w:rPr>
              <w:t>Argo CD</w:t>
            </w:r>
          </w:p>
        </w:tc>
        <w:tc>
          <w:tcPr>
            <w:tcW w:type="dxa" w:w="3600"/>
            <w:tcMar>
              <w:top w:w="70" w:type="dxa"/>
              <w:start w:w="90" w:type="dxa"/>
              <w:bottom w:w="70" w:type="dxa"/>
              <w:end w:w="90" w:type="dxa"/>
            </w:tcMar>
            <w:vAlign w:val="top"/>
            <w:shd w:fill="F7F9FA"/>
          </w:tcPr>
          <w:p>
            <w:r>
              <w:rPr>
                <w:rFonts w:ascii="Noto Sans" w:hAnsi="Noto Sans" w:eastAsia="Noto Sans"/>
                <w:sz w:val="17"/>
              </w:rPr>
              <w:t>argo-cd.readthedocs.io</w:t>
            </w:r>
          </w:p>
        </w:tc>
        <w:tc>
          <w:tcPr>
            <w:tcW w:type="dxa" w:w="6336"/>
            <w:tcMar>
              <w:top w:w="70" w:type="dxa"/>
              <w:start w:w="90" w:type="dxa"/>
              <w:bottom w:w="70" w:type="dxa"/>
              <w:end w:w="90" w:type="dxa"/>
            </w:tcMar>
            <w:vAlign w:val="top"/>
            <w:shd w:fill="F7F9FA"/>
          </w:tcPr>
          <w:p>
            <w:r>
              <w:rPr>
                <w:rFonts w:ascii="Noto Sans" w:hAnsi="Noto Sans" w:eastAsia="Noto Sans"/>
                <w:sz w:val="17"/>
              </w:rPr>
              <w:t>3.5.x baseline GitOps.</w:t>
            </w:r>
          </w:p>
        </w:tc>
      </w:tr>
    </w:tbl>
    <w:p>
      <w:pPr>
        <w:pStyle w:val="Heading1"/>
        <w:keepNext/>
        <w:spacing w:before="160"/>
      </w:pPr>
      <w:r>
        <w:rPr>
          <w:rFonts w:ascii="Noto Sans" w:hAnsi="Noto Sans" w:eastAsia="Noto Sans"/>
        </w:rPr>
        <w:t>T23. Gate di approvazione della baseline precedente</w:t>
      </w:r>
    </w:p>
    <w:p>
      <w:pPr>
        <w:pStyle w:val="BodyText"/>
      </w:pPr>
      <w:r>
        <w:rPr>
          <w:rFonts w:ascii="Noto Sans" w:hAnsi="Noto Sans" w:eastAsia="Noto Sans"/>
          <w:sz w:val="18"/>
        </w:rPr>
        <w:t>La baseline precedente includeva l’approvazione del confine con Source Onboarding / Source Configuration, del contratto Extraction Profile → runtime Gateway e dell’enforcement request-side della field projection, nonché l’allineamento con lo standard OUF Source API v2.1 per continuità snapshot/delta e osservabilità delle variazioni che fanno uscire un record dal perimetro di estrazione. Onboarding, classificazione dei campi, ontologie/vocabolari, AI/MCP assistance e decisione umana restano esplicitamente esterni al perimetro del Gateway.</w:t>
      </w:r>
    </w:p>
    <w:tbl>
      <w:tblPr>
        <w:tblStyle w:val="TableGrid"/>
        <w:tblW w:type="auto" w:w="0"/>
        <w:jc w:val="center"/>
        <w:tblLook w:firstColumn="1" w:firstRow="1" w:lastColumn="0" w:lastRow="0" w:noHBand="0" w:noVBand="1" w:val="04A0"/>
      </w:tblPr>
      <w:tblGrid>
        <w:gridCol w:w="9072"/>
      </w:tblGrid>
      <w:tr>
        <w:trPr>
          <w:tblHeader w:val="true"/>
          <w:cantSplit/>
        </w:trPr>
        <w:tc>
          <w:tcPr>
            <w:tcW w:type="dxa" w:w="9072"/>
            <w:shd w:fill="DDEBF3"/>
            <w:tcMar>
              <w:top w:w="70" w:type="dxa"/>
              <w:start w:w="90" w:type="dxa"/>
              <w:bottom w:w="70" w:type="dxa"/>
              <w:end w:w="90" w:type="dxa"/>
            </w:tcMar>
          </w:tcPr>
          <w:p>
            <w:r>
              <w:rPr>
                <w:rFonts w:ascii="Noto Sans" w:hAnsi="Noto Sans" w:eastAsia="Noto Sans"/>
                <w:sz w:val="17"/>
              </w:rPr>
              <w:t>Gate v1.0 - Progetto esecutivo tecnologico</w:t>
              <w:br/>
              <w:t>La baseline tecnologica e approvabile quando sono accettati: stack e version policy; topologia northbound/southbound; cluster e namespace; rete/porte; IAM; secret/PKI; materializzazione GitOps di capability/source manifest; policy APISIX; osservabilita; HA; sizing iniziale; CI/CD; test tecnologici; deliverable del fornitore. Il sizing definitivo viene confermato dal performance test senza riaprire i contratti logico-funzionali, salvo evidenza di incompatibilita.</w:t>
            </w:r>
          </w:p>
        </w:tc>
      </w:tr>
    </w:tbl>
    <w:p>
      <w:pPr>
        <w:pStyle w:val="Heading1"/>
      </w:pPr>
      <w:r>
        <w:rPr>
          <w:rFonts w:ascii="Noto Sans" w:hAnsi="Noto Sans" w:eastAsia="Noto Sans"/>
        </w:rPr>
        <w:t>T24. Allineamento con Ingestion Runtime v1.2</w:t>
      </w:r>
    </w:p>
    <w:p>
      <w:pPr>
        <w:pStyle w:val="BodyText"/>
      </w:pPr>
      <w:r>
        <w:rPr>
          <w:rFonts w:ascii="Noto Sans" w:hAnsi="Noto Sans" w:eastAsia="Noto Sans"/>
          <w:sz w:val="18"/>
        </w:rPr>
        <w:t>La revisione v1.2 del Gateway recepisce i contratti operativi introdotti dall’Ingestion Runtime senza spostare nel Gateway responsabilità di onboarding, schema governance, quarantine resolution, ETL, semantic processing o lineage applicativo. Il Gateway resta boundary enforcement point e routing layer governato; espone e protegge le capability, ma non ne interpreta il significato di dominio.</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Area</w:t>
            </w:r>
          </w:p>
        </w:tc>
        <w:tc>
          <w:tcPr>
            <w:tcW w:type="dxa" w:w="3024"/>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Responsabilità Gateway v1.2</w:t>
            </w:r>
          </w:p>
        </w:tc>
        <w:tc>
          <w:tcPr>
            <w:tcW w:type="dxa" w:w="3024"/>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Responsabilità backend</w:t>
            </w:r>
          </w:p>
        </w:tc>
      </w:tr>
      <w:tr>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Managed file intake</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Autenticazione, autorizzazione coarse, route, media type/size limit, streaming, correlation</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Staging, contentHash, profiling, creazione INTERNAL_MANAGED e onboarding</w:t>
            </w:r>
          </w:p>
        </w:tc>
      </w:tr>
      <w:tr>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Issue / quarantine</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Espone route governate e applica capability/scopes</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Ingestion Runtime mantiene stato, evidence, retry/reprocess/resolve</w:t>
            </w:r>
          </w:p>
        </w:tc>
      </w:tr>
      <w:tr>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Schema surveillance</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Instrada le chiamate discovery/capability verso la Source API; rate limit e TLS</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Runtime/Onboarding confrontano fingerprint/versioni e classificano il drift</w:t>
            </w:r>
          </w:p>
        </w:tc>
      </w:tr>
      <w:tr>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Conversational operations</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Espone capability REST usabili via MCP Server secondo tool eligibility</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Authorization + servizio target applicano fine-grained policy e state guard</w:t>
            </w:r>
          </w:p>
        </w:tc>
      </w:tr>
      <w:tr>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Lineage</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Propaga principal, correlationId, trace context e capability identity</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Ingestion/UDP/Data Lake producono e conservano lineage</w:t>
            </w:r>
          </w:p>
        </w:tc>
      </w:tr>
      <w:tr>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WFS</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Mediazione GetCapabilities/DescribeFeatureType/GetFeature e policy di bordo</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Adapter normalizza; UDP/Object Resolution correla gli Urban Object</w:t>
            </w:r>
          </w:p>
        </w:tc>
      </w:tr>
    </w:tbl>
    <w:p>
      <w:pPr>
        <w:pStyle w:val="Heading1"/>
      </w:pPr>
      <w:r>
        <w:rPr>
          <w:rFonts w:ascii="Noto Sans" w:hAnsi="Noto Sans" w:eastAsia="Noto Sans"/>
        </w:rPr>
        <w:t>T25. Managed File Intake per fonti INTERNAL_MANAGED</w:t>
      </w:r>
    </w:p>
    <w:p>
      <w:pPr>
        <w:pStyle w:val="BodyText"/>
      </w:pPr>
      <w:r>
        <w:rPr>
          <w:rFonts w:ascii="Noto Sans" w:hAnsi="Noto Sans" w:eastAsia="Noto Sans"/>
          <w:sz w:val="18"/>
        </w:rPr>
        <w:t>La piattaforma deve consentire a un utente autorizzato, anche tramite esperienza chatbot/MCP, di caricare file strutturati quali XLSX e CSV come materiale sorgente per una fonte INTERNAL_MANAGED. Il Gateway non interpreta fogli, colonne o semantica: governa esclusivamente il trasporto e l’accesso alla capability di intake.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Capability</w:t>
            </w:r>
          </w:p>
        </w:tc>
        <w:tc>
          <w:tcPr>
            <w:tcW w:type="dxa" w:w="2268"/>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Binding northbound indicativo</w:t>
            </w:r>
          </w:p>
        </w:tc>
        <w:tc>
          <w:tcPr>
            <w:tcW w:type="dxa" w:w="2268"/>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MCP/tool eligibility</w:t>
            </w:r>
          </w:p>
        </w:tc>
        <w:tc>
          <w:tcPr>
            <w:tcW w:type="dxa" w:w="2268"/>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Vincolo Gateway</w:t>
            </w:r>
          </w:p>
        </w:tc>
      </w:tr>
      <w:tr>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ouf.managed-source.file.upload</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POST /api/managed-sources/v1/files</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Sì, tramite Agent Host/attachment flow governato</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Auth, content-type allowlist, size limit, streaming, checksum header opzionale</w:t>
            </w:r>
          </w:p>
        </w:tc>
      </w:tr>
      <w:tr>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ouf.managed-source.file.profile</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POST /api/managed-sources/v1/files/{fileId}/profile</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Sì</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Payload JSON piccolo; nessun parsing nel Gateway</w:t>
            </w:r>
          </w:p>
        </w:tc>
      </w:tr>
      <w:tr>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ouf.managed-source.onboarding.create</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POST /api/managed-sources/v1/files/{fileId}/onboarding</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Sì come proposta/command governato</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Forward identity/delegation context; decisione applicativa al backend</w:t>
            </w:r>
          </w:p>
        </w:tc>
      </w:tr>
      <w:tr>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ouf.managed-source.preview</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GET /api/managed-sources/v1/files/{fileId}/preview</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Sì</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Response size limit, pagination e redaction backend</w:t>
            </w:r>
          </w:p>
        </w:tc>
      </w:tr>
      <w:tr>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ouf.managed-source.ingest</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POST /api/managed-sources/v1/files/{fileId}/ingestions</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Condizionale secondo Authorization Policy</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Il Gateway non verifica che il bundle sia ACTIVE: lo verifica il backend</w:t>
            </w:r>
          </w:p>
        </w:tc>
      </w:tr>
    </w:tbl>
    <w:p>
      <w:pPr>
        <w:pStyle w:val="BodyText"/>
      </w:pPr>
      <w:r>
        <w:rPr>
          <w:rFonts w:ascii="Noto Sans" w:hAnsi="Noto Sans" w:eastAsia="Noto Sans"/>
          <w:sz w:val="18"/>
        </w:rPr>
        <w:t>Per la baseline iniziale XLSX/CSV di dimensione amministrativa possono transitare in streaming attraverso il Gateway verso il servizio di intake. Il Gateway DEVE evitare buffering integrale in memoria e DEVE applicare un limite configurabile per route. File oltre il limite o formati non ammessi producono rispettivamente HTTP 413 o 415. L’eventuale adozione futura di upload diretto su object storage con URL firmati richiede una decisione architetturale esplicita, perché modifica il principio di attraversamento governato del confine OUF.</w:t>
      </w:r>
    </w:p>
    <w:tbl>
      <w:tblPr>
        <w:tblW w:type="auto" w:w="0"/>
        <w:jc w:val="center"/>
        <w:tblLayout w:type="autofit"/>
        <w:tblLook w:firstColumn="1" w:firstRow="1" w:lastColumn="0" w:lastRow="0" w:noHBand="0" w:noVBand="1" w:val="04A0"/>
      </w:tblPr>
      <w:tblGrid>
        <w:gridCol w:w="9072"/>
      </w:tblGrid>
      <w:tr>
        <w:tc>
          <w:tcPr>
            <w:tcW w:type="dxa" w:w="9072"/>
            <w:shd w:fill="F2F2F2"/>
            <w:tcBorders>
              <w:top w:val="single" w:sz="6" w:color="A6A6A6"/>
              <w:left w:val="single" w:sz="14" w:color="0B4F6C"/>
              <w:bottom w:val="single" w:sz="6" w:color="A6A6A6"/>
              <w:right w:val="single" w:sz="6" w:color="A6A6A6"/>
            </w:tcBorders>
          </w:tcPr>
          <w:p>
            <w:pPr>
              <w:spacing w:before="80" w:after="80"/>
            </w:pPr>
            <w:r>
              <w:rPr>
                <w:rFonts w:ascii="Noto Sans" w:hAnsi="Noto Sans" w:eastAsia="DejaVu Sans Mono"/>
                <w:sz w:val="17"/>
              </w:rPr>
              <w:t>Chatbot / Agent Host</w:t>
              <w:br/>
              <w:t xml:space="preserve">        |  file attachment + HUMAN context</w:t>
              <w:br/>
              <w:t xml:space="preserve">        v</w:t>
              <w:br/>
              <w:t>Urban API Gateway</w:t>
              <w:br/>
              <w:t xml:space="preserve">        |  governed upload route</w:t>
              <w:br/>
              <w:t xml:space="preserve">        v</w:t>
              <w:br/>
              <w:t>Managed File Intake / Ingestion Runtime</w:t>
              <w:br/>
              <w:t xml:space="preserve">        |  stagingRef + contentHash</w:t>
              <w:br/>
              <w:t xml:space="preserve">        v</w:t>
              <w:br/>
              <w:t>Source Onboarding (INTERNAL_MANAGED DRAFT)</w:t>
              <w:br/>
              <w:t xml:space="preserve">        |  approval / ACTIVE bundle</w:t>
              <w:br/>
              <w:t xml:space="preserve">        v</w:t>
              <w:br/>
              <w:t>Ingestion Runtime -&gt; UDP</w:t>
            </w:r>
          </w:p>
        </w:tc>
      </w:tr>
    </w:tbl>
    <w:p>
      <w:pPr>
        <w:pStyle w:val="Heading1"/>
      </w:pPr>
      <w:r>
        <w:rPr>
          <w:rFonts w:ascii="Noto Sans" w:hAnsi="Noto Sans" w:eastAsia="Noto Sans"/>
        </w:rPr>
        <w:t>T26. Conversational operational APIs: issue, quarantine e recovery</w:t>
      </w:r>
    </w:p>
    <w:p>
      <w:pPr>
        <w:pStyle w:val="BodyText"/>
      </w:pPr>
      <w:r>
        <w:rPr>
          <w:rFonts w:ascii="Noto Sans" w:hAnsi="Noto Sans" w:eastAsia="Noto Sans"/>
          <w:sz w:val="18"/>
        </w:rPr>
        <w:t>Le capability operative dell’Ingestion Runtime possono essere utilizzate dal chatbot tramite MCP Server quando dichiarate tool-eligible e consentite dall’Authorization Policy Registry. Il Gateway applica autenticazione e autorizzazione coarse-grained; la verifica fine-grained della risorsa, dello stato e delle transizioni resta nel Runtime.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Capability</w:t>
            </w:r>
          </w:p>
        </w:tc>
        <w:tc>
          <w:tcPr>
            <w:tcW w:type="dxa" w:w="2268"/>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Binding indicativo</w:t>
            </w:r>
          </w:p>
        </w:tc>
        <w:tc>
          <w:tcPr>
            <w:tcW w:type="dxa" w:w="2268"/>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MCP</w:t>
            </w:r>
          </w:p>
        </w:tc>
        <w:tc>
          <w:tcPr>
            <w:tcW w:type="dxa" w:w="2268"/>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Nota di sicurezza</w:t>
            </w:r>
          </w:p>
        </w:tc>
      </w:tr>
      <w:tr>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ouf.ingestion.issue.search</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GET /api/ingestion/v1/issues</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Sì</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Filtri source/run/severity; nessun dato oltre policy</w:t>
            </w:r>
          </w:p>
        </w:tc>
      </w:tr>
      <w:tr>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ouf.ingestion.issue.read</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GET /api/ingestion/v1/issues/{issueId}</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Sì</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Evidence redatta secondo data policy</w:t>
            </w:r>
          </w:p>
        </w:tc>
      </w:tr>
      <w:tr>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ouf.ingestion.issue.explain</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POST /api/ingestion/v1/issues/{issueId}/explanations</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Sì</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L’AI sintetizza evidence; non cambia stato autoritativo</w:t>
            </w:r>
          </w:p>
        </w:tc>
      </w:tr>
      <w:tr>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ouf.ingestion.quarantine.list</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GET /api/ingestion/v1/quarantine</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Sì</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Pagination obbligatoria</w:t>
            </w:r>
          </w:p>
        </w:tc>
      </w:tr>
      <w:tr>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ouf.ingestion.quarantine.inspect</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GET /api/ingestion/v1/quarantine/{itemId}</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Sì</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Preview limitata/redatta</w:t>
            </w:r>
          </w:p>
        </w:tc>
      </w:tr>
      <w:tr>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ouf.ingestion.quarantine.retry</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POST /api/ingestion/v1/quarantine/{itemId}/retry</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Sì, se policy</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Command idempotente; backend verifica stato</w:t>
            </w:r>
          </w:p>
        </w:tc>
      </w:tr>
      <w:tr>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ouf.ingestion.quarantine.reprocess</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POST /api/ingestion/v1/quarantine/{itemId}/reprocess</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Sì, se policy</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Target baseline esplicita; nessuna scelta del Gateway</w:t>
            </w:r>
          </w:p>
        </w:tc>
      </w:tr>
      <w:tr>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ouf.ingestion.issue.resolve</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POST /api/ingestion/v1/issues/{issueId}/resolve</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Condizionale</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Richiede capability applicativa; audit end-to-end</w:t>
            </w:r>
          </w:p>
        </w:tc>
      </w:tr>
      <w:tr>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ouf.ingestion.onboarding-review.request</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POST /api/ingestion/v1/issues/{issueId}/request-onboarding-review</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Sì</w:t>
            </w:r>
          </w:p>
        </w:tc>
        <w:tc>
          <w:tcPr>
            <w:tcW w:type="dxa" w:w="2268"/>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Crea richiesta governata, non modifica bundle ACTIVE</w:t>
            </w:r>
          </w:p>
        </w:tc>
      </w:tr>
    </w:tbl>
    <w:p>
      <w:pPr>
        <w:pStyle w:val="BodyText"/>
      </w:pPr>
      <w:r>
        <w:rPr>
          <w:rFonts w:ascii="Noto Sans" w:hAnsi="Noto Sans" w:eastAsia="Noto Sans"/>
          <w:sz w:val="18"/>
        </w:rPr>
        <w:t>Le operazioni mutative DEBBONO accettare e propagare Idempotency-Key quando previsto dal contratto del backend. X-Correlation-ID, trace context, principal e delegatedVia devono essere preservati in modo che una sessione chatbot resti auditabile end-to-end.</w:t>
      </w:r>
    </w:p>
    <w:p>
      <w:pPr>
        <w:pStyle w:val="Heading1"/>
      </w:pPr>
      <w:r>
        <w:rPr>
          <w:rFonts w:ascii="Noto Sans" w:hAnsi="Noto Sans" w:eastAsia="Noto Sans"/>
        </w:rPr>
        <w:t>T27. Schema Surveillance e discovery tecnico</w:t>
      </w:r>
    </w:p>
    <w:p>
      <w:pPr>
        <w:pStyle w:val="BodyText"/>
      </w:pPr>
      <w:r>
        <w:rPr>
          <w:rFonts w:ascii="Noto Sans" w:hAnsi="Noto Sans" w:eastAsia="Noto Sans"/>
          <w:sz w:val="18"/>
        </w:rPr>
        <w:t>La field projection approvata può nascondere al data plane campi nuovi aggiunti dalla sorgente. Per questo la rilevazione del drift non può dipendere soltanto dai payload estratti. Il Gateway deve consentire al Runtime/Onboarding di raggiungere, attraverso route southbound governate, le capability di discovery tecnico previste dalla Source API o dal protocollo sorgente.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Sorgente</w:t>
            </w:r>
          </w:p>
        </w:tc>
        <w:tc>
          <w:tcPr>
            <w:tcW w:type="dxa" w:w="3024"/>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Capability di sorveglianza</w:t>
            </w:r>
          </w:p>
        </w:tc>
        <w:tc>
          <w:tcPr>
            <w:tcW w:type="dxa" w:w="3024"/>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Ruolo Gateway</w:t>
            </w:r>
          </w:p>
        </w:tc>
      </w:tr>
      <w:tr>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REST / Source API</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catalogo tipi, schema per tipo, stati/code list, capabilities</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Route southbound, auth M2M, TLS, rate limit, cache solo se esplicitamente sicura</w:t>
            </w:r>
          </w:p>
        </w:tc>
      </w:tr>
      <w:tr>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WFS</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GetCapabilities + DescribeFeatureType</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Allowlist operation/layer, XML size limit, timeout</w:t>
            </w:r>
          </w:p>
        </w:tc>
      </w:tr>
      <w:tr>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INTERNAL_MANAGED file</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profiling del nuovo upload/versione</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Route northbound verso intake; nessuna interpretazione schema nel Gateway</w:t>
            </w:r>
          </w:p>
        </w:tc>
      </w:tr>
    </w:tbl>
    <w:p>
      <w:pPr>
        <w:pStyle w:val="BodyText"/>
      </w:pPr>
      <w:r>
        <w:rPr>
          <w:rFonts w:ascii="Noto Sans" w:hAnsi="Noto Sans" w:eastAsia="Noto Sans"/>
          <w:sz w:val="18"/>
        </w:rPr>
        <w:t>Il Gateway NON classifica un drift come COMPATIBLE, BREAKING o RE_ONBOARDING_REQUIRED. Tale decisione appartiene al Runtime e al Source Onboarding. Un cambio di schema non autorizza il Gateway a modificare autonomamente field projection, filtri, route o Extraction Profile.</w:t>
      </w:r>
    </w:p>
    <w:p>
      <w:pPr>
        <w:pStyle w:val="Heading1"/>
      </w:pPr>
      <w:r>
        <w:rPr>
          <w:rFonts w:ascii="Noto Sans" w:hAnsi="Noto Sans" w:eastAsia="Noto Sans"/>
        </w:rPr>
        <w:t>T28. Upload e payload hardening</w:t>
      </w:r>
    </w:p>
    <w:tbl>
      <w:tblPr>
        <w:tblStyle w:val="TableGrid"/>
        <w:tblW w:type="auto" w:w="0"/>
        <w:jc w:val="center"/>
        <w:tblLook w:firstColumn="1" w:firstRow="1" w:lastColumn="0" w:lastRow="0" w:noHBand="0" w:noVBand="1" w:val="04A0"/>
      </w:tblPr>
      <w:tblGrid>
        <w:gridCol w:w="4536"/>
        <w:gridCol w:w="4536"/>
      </w:tblGrid>
      <w:tr>
        <w:tc>
          <w:tcPr>
            <w:tcW w:type="dxa" w:w="4536"/>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Controllo</w:t>
            </w:r>
          </w:p>
        </w:tc>
        <w:tc>
          <w:tcPr>
            <w:tcW w:type="dxa" w:w="4536"/>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Baseline v1.2</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Streaming</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Proxy streaming; evitare buffering integrale dei file in memoria.</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Dimensione</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Limite per route; 413 oltre soglia; soglie configurate per ambiente/capability.</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Content type</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Allowlist esplicita per XLSX/CSV e formati previsti; 415 per formati non ammessi.</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Filename</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Trattato come metadata non fidato; nessun path derivato direttamente dal nome client.</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Compressione</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Limiti su decompression ratio quando archivi/compressioni sono ammessi; zip bomb protection nel backend/intake.</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Malware scanning</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Capability riusata se disponibile nella piattaforma; il Gateway non implementa un antivirus proprio.</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Logging</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Mai contenuto file o payload completo negli access log; hash/ref e metadata tecnici soltanto.</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Timeout</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Timeout upload distinto dai normali JSON API; nessun timeout infinito.</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Rate limiting</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Quote per principal/capability, evitando che file upload degradi le API operative.</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Backpressure</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429/503 secondo policy quando intake/backend è saturo; retry-after quando determinabile.</w:t>
            </w:r>
          </w:p>
        </w:tc>
      </w:tr>
    </w:tbl>
    <w:p>
      <w:pPr>
        <w:pStyle w:val="Heading1"/>
      </w:pPr>
      <w:r>
        <w:rPr>
          <w:rFonts w:ascii="Noto Sans" w:hAnsi="Noto Sans" w:eastAsia="Noto Sans"/>
        </w:rPr>
        <w:t>T29. Capability Manifest e Authorization alignment</w:t>
      </w:r>
    </w:p>
    <w:p>
      <w:pPr>
        <w:pStyle w:val="BodyText"/>
      </w:pPr>
      <w:r>
        <w:rPr>
          <w:rFonts w:ascii="Noto Sans" w:hAnsi="Noto Sans" w:eastAsia="Noto Sans"/>
          <w:sz w:val="18"/>
        </w:rPr>
        <w:t>Il Gateway continua a non essere il system of record delle policy applicative. Il Capability Manifest descrive binding, audience/scope coarse, operation type e tool eligibility; l’Authorization Policy Registry governa chi può realmente invocare la capability e il backend applica le guard fine-grained.</w:t>
      </w:r>
    </w:p>
    <w:tbl>
      <w:tblPr>
        <w:tblW w:type="auto" w:w="0"/>
        <w:jc w:val="center"/>
        <w:tblLayout w:type="autofit"/>
        <w:tblLook w:firstColumn="1" w:firstRow="1" w:lastColumn="0" w:lastRow="0" w:noHBand="0" w:noVBand="1" w:val="04A0"/>
      </w:tblPr>
      <w:tblGrid>
        <w:gridCol w:w="9072"/>
      </w:tblGrid>
      <w:tr>
        <w:tc>
          <w:tcPr>
            <w:tcW w:type="dxa" w:w="9072"/>
            <w:shd w:fill="F2F2F2"/>
            <w:tcBorders>
              <w:top w:val="single" w:sz="6" w:color="A6A6A6"/>
              <w:left w:val="single" w:sz="14" w:color="0B4F6C"/>
              <w:bottom w:val="single" w:sz="6" w:color="A6A6A6"/>
              <w:right w:val="single" w:sz="6" w:color="A6A6A6"/>
            </w:tcBorders>
          </w:tcPr>
          <w:p>
            <w:pPr>
              <w:spacing w:before="80" w:after="80"/>
            </w:pPr>
            <w:r>
              <w:rPr>
                <w:rFonts w:ascii="Noto Sans" w:hAnsi="Noto Sans" w:eastAsia="DejaVu Sans Mono"/>
                <w:sz w:val="17"/>
              </w:rPr>
              <w:t>capabilityId: ouf.ingestion.quarantine.retry</w:t>
              <w:br/>
              <w:t>version: 1.0.0</w:t>
              <w:br/>
              <w:t>operationType: command</w:t>
              <w:br/>
              <w:t>bindings:</w:t>
              <w:br/>
              <w:t xml:space="preserve">  rest:</w:t>
              <w:br/>
              <w:t xml:space="preserve">    method: POST</w:t>
              <w:br/>
              <w:t xml:space="preserve">    path: /api/ingestion/v1/quarantine/{itemId}/retry</w:t>
              <w:br/>
              <w:t xml:space="preserve">  mcp:</w:t>
              <w:br/>
              <w:t xml:space="preserve">    toolEligible: true</w:t>
              <w:br/>
              <w:t>security:</w:t>
              <w:br/>
              <w:t xml:space="preserve">  coarseScope: ouf.ingestion.quarantine.retry</w:t>
              <w:br/>
              <w:t xml:space="preserve">  audience: ouf-ingestion</w:t>
              <w:br/>
              <w:t>notes:</w:t>
              <w:br/>
              <w:t xml:space="preserve">  - fine-grained state/resource authorization is backend-owned</w:t>
            </w:r>
          </w:p>
        </w:tc>
      </w:tr>
    </w:tbl>
    <w:p>
      <w:pPr>
        <w:pStyle w:val="BodyText"/>
      </w:pPr>
      <w:r>
        <w:rPr>
          <w:rFonts w:ascii="Noto Sans" w:hAnsi="Noto Sans" w:eastAsia="Noto Sans"/>
          <w:sz w:val="18"/>
        </w:rPr>
        <w:t>Per le identità M2M il Gateway accetta i token/credenziali secondo lo scenario selezionato dalla Authorization &amp; Access Control Specification: A) EVO anche per service identity; B) stesso Keycloak con perimetro tecnico separato; C) Technical IAM OUF minimale. La scelta dell’issuer non modifica la distinzione tra HUMAN_USER, AI_AGENT, MCP_SERVER e SERVICE_IDENTITY.</w:t>
      </w:r>
    </w:p>
    <w:p>
      <w:pPr>
        <w:pStyle w:val="Heading2"/>
      </w:pPr>
      <w:r>
        <w:rPr>
          <w:rFonts w:ascii="Noto Sans" w:hAnsi="Noto Sans"/>
        </w:rPr>
        <w:t>T29.1 Fine-grained Authorization e DataAccessLabel: boundary v1.2</w:t>
      </w:r>
    </w:p>
    <w:p>
      <w:pPr/>
      <w:r>
        <w:rPr>
          <w:rFonts w:ascii="Noto Sans" w:hAnsi="Noto Sans"/>
        </w:rPr>
        <w:t>Il Gateway applica audience/scope/capability coarse-grained e protegge la route. La decisione object/property/geometry/relationship/lineage/raw/history/export avviene nel servizio owner della risorsa secondo Authorization v1.3. Il Gateway NON riceve un payload completo per poi mascherare proprietà sensibili e NON interpreta DataAccessLabel.</w:t>
      </w:r>
    </w:p>
    <w:tbl>
      <w:tblPr>
        <w:tblStyle w:val="TableGrid"/>
        <w:tblW w:type="auto" w:w="0"/>
        <w:tblLook w:firstColumn="1" w:firstRow="1" w:lastColumn="0" w:lastRow="0" w:noHBand="0" w:noVBand="1" w:val="04A0"/>
      </w:tblPr>
      <w:tblGrid>
        <w:gridCol w:w="3024"/>
        <w:gridCol w:w="3024"/>
        <w:gridCol w:w="3024"/>
      </w:tblGrid>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Controllo</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Gateway</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Backend owner</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Token/issuer/audience</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VALIDA</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Può rivalidare context secondo policy.</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Capability coarse scope</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ENFORCE</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ENFORCE fine-grained/resource-level.</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DataAccessLabel</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NON INTERPRETA</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ENFORCE prima di serialization/MCP.</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Raw/history/export</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Route/capability distinta</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Policy e result-scope evaluation.</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Human-only operation</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Richiede profilo/token coerente</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Valida Trusted Approval Surface/challenge/state.</w:t>
            </w:r>
          </w:p>
        </w:tc>
      </w:tr>
    </w:tbl>
    <w:p>
      <w:pPr/>
      <w:r>
        <w:rPr>
          <w:rFonts w:ascii="Noto Sans" w:hAnsi="Noto Sans"/>
        </w:rPr>
        <w:t>GW-AUTH-01 — Una capability consumer-facing nuova è default-deny finché route, manifest, audience/scope e policy backend non sono pubblicati. Wildcard di route non deve creare grant impliciti tra object read, raw, history, lineage o export.</w:t>
      </w:r>
    </w:p>
    <w:p>
      <w:pPr>
        <w:pStyle w:val="Heading2"/>
      </w:pPr>
      <w:r>
        <w:rPr>
          <w:rFonts w:ascii="Noto Sans" w:hAnsi="Noto Sans"/>
        </w:rPr>
        <w:t>T29.2 Query Complexity Governor: separazione da rate limiting</w:t>
      </w:r>
    </w:p>
    <w:p>
      <w:pPr/>
      <w:r>
        <w:rPr>
          <w:rFonts w:ascii="Noto Sans" w:hAnsi="Noto Sans"/>
        </w:rPr>
        <w:t>Rate limiting, request size, connection limits e timeout del Gateway non sostituiscono il Query Complexity Governor UDP. Il Gateway non stima depth, fan-out, costo PostGIS, cardinalità o query plan e non mantiene il correlation/session budget. Se il backend rifiuta un workload per budget, il Gateway propaga Problem Details, codice OUF e Retry-After quando previsto, senza trasformare automaticamente la richiesta in un'altra capability o eseguire retry non richiesti.</w:t>
      </w:r>
    </w:p>
    <w:p>
      <w:pPr/>
      <w:r>
        <w:rPr>
          <w:rFonts w:ascii="Noto Sans" w:hAnsi="Noto Sans"/>
        </w:rPr>
        <w:t>GW-QGOV-01 — Un ALLOW al Gateway non implica ammissibilità del workload nel Governor.</w:t>
      </w:r>
    </w:p>
    <w:p>
      <w:pPr/>
      <w:r>
        <w:rPr>
          <w:rFonts w:ascii="Noto Sans" w:hAnsi="Noto Sans"/>
        </w:rPr>
        <w:t>GW-QGOV-02 — QUERY_CAPABILITY_MISMATCH, TOOL_SELECTION_STALLED e QUERY_REQUIRES_ANALYTICAL_CAPABILITY sono errori applicativi/backend; il Gateway li propaga senza reinterpretarli.</w:t>
      </w:r>
    </w:p>
    <w:p>
      <w:pPr/>
      <w:r>
        <w:rPr>
          <w:rFonts w:ascii="Noto Sans" w:hAnsi="Noto Sans"/>
        </w:rPr>
        <w:t>GW-QGOV-03 — Retry automatici di route non devono moltiplicare una richiesta rifiutata per budget o capability mismatch.</w:t>
      </w:r>
    </w:p>
    <w:p>
      <w:pPr>
        <w:pStyle w:val="Heading2"/>
      </w:pPr>
      <w:r>
        <w:rPr>
          <w:rFonts w:ascii="Noto Sans" w:hAnsi="Noto Sans"/>
        </w:rPr>
        <w:t>T29.3 Durable ACK e semantica HTTP</w:t>
      </w:r>
    </w:p>
    <w:p>
      <w:pPr/>
      <w:r>
        <w:rPr>
          <w:rFonts w:ascii="Noto Sans" w:hAnsi="Noto Sans"/>
        </w:rPr>
        <w:t>HTTP 202 Accepted del Gateway certifica esclusivamente l'accettazione tecnica della richiesta al boundary previsto dal contratto. Non costituisce Durable ACK dell'Ingestion Runtime. Il Durable ACK è emesso dal downstream quando payload/reference e recovery metadata sono persistiti in modo durevole secondo il contratto UDP v1.2; il Gateway non lo sintetizza e non autorizza l'avanzamento del committed watermark.</w:t>
      </w:r>
    </w:p>
    <w:p>
      <w:pPr/>
      <w:r>
        <w:rPr>
          <w:rFonts w:ascii="Noto Sans" w:hAnsi="Noto Sans"/>
        </w:rPr>
        <w:t>GW-ACK-01 — Test E2E deve dimostrare che un 202 del Gateway seguito da failure prima della persistenza downstream non produce avanzamento del watermark e che il replay conserva lo stesso handoffId/idempotency semantics.</w:t>
      </w:r>
    </w:p>
    <w:p>
      <w:pPr>
        <w:pStyle w:val="Heading2"/>
      </w:pPr>
      <w:r>
        <w:rPr>
          <w:rFonts w:ascii="Noto Sans" w:hAnsi="Noto Sans"/>
        </w:rPr>
        <w:t>T29.4 Schema Surveillance preflight passthrough</w:t>
      </w:r>
    </w:p>
    <w:p>
      <w:pPr/>
      <w:r>
        <w:rPr>
          <w:rFonts w:ascii="Noto Sans" w:hAnsi="Noto Sans"/>
        </w:rPr>
        <w:t>Le route di discovery/preflight devono preservare senza reinterpretazione gli indicatori tecnici disponibili dalla sorgente: schemaVersion, schemaFingerprint, catalogVersion, ETag/Last-Modified, collection/layer version e altri token contrattuali. Il Gateway può applicare timeout, auth, rate limit e payload controls, ma non classifica il drift e non modifica il bundle ACTIVE.</w:t>
      </w:r>
    </w:p>
    <w:p>
      <w:pPr/>
      <w:r>
        <w:rPr>
          <w:rFonts w:ascii="Noto Sans" w:hAnsi="Noto Sans"/>
        </w:rPr>
        <w:t>GW-SCHEMA-01 — Se fingerprint/ETag è invariato, il Gateway non forza full schema discovery. Se varia, rende raggiungibile la discovery tecnica governata; COMPATIBLE/BREAKING/RE_ONBOARDING_REQUIRED restano decisioni Runtime/Onboarding.</w:t>
      </w:r>
    </w:p>
    <w:p>
      <w:pPr>
        <w:pStyle w:val="Heading2"/>
      </w:pPr>
      <w:r>
        <w:rPr>
          <w:rFonts w:ascii="Noto Sans" w:hAnsi="Noto Sans"/>
        </w:rPr>
        <w:t>T29.5 Capability Manifest v1.2 e MCP boundary</w:t>
      </w:r>
    </w:p>
    <w:p>
      <w:pPr/>
      <w:r>
        <w:rPr>
          <w:rFonts w:ascii="Noto Sans" w:hAnsi="Noto Sans"/>
        </w:rPr>
        <w:t>Il Gateway pubblica/consuma i binding tecnici del Capability Manifest, ma purpose/useWhen/doNotUseWhen/preferredAlternatives/operationalLimits/resultSemantics/securityNotes sono metadata cognitivi per MCP/Agent Host e non costituiscono enforcement di sicurezza. toolEligible=true abilita l'esposizione, non concede autorizzazione.</w:t>
      </w:r>
    </w:p>
    <w:tbl>
      <w:tblPr>
        <w:tblStyle w:val="TableGrid"/>
        <w:tblW w:type="auto" w:w="0"/>
        <w:tblLook w:firstColumn="1" w:firstRow="1" w:lastColumn="0" w:lastRow="0" w:noHBand="0" w:noVBand="1" w:val="04A0"/>
      </w:tblPr>
      <w:tblGrid>
        <w:gridCol w:w="4536"/>
        <w:gridCol w:w="4536"/>
      </w:tblGrid>
      <w:tr>
        <w:tc>
          <w:tcPr>
            <w:tcW w:type="dxa" w:w="453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Caso</w:t>
            </w:r>
          </w:p>
        </w:tc>
        <w:tc>
          <w:tcPr>
            <w:tcW w:type="dxa" w:w="453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Comportamento Gateway</w:t>
            </w:r>
          </w:p>
        </w:tc>
      </w:tr>
      <w:tr>
        <w:tc>
          <w:tcPr>
            <w:tcW w:type="dxa" w:w="453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urban.graph.neighbors / related_search</w:t>
            </w:r>
          </w:p>
        </w:tc>
        <w:tc>
          <w:tcPr>
            <w:tcW w:type="dxa" w:w="453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Route alla capability registrata; nessun SQL/graph planning.</w:t>
            </w:r>
          </w:p>
        </w:tc>
      </w:tr>
      <w:tr>
        <w:tc>
          <w:tcPr>
            <w:tcW w:type="dxa" w:w="453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urban.graph.traverse</w:t>
            </w:r>
          </w:p>
        </w:tc>
        <w:tc>
          <w:tcPr>
            <w:tcW w:type="dxa" w:w="453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Route distinta e bounded dal backend; nessun maxDepth inventato dal Gateway.</w:t>
            </w:r>
          </w:p>
        </w:tc>
      </w:tr>
      <w:tr>
        <w:tc>
          <w:tcPr>
            <w:tcW w:type="dxa" w:w="453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urban.spatial.*</w:t>
            </w:r>
          </w:p>
        </w:tc>
        <w:tc>
          <w:tcPr>
            <w:tcW w:type="dxa" w:w="453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Protocol/routing + coarse auth; PostGIS semantics nel backend.</w:t>
            </w:r>
          </w:p>
        </w:tc>
      </w:tr>
      <w:tr>
        <w:tc>
          <w:tcPr>
            <w:tcW w:type="dxa" w:w="453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merge/split propose</w:t>
            </w:r>
          </w:p>
        </w:tc>
        <w:tc>
          <w:tcPr>
            <w:tcW w:type="dxa" w:w="453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Route MCP-eligible se catalogo/policy lo consentono.</w:t>
            </w:r>
          </w:p>
        </w:tc>
      </w:tr>
      <w:tr>
        <w:tc>
          <w:tcPr>
            <w:tcW w:type="dxa" w:w="453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merge/split confirm / authority override</w:t>
            </w:r>
          </w:p>
        </w:tc>
        <w:tc>
          <w:tcPr>
            <w:tcW w:type="dxa" w:w="453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Route HUMAN_REQUIRED; nessuna conferma da AI_AGENT/MCP_SERVER.</w:t>
            </w:r>
          </w:p>
        </w:tc>
      </w:tr>
      <w:tr>
        <w:tc>
          <w:tcPr>
            <w:tcW w:type="dxa" w:w="453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source.onboarding.approve/activate</w:t>
            </w:r>
          </w:p>
        </w:tc>
        <w:tc>
          <w:tcPr>
            <w:tcW w:type="dxa" w:w="453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HUMAN_REQUIRED; trusted surface/backend challenge.</w:t>
            </w:r>
          </w:p>
        </w:tc>
      </w:tr>
    </w:tbl>
    <w:p>
      <w:pPr>
        <w:pStyle w:val="Heading2"/>
      </w:pPr>
      <w:r>
        <w:rPr>
          <w:rFonts w:ascii="Noto Sans" w:hAnsi="Noto Sans"/>
        </w:rPr>
        <w:t>T29.6 Managed GIS intake e protocol hardening</w:t>
      </w:r>
    </w:p>
    <w:p>
      <w:pPr/>
      <w:r>
        <w:rPr>
          <w:rFonts w:ascii="Noto Sans" w:hAnsi="Noto Sans"/>
        </w:rPr>
        <w:t>Il Managed File Intake v1.2 estende i formati ammessi, sempre tramite capability esplicite e streaming bounded, a GeoPackage, GeoJSON/JSON-FG, zipped Shapefile, CSV geografico e XLSX geografico. Il Gateway non interpreta CRS, geometry, sheet, layer o stable identifier: tali decisioni appartengono a Onboarding/Profiler.</w:t>
      </w:r>
    </w:p>
    <w:tbl>
      <w:tblPr>
        <w:tblStyle w:val="TableGrid"/>
        <w:tblW w:type="auto" w:w="0"/>
        <w:tblLook w:firstColumn="1" w:firstRow="1" w:lastColumn="0" w:lastRow="0" w:noHBand="0" w:noVBand="1" w:val="04A0"/>
      </w:tblPr>
      <w:tblGrid>
        <w:gridCol w:w="3024"/>
        <w:gridCol w:w="3024"/>
        <w:gridCol w:w="3024"/>
      </w:tblGrid>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Formato</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Gateway</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Onboarding/Runtime</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GeoPackage</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Content type/size/streaming/AV policy</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Layer/schema/CRS/feature identity.</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GeoJSON / JSON-FG</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Transport/payload limit</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Schema/geometry/semantic mapping.</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Shapefile ZIP</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ZIP safety, size, allowlist</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Set file, encoding, CRS, layer semantics.</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CSV/XLSX geo</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Upload hardening</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Coordinate/WKT/CRS/row sourceObjectId.</w:t>
            </w:r>
          </w:p>
        </w:tc>
      </w:tr>
    </w:tbl>
    <w:p>
      <w:pPr/>
      <w:r>
        <w:rPr>
          <w:rFonts w:ascii="Noto Sans" w:hAnsi="Noto Sans"/>
        </w:rPr>
        <w:t>GW-GIS-01 — ZIP upload DEVE applicare limiti a compressed/uncompressed size, entry count, path traversal e archive bomb; nessuna estrazione indiscriminata nel filesystem del Gateway.</w:t>
      </w:r>
    </w:p>
    <w:p>
      <w:pPr/>
      <w:r>
        <w:rPr>
          <w:rFonts w:ascii="Noto Sans" w:hAnsi="Noto Sans"/>
        </w:rPr>
        <w:t>GW-GIS-02 — WMS resta principalmente proxy cartografico; WFS è supportato come sorgente; OGC API - Features è preferito per nuove esposizioni feature-based.</w:t>
      </w:r>
    </w:p>
    <w:p>
      <w:pPr>
        <w:pStyle w:val="Heading2"/>
      </w:pPr>
      <w:r>
        <w:rPr>
          <w:rFonts w:ascii="Noto Sans" w:hAnsi="Noto Sans"/>
        </w:rPr>
        <w:t>T29.7 Authorization context e policy version propagation</w:t>
      </w:r>
    </w:p>
    <w:p>
      <w:pPr/>
      <w:r>
        <w:rPr>
          <w:rFonts w:ascii="Noto Sans" w:hAnsi="Noto Sans"/>
        </w:rPr>
        <w:t>Il Gateway propaga correlationId, principal/service identity, actorType, capabilityId e il contesto autorizzativo necessario al backend secondo il contratto interno. Non propaga token come dati applicativi e non considera trusted un servizio solo perché originato dal cluster. Quando disponibile, policyVersion/authorization decision reference può essere propagata come metadata auditabile, fermo restando che la decisione fine-grained è rivalutata dal backend owner.</w:t>
      </w:r>
    </w:p>
    <w:p>
      <w:pPr>
        <w:pStyle w:val="Heading1"/>
      </w:pPr>
      <w:r>
        <w:rPr>
          <w:rFonts w:ascii="Noto Sans" w:hAnsi="Noto Sans"/>
        </w:rPr>
        <w:t>T30. Conformance v1.2 — Cross-Module Alignment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ID</w:t>
            </w:r>
          </w:p>
        </w:tc>
        <w:tc>
          <w:tcPr>
            <w:tcW w:type="dxa" w:w="3024"/>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Scenario</w:t>
            </w:r>
          </w:p>
        </w:tc>
        <w:tc>
          <w:tcPr>
            <w:tcW w:type="dxa" w:w="3024"/>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Esito richiesto</w:t>
            </w:r>
          </w:p>
        </w:tc>
      </w:tr>
      <w:tr>
        <w:tc>
          <w:tcPr>
            <w:tcW w:type="dxa" w:w="3024"/>
            <w:vAlign w:val="top"/>
            <w:tcBorders>
              <w:top w:val="single" w:sz="4" w:color="D9E2F3"/>
              <w:left w:val="single" w:sz="4" w:color="D9E2F3"/>
              <w:bottom w:val="single" w:sz="4" w:color="D9E2F3"/>
              <w:right w:val="single" w:sz="4" w:color="D9E2F3"/>
            </w:tcBorders>
          </w:tcPr>
          <w:p>
            <w:r>
              <w:rPr>
                <w:rFonts w:ascii="Noto Sans" w:hAnsi="Noto Sans"/>
                <w:sz w:val="17"/>
              </w:rPr>
              <w:t>GW-C01</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Upload XLSX autorizzato via Gateway</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Streaming verso intake, correlation preservata, nessun parsing semantico nel Gateway.</w:t>
            </w:r>
          </w:p>
        </w:tc>
      </w:tr>
      <w:tr>
        <w:tc>
          <w:tcPr>
            <w:tcW w:type="dxa" w:w="3024"/>
            <w:vAlign w:val="top"/>
            <w:tcBorders>
              <w:top w:val="single" w:sz="4" w:color="D9E2F3"/>
              <w:left w:val="single" w:sz="4" w:color="D9E2F3"/>
              <w:bottom w:val="single" w:sz="4" w:color="D9E2F3"/>
              <w:right w:val="single" w:sz="4" w:color="D9E2F3"/>
            </w:tcBorders>
          </w:tcPr>
          <w:p>
            <w:r>
              <w:rPr>
                <w:rFonts w:ascii="Noto Sans" w:hAnsi="Noto Sans"/>
                <w:sz w:val="17"/>
              </w:rPr>
              <w:t>GW-C02</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Upload oltre size limit</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413 senza inoltro al backend.</w:t>
            </w:r>
          </w:p>
        </w:tc>
      </w:tr>
      <w:tr>
        <w:tc>
          <w:tcPr>
            <w:tcW w:type="dxa" w:w="3024"/>
            <w:vAlign w:val="top"/>
            <w:tcBorders>
              <w:top w:val="single" w:sz="4" w:color="D9E2F3"/>
              <w:left w:val="single" w:sz="4" w:color="D9E2F3"/>
              <w:bottom w:val="single" w:sz="4" w:color="D9E2F3"/>
              <w:right w:val="single" w:sz="4" w:color="D9E2F3"/>
            </w:tcBorders>
          </w:tcPr>
          <w:p>
            <w:r>
              <w:rPr>
                <w:rFonts w:ascii="Noto Sans" w:hAnsi="Noto Sans"/>
                <w:sz w:val="17"/>
              </w:rPr>
              <w:t>GW-C03</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Formato file non ammesso</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415; audit tecnico senza contenuto file.</w:t>
            </w:r>
          </w:p>
        </w:tc>
      </w:tr>
      <w:tr>
        <w:tc>
          <w:tcPr>
            <w:tcW w:type="dxa" w:w="3024"/>
            <w:vAlign w:val="top"/>
            <w:tcBorders>
              <w:top w:val="single" w:sz="4" w:color="D9E2F3"/>
              <w:left w:val="single" w:sz="4" w:color="D9E2F3"/>
              <w:bottom w:val="single" w:sz="4" w:color="D9E2F3"/>
              <w:right w:val="single" w:sz="4" w:color="D9E2F3"/>
            </w:tcBorders>
          </w:tcPr>
          <w:p>
            <w:r>
              <w:rPr>
                <w:rFonts w:ascii="Noto Sans" w:hAnsi="Noto Sans"/>
                <w:sz w:val="17"/>
              </w:rPr>
              <w:t>GW-C04</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AI invoca quarantine.retry senza policy</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403/deny; nessun cambio stato backend.</w:t>
            </w:r>
          </w:p>
        </w:tc>
      </w:tr>
      <w:tr>
        <w:tc>
          <w:tcPr>
            <w:tcW w:type="dxa" w:w="3024"/>
            <w:vAlign w:val="top"/>
            <w:tcBorders>
              <w:top w:val="single" w:sz="4" w:color="D9E2F3"/>
              <w:left w:val="single" w:sz="4" w:color="D9E2F3"/>
              <w:bottom w:val="single" w:sz="4" w:color="D9E2F3"/>
              <w:right w:val="single" w:sz="4" w:color="D9E2F3"/>
            </w:tcBorders>
          </w:tcPr>
          <w:p>
            <w:r>
              <w:rPr>
                <w:rFonts w:ascii="Noto Sans" w:hAnsi="Noto Sans"/>
                <w:sz w:val="17"/>
              </w:rPr>
              <w:t>GW-C05</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HUMAN delegato via MCP invoca issue.read</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Principal e delegatedVia propagati e auditabili.</w:t>
            </w:r>
          </w:p>
        </w:tc>
      </w:tr>
      <w:tr>
        <w:tc>
          <w:tcPr>
            <w:tcW w:type="dxa" w:w="3024"/>
            <w:vAlign w:val="top"/>
            <w:tcBorders>
              <w:top w:val="single" w:sz="4" w:color="D9E2F3"/>
              <w:left w:val="single" w:sz="4" w:color="D9E2F3"/>
              <w:bottom w:val="single" w:sz="4" w:color="D9E2F3"/>
              <w:right w:val="single" w:sz="4" w:color="D9E2F3"/>
            </w:tcBorders>
          </w:tcPr>
          <w:p>
            <w:r>
              <w:rPr>
                <w:rFonts w:ascii="Noto Sans" w:hAnsi="Noto Sans"/>
                <w:sz w:val="17"/>
              </w:rPr>
              <w:t>GW-C06</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Schema surveillance REST</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Discovery raggiunge Source API solo via southbound route autorizzata.</w:t>
            </w:r>
          </w:p>
        </w:tc>
      </w:tr>
      <w:tr>
        <w:tc>
          <w:tcPr>
            <w:tcW w:type="dxa" w:w="3024"/>
            <w:vAlign w:val="top"/>
            <w:tcBorders>
              <w:top w:val="single" w:sz="4" w:color="D9E2F3"/>
              <w:left w:val="single" w:sz="4" w:color="D9E2F3"/>
              <w:bottom w:val="single" w:sz="4" w:color="D9E2F3"/>
              <w:right w:val="single" w:sz="4" w:color="D9E2F3"/>
            </w:tcBorders>
          </w:tcPr>
          <w:p>
            <w:r>
              <w:rPr>
                <w:rFonts w:ascii="Noto Sans" w:hAnsi="Noto Sans"/>
                <w:sz w:val="17"/>
              </w:rPr>
              <w:t>GW-C07</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WFS DescribeFeatureType non allowlisted</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Richiesta negata secondo source/layer/operation policy.</w:t>
            </w:r>
          </w:p>
        </w:tc>
      </w:tr>
      <w:tr>
        <w:tc>
          <w:tcPr>
            <w:tcW w:type="dxa" w:w="3024"/>
            <w:vAlign w:val="top"/>
            <w:tcBorders>
              <w:top w:val="single" w:sz="4" w:color="D9E2F3"/>
              <w:left w:val="single" w:sz="4" w:color="D9E2F3"/>
              <w:bottom w:val="single" w:sz="4" w:color="D9E2F3"/>
              <w:right w:val="single" w:sz="4" w:color="D9E2F3"/>
            </w:tcBorders>
          </w:tcPr>
          <w:p>
            <w:r>
              <w:rPr>
                <w:rFonts w:ascii="Noto Sans" w:hAnsi="Noto Sans"/>
                <w:sz w:val="17"/>
              </w:rPr>
              <w:t>GW-C08</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Backend Ingestion saturo</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Gateway applica timeout/backpressure coerente senza perdita di correlation.</w:t>
            </w:r>
          </w:p>
        </w:tc>
      </w:tr>
      <w:tr>
        <w:tc>
          <w:tcPr>
            <w:tcW w:type="dxa" w:w="3024"/>
            <w:vAlign w:val="top"/>
            <w:tcBorders>
              <w:top w:val="single" w:sz="4" w:color="D9E2F3"/>
              <w:left w:val="single" w:sz="4" w:color="D9E2F3"/>
              <w:bottom w:val="single" w:sz="4" w:color="D9E2F3"/>
              <w:right w:val="single" w:sz="4" w:color="D9E2F3"/>
            </w:tcBorders>
          </w:tcPr>
          <w:p>
            <w:r>
              <w:rPr>
                <w:rFonts w:ascii="Noto Sans" w:hAnsi="Noto Sans"/>
                <w:sz w:val="17"/>
              </w:rPr>
              <w:t>GW-C09</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Lineage query verso UDP</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Gateway espone capability ma non costruisce lineage.</w:t>
            </w:r>
          </w:p>
        </w:tc>
      </w:tr>
      <w:tr>
        <w:tc>
          <w:tcPr>
            <w:tcW w:type="dxa" w:w="3024"/>
            <w:vAlign w:val="top"/>
            <w:tcBorders>
              <w:top w:val="single" w:sz="4" w:color="D9E2F3"/>
              <w:left w:val="single" w:sz="4" w:color="D9E2F3"/>
              <w:bottom w:val="single" w:sz="4" w:color="D9E2F3"/>
              <w:right w:val="single" w:sz="4" w:color="D9E2F3"/>
            </w:tcBorders>
          </w:tcPr>
          <w:p>
            <w:r>
              <w:rPr>
                <w:rFonts w:ascii="Noto Sans" w:hAnsi="Noto Sans"/>
                <w:sz w:val="17"/>
              </w:rPr>
              <w:t>GW-C10</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Direct source bypass dal Runtime</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NetworkPolicy/egress policy impedisce l’accesso esterno diretto.</w:t>
            </w:r>
          </w:p>
        </w:tc>
      </w:tr>
      <w:tr>
        <w:tc>
          <w:tcPr>
            <w:tcW w:type="dxa" w:w="3024"/>
            <w:vAlign w:val="top"/>
            <w:tcBorders>
              <w:top w:val="single" w:sz="4" w:color="D9E2F3"/>
              <w:left w:val="single" w:sz="4" w:color="D9E2F3"/>
              <w:bottom w:val="single" w:sz="4" w:color="D9E2F3"/>
              <w:right w:val="single" w:sz="4" w:color="D9E2F3"/>
            </w:tcBorders>
          </w:tcPr>
          <w:p>
            <w:r>
              <w:rPr>
                <w:rFonts w:ascii="Noto Sans" w:hAnsi="Noto Sans"/>
                <w:sz w:val="17"/>
              </w:rPr>
              <w:t>GW-C11</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Tool eligibility false</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Capability non esposta come tool MCP anche se esiste binding REST.</w:t>
            </w:r>
          </w:p>
        </w:tc>
      </w:tr>
      <w:tr>
        <w:tc>
          <w:tcPr>
            <w:tcW w:type="dxa" w:w="3024"/>
            <w:vAlign w:val="top"/>
            <w:tcBorders>
              <w:top w:val="single" w:sz="4" w:color="D9E2F3"/>
              <w:left w:val="single" w:sz="4" w:color="D9E2F3"/>
              <w:bottom w:val="single" w:sz="4" w:color="D9E2F3"/>
              <w:right w:val="single" w:sz="4" w:color="D9E2F3"/>
            </w:tcBorders>
          </w:tcPr>
          <w:p>
            <w:r>
              <w:rPr>
                <w:rFonts w:ascii="Noto Sans" w:hAnsi="Noto Sans"/>
                <w:sz w:val="17"/>
              </w:rPr>
              <w:t>GW-C12</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M2M issuer scenario A/B/C</w:t>
            </w:r>
          </w:p>
        </w:tc>
        <w:tc>
          <w:tcPr>
            <w:tcW w:type="dxa" w:w="3024"/>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Token valido secondo trust configuration; stesso authorization context normalizzato.</w:t>
            </w:r>
          </w:p>
        </w:tc>
      </w:tr>
    </w:tbl>
    <w:tbl>
      <w:tblPr>
        <w:tblStyle w:val="TableGrid"/>
        <w:tblW w:type="auto" w:w="0"/>
        <w:tblLook w:firstColumn="1" w:firstRow="1" w:lastColumn="0" w:lastRow="0" w:noHBand="0" w:noVBand="1" w:val="04A0"/>
      </w:tblPr>
      <w:tblGrid>
        <w:gridCol w:w="3024"/>
        <w:gridCol w:w="3024"/>
        <w:gridCol w:w="3024"/>
      </w:tblGrid>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ID</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Scenario</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Criterio</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GW-A01</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Coarse vs fine auth</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Gateway ALLOW su urban.object.read non espone proprietà/geometry negate dal backend.</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GW-A02</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Raw separation</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urban.object.read non viene instradato come raw/history/export tramite wildcard o fallback.</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GW-A03</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Governor separation</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429/Problem Details del Query Complexity Governor viene propagato senza retry o reinterpretazione.</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GW-A04</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Capability mismatch</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QUERY_CAPABILITY_MISMATCH/TOOL_SELECTION_STALLED vengono propagati invariati al client/MCP layer.</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GW-A05</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202 not Durable ACK</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202 Gateway non consente committed watermark; Durable ACK resta downstream.</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GW-A06</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Schema preflight</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ETag/fingerprint/schemaVersion vengono preservati; Gateway non classifica il drift.</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GW-A07</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Human-only</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AI_AGENT/MCP_SERVER non può confermare merge/split/authority override/approve/activate.</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GW-A08</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GIS streaming</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GeoPackage/GeoJSON/Shapefile ZIP/CSV/XLSX rispettano streaming limits senza buffering integrale.</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GW-A09</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Archive hardening</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ZIP traversal/bomb/entry-limit violations vengono rifiutate prima del backend.</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GW-A10</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M2M internal identity</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Route interna/esterna senza service identity valida è DENY anche da namespace OUF.</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GW-A11</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Context propagation</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correlationId/actorType/capabilityId arrivano al backend senza payload/token leakage nei log.</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GW-A12</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Manifest non-security</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Modifica di purpose/useWhen/securityNotes non cambia automaticamente scope o autorizzazione.</w:t>
            </w:r>
          </w:p>
        </w:tc>
      </w:tr>
    </w:tbl>
    <w:p>
      <w:pPr>
        <w:pStyle w:val="ListBullet"/>
      </w:pPr>
      <w:r>
        <w:rPr>
          <w:rFonts w:ascii="Noto Sans" w:hAnsi="Noto Sans"/>
        </w:rPr>
        <w:t>GW-A13 — Southbound default-deny egress: un Pod/apisisx-southbound non può raggiungere Internet generico, metadata endpoint, loopback o IP non censiti; il pacchetto viene bloccato dalla policy di rete/CNI.</w:t>
      </w:r>
    </w:p>
    <w:p>
      <w:pPr>
        <w:pStyle w:val="ListBullet"/>
      </w:pPr>
      <w:r>
        <w:rPr>
          <w:rFonts w:ascii="Noto Sans" w:hAnsi="Noto Sans"/>
        </w:rPr>
        <w:t>GW-A14 — SSRF adversarial: URL/IP/redirect/DNS rebinding verso destinazioni non allowlistate non vengono trasformati in upstream raggiungibili.</w:t>
      </w:r>
    </w:p>
    <w:p>
      <w:pPr>
        <w:pStyle w:val="ListBullet"/>
      </w:pPr>
      <w:r>
        <w:rPr>
          <w:rFonts w:ascii="Noto Sans" w:hAnsi="Noto Sans"/>
        </w:rPr>
        <w:t>GW-A15 — Registry-bound upstream: ogni route southbound usa endpointRef registrato; input client non può creare o sostituire host/porta arbitrari.</w:t>
      </w:r>
    </w:p>
    <w:p>
      <w:pPr>
        <w:pStyle w:val="ListBullet"/>
      </w:pPr>
      <w:r>
        <w:rPr>
          <w:rFonts w:ascii="Noto Sans" w:hAnsi="Noto Sans"/>
        </w:rPr>
        <w:t>GW-A16 — Ingestion bypass prevention: un Pod Ingestion compromesso senza route southbound autorizzata non può raggiungere direttamente i verticali protetti.</w:t>
      </w:r>
    </w:p>
    <w:p>
      <w:pPr>
        <w:pStyle w:val="ListBullet"/>
      </w:pPr>
      <w:r>
        <w:rPr>
          <w:rFonts w:ascii="Noto Sans" w:hAnsi="Noto Sans"/>
        </w:rPr>
        <w:t>GW-A17 — etcd slow-storage: fault injection su WAL fsync/IO latency genera alert/backpressure e blocca nuove publication prima di destabilizzare ulteriormente il control plane.</w:t>
      </w:r>
    </w:p>
    <w:p>
      <w:pPr>
        <w:pStyle w:val="ListBullet"/>
      </w:pPr>
      <w:r>
        <w:rPr>
          <w:rFonts w:ascii="Noto Sans" w:hAnsi="Noto Sans"/>
        </w:rPr>
        <w:t>GW-A18 — Controlled publication: una sottomissione massiva di modifiche Onboarding viene batch/coalesced e non produce write storm non bounded su etcd.</w:t>
      </w:r>
    </w:p>
    <w:p>
      <w:pPr>
        <w:pStyle w:val="ListBullet"/>
      </w:pPr>
      <w:r>
        <w:rPr>
          <w:rFonts w:ascii="Noto Sans" w:hAnsi="Noto Sans"/>
        </w:rPr>
        <w:t>GW-A19 — Last-known-good: breve indisponibilità etcd impedisce nuove configurazioni ACTIVE ma il data plane già configurato continua a servire secondo il comportamento validato della versione APISIX adottata.</w:t>
      </w:r>
    </w:p>
    <w:p>
      <w:pPr>
        <w:pStyle w:val="ListBullet"/>
      </w:pPr>
      <w:r>
        <w:rPr>
          <w:rFonts w:ascii="Noto Sans" w:hAnsi="Noto Sans"/>
        </w:rPr>
        <w:t>GW-A20 — Quorum/restore: perdita controllata di un membro, restart e restore snapshot non causano configurazioni parziali o ACTIVE non verificate.</w:t>
      </w:r>
    </w:p>
    <w:p>
      <w:pPr>
        <w:pStyle w:val="Heading1"/>
      </w:pPr>
      <w:r>
        <w:t>T31. Baseline di allineamento v1.2</w:t>
      </w:r>
    </w:p>
    <w:p>
      <w:pPr>
        <w:pStyle w:val="BodyText"/>
      </w:pPr>
      <w:r>
        <w:t>Con la v1.2 l'Urban API Gateway è allineato a UDP v1.2, Ingestion Runtime v1.2 EF, Source Onboarding &amp; Configuration v1.3 EF, Authorization &amp; Access Control v1.3 EF e Cross-Module Alignment Matrix v1.1. Restano congelati i confini: Gateway governa attraversamento, identity validation, coarse capability authorization, route binding, rate limiting, payload/stream controls, correlation e protocol governance; non diventa Query Complexity Governor, fine-grained data authorization engine, Durable ACK authority, schema drift classifier, ETL, semantic processor, object resolver, GIS profiler o lineage store. Managed GIS intake, MCP binding e schema preflight sono trasporto governato di capability backend, non nuove responsabilità di dominio. Sono inoltre congelati il southbound egress default-deny con allowlist di rete indipendente dalle route, la protezione SSRF/DNS/redirect, lo storage etcd SSD low-latency con health metrics, la controlled publication batch/coalesced e il comportamento fail-closed sulle nuove configurazioni durante degrado del control plane con last-known-good per il data plane ove supportato e verificato.</w:t>
      </w:r>
    </w:p>
    <w:tbl>
      <w:tblPr>
        <w:tblStyle w:val="TableGrid"/>
        <w:tblW w:type="auto" w:w="0"/>
        <w:jc w:val="center"/>
        <w:tblLook w:firstColumn="1" w:firstRow="1" w:lastColumn="0" w:lastRow="0" w:noHBand="0" w:noVBand="1" w:val="04A0"/>
      </w:tblPr>
      <w:tblGrid>
        <w:gridCol w:w="4536"/>
        <w:gridCol w:w="4536"/>
      </w:tblGrid>
      <w:tr>
        <w:tc>
          <w:tcPr>
            <w:tcW w:type="dxa" w:w="4536"/>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Area</w:t>
            </w:r>
          </w:p>
        </w:tc>
        <w:tc>
          <w:tcPr>
            <w:tcW w:type="dxa" w:w="4536"/>
            <w:shd w:fill="0B4F6C"/>
            <w:vAlign w:val="center"/>
            <w:tcBorders>
              <w:top w:val="single" w:sz="4" w:color="D9E2F3"/>
              <w:left w:val="single" w:sz="4" w:color="D9E2F3"/>
              <w:bottom w:val="single" w:sz="4" w:color="D9E2F3"/>
              <w:right w:val="single" w:sz="4" w:color="D9E2F3"/>
            </w:tcBorders>
          </w:tcPr>
          <w:p>
            <w:r>
              <w:rPr>
                <w:rFonts w:ascii="Noto Sans" w:hAnsi="Noto Sans" w:eastAsia="Noto Sans"/>
                <w:b/>
                <w:color w:val="FFFFFF"/>
                <w:sz w:val="17"/>
              </w:rPr>
              <w:t>Stato v1.2</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Gateway-only external boundary</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FROZEN</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Managed XLSX/CSV intake routes</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FROZEN lato Gateway</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Conversational issue/quarantine routes</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FROZEN lato Gateway</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Schema surveillance transport</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FROZEN; classificazione drift esterna al Gateway</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WFS boundary</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FROZEN; spatial correlation esterna al Gateway</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Capability Manifest / MCP tool eligibility</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FROZEN</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M2M scenarios A/B/C</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SUPPORTED via trust configuration</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Payload/upload hardening</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FROZEN</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Cross-module conformance GW-A01…GW-A20</w:t>
            </w:r>
          </w:p>
        </w:tc>
        <w:tc>
          <w:tcPr>
            <w:tcW w:type="dxa" w:w="4536"/>
            <w:vAlign w:val="top"/>
            <w:tcBorders>
              <w:top w:val="single" w:sz="4" w:color="D9E2F3"/>
              <w:left w:val="single" w:sz="4" w:color="D9E2F3"/>
              <w:bottom w:val="single" w:sz="4" w:color="D9E2F3"/>
              <w:right w:val="single" w:sz="4" w:color="D9E2F3"/>
            </w:tcBorders>
          </w:tcPr>
          <w:p>
            <w:r>
              <w:rPr>
                <w:rFonts w:ascii="Noto Sans" w:hAnsi="Noto Sans"/>
                <w:sz w:val="17"/>
              </w:rPr>
              <w:t>FROZEN — GW-C01..GW-C12 + GW-A01..GW-A20</w:t>
            </w:r>
          </w:p>
        </w:tc>
      </w:tr>
      <w:tr>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Technology Economy Policy</w:t>
            </w:r>
          </w:p>
        </w:tc>
        <w:tc>
          <w:tcPr>
            <w:tcW w:type="dxa" w:w="4536"/>
            <w:vAlign w:val="top"/>
            <w:tcBorders>
              <w:top w:val="single" w:sz="4" w:color="D9E2F3"/>
              <w:left w:val="single" w:sz="4" w:color="D9E2F3"/>
              <w:bottom w:val="single" w:sz="4" w:color="D9E2F3"/>
              <w:right w:val="single" w:sz="4" w:color="D9E2F3"/>
            </w:tcBorders>
          </w:tcPr>
          <w:p>
            <w:pPr>
              <w:spacing w:after="0"/>
            </w:pPr>
            <w:r>
              <w:rPr>
                <w:rFonts w:ascii="Noto Sans" w:hAnsi="Noto Sans" w:eastAsia="Noto Sans"/>
                <w:sz w:val="17"/>
              </w:rPr>
              <w:t>CONFERMATA — nessun nuovo prodotto infrastrutturale dedicato</w:t>
            </w:r>
          </w:p>
        </w:tc>
      </w:tr>
    </w:tbl>
    <w:p>
      <w:r>
        <w:br w:type="page"/>
      </w:r>
    </w:p>
    <w:p>
      <w:pPr>
        <w:pStyle w:val="Heading1"/>
      </w:pPr>
      <w:r>
        <w:t>T32. Implementation Readiness Alignment — Ingestion Gold Standard</w:t>
      </w:r>
    </w:p>
    <w:p>
      <w:r>
        <w:t>Questa parte consolida il documento secondo lo standard esecutivo adottato per OUF prendendo come gold standard l'Ingestion Runtime. Non modifica i bounded context o le decisioni architetturali già definite: rende invece espliciti gli artefatti che un team di sviluppo deve ricevere, i gate di build/release, le responsabilità implementative, le failure semantics, la compatibilità e le evidence richieste. In caso di conflitto editoriale con descrizioni storiche o baseline intermedie, prevalgono le decisioni tecniche correnti del modulo e i contratti cross-module versionati.</w:t>
      </w:r>
    </w:p>
    <w:p>
      <w:r>
        <w:t>Questa sezione costituisce la baseline implementativa corrente del Gateway e prevale, a fini di sviluppo, sulle frasi storiche che descrivono tecnologie o decisioni come ancora future quando tali decisioni sono già state successivamente specificate nel documento.</w:t>
      </w:r>
    </w:p>
    <w:p>
      <w:pPr>
        <w:pStyle w:val="Heading2"/>
      </w:pPr>
      <w:r>
        <w:t>T32.1 Baseline tecnologica corrente</w:t>
      </w:r>
    </w:p>
    <w:tbl>
      <w:tblPr>
        <w:tblStyle w:val="TableGrid"/>
        <w:tblW w:type="auto" w:w="0"/>
        <w:tblLook w:firstColumn="1" w:firstRow="1" w:lastColumn="0" w:lastRow="0" w:noHBand="0" w:noVBand="1" w:val="04A0"/>
      </w:tblPr>
      <w:tblGrid>
        <w:gridCol w:w="4536"/>
        <w:gridCol w:w="4536"/>
      </w:tblGrid>
      <w:tr>
        <w:tc>
          <w:tcPr>
            <w:tcW w:type="dxa" w:w="4536"/>
          </w:tcPr>
          <w:p>
            <w:r>
              <w:t>Area</w:t>
            </w:r>
          </w:p>
        </w:tc>
        <w:tc>
          <w:tcPr>
            <w:tcW w:type="dxa" w:w="4536"/>
          </w:tcPr>
          <w:p>
            <w:r>
              <w:t>Baseline corrente</w:t>
            </w:r>
          </w:p>
        </w:tc>
      </w:tr>
      <w:tr>
        <w:tc>
          <w:tcPr>
            <w:tcW w:type="dxa" w:w="4536"/>
          </w:tcPr>
          <w:p>
            <w:r>
              <w:t>Runtime</w:t>
            </w:r>
          </w:p>
        </w:tc>
        <w:tc>
          <w:tcPr>
            <w:tcW w:type="dxa" w:w="4536"/>
          </w:tcPr>
          <w:p>
            <w:r>
              <w:t>Kubernetes platform OUF</w:t>
            </w:r>
          </w:p>
        </w:tc>
      </w:tr>
      <w:tr>
        <w:tc>
          <w:tcPr>
            <w:tcW w:type="dxa" w:w="4536"/>
          </w:tcPr>
          <w:p>
            <w:r>
              <w:t>Gateway</w:t>
            </w:r>
          </w:p>
        </w:tc>
        <w:tc>
          <w:tcPr>
            <w:tcW w:type="dxa" w:w="4536"/>
          </w:tcPr>
          <w:p>
            <w:r>
              <w:t>Apache APISIX + APISIX Ingress Controller</w:t>
            </w:r>
          </w:p>
        </w:tc>
      </w:tr>
      <w:tr>
        <w:tc>
          <w:tcPr>
            <w:tcW w:type="dxa" w:w="4536"/>
          </w:tcPr>
          <w:p>
            <w:r>
              <w:t>Config store</w:t>
            </w:r>
          </w:p>
        </w:tc>
        <w:tc>
          <w:tcPr>
            <w:tcW w:type="dxa" w:w="4536"/>
          </w:tcPr>
          <w:p>
            <w:r>
              <w:t>etcd HA</w:t>
            </w:r>
          </w:p>
        </w:tc>
      </w:tr>
      <w:tr>
        <w:tc>
          <w:tcPr>
            <w:tcW w:type="dxa" w:w="4536"/>
          </w:tcPr>
          <w:p>
            <w:r>
              <w:t>IAM</w:t>
            </w:r>
          </w:p>
        </w:tc>
        <w:tc>
          <w:tcPr>
            <w:tcW w:type="dxa" w:w="4536"/>
          </w:tcPr>
          <w:p>
            <w:r>
              <w:t>IAM comunale OIDC/OAuth2 oppure Keycloak reference</w:t>
            </w:r>
          </w:p>
        </w:tc>
      </w:tr>
      <w:tr>
        <w:tc>
          <w:tcPr>
            <w:tcW w:type="dxa" w:w="4536"/>
          </w:tcPr>
          <w:p>
            <w:r>
              <w:t>Secrets/PKI</w:t>
            </w:r>
          </w:p>
        </w:tc>
        <w:tc>
          <w:tcPr>
            <w:tcW w:type="dxa" w:w="4536"/>
          </w:tcPr>
          <w:p>
            <w:r>
              <w:t>OpenBao + cert-manager/CA approvata</w:t>
            </w:r>
          </w:p>
        </w:tc>
      </w:tr>
      <w:tr>
        <w:tc>
          <w:tcPr>
            <w:tcW w:type="dxa" w:w="4536"/>
          </w:tcPr>
          <w:p>
            <w:r>
              <w:t>Observability</w:t>
            </w:r>
          </w:p>
        </w:tc>
        <w:tc>
          <w:tcPr>
            <w:tcW w:type="dxa" w:w="4536"/>
          </w:tcPr>
          <w:p>
            <w:r>
              <w:t>Prometheus + Grafana/Loki + OpenTelemetry Collector</w:t>
            </w:r>
          </w:p>
        </w:tc>
      </w:tr>
      <w:tr>
        <w:tc>
          <w:tcPr>
            <w:tcW w:type="dxa" w:w="4536"/>
          </w:tcPr>
          <w:p>
            <w:r>
              <w:t>GitOps</w:t>
            </w:r>
          </w:p>
        </w:tc>
        <w:tc>
          <w:tcPr>
            <w:tcW w:type="dxa" w:w="4536"/>
          </w:tcPr>
          <w:p>
            <w:r>
              <w:t>Argo CD / pipeline OUF approvata</w:t>
            </w:r>
          </w:p>
        </w:tc>
      </w:tr>
    </w:tbl>
    <w:p>
      <w:pPr>
        <w:pStyle w:val="Heading2"/>
      </w:pPr>
      <w:r>
        <w:t>T32.2 Repository e artefatti</w:t>
      </w:r>
    </w:p>
    <w:p>
      <w:r>
        <w:rPr>
          <w:rFonts w:ascii="Liberation Mono" w:hAnsi="Liberation Mono"/>
          <w:sz w:val="17"/>
        </w:rPr>
        <w:t>ouf-gateway/</w:t>
        <w:br/>
      </w:r>
      <w:r>
        <w:rPr>
          <w:rFonts w:ascii="Liberation Mono" w:hAnsi="Liberation Mono"/>
          <w:sz w:val="17"/>
        </w:rPr>
        <w:t>├── ouf-config/</w:t>
        <w:br/>
      </w:r>
      <w:r>
        <w:rPr>
          <w:rFonts w:ascii="Liberation Mono" w:hAnsi="Liberation Mono"/>
          <w:sz w:val="17"/>
        </w:rPr>
        <w:t>│   ├── capabilities/</w:t>
        <w:br/>
      </w:r>
      <w:r>
        <w:rPr>
          <w:rFonts w:ascii="Liberation Mono" w:hAnsi="Liberation Mono"/>
          <w:sz w:val="17"/>
        </w:rPr>
        <w:t>│   ├── source-runtime/</w:t>
        <w:br/>
      </w:r>
      <w:r>
        <w:rPr>
          <w:rFonts w:ascii="Liberation Mono" w:hAnsi="Liberation Mono"/>
          <w:sz w:val="17"/>
        </w:rPr>
        <w:t>│   ├── extraction-runtime/</w:t>
        <w:br/>
      </w:r>
      <w:r>
        <w:rPr>
          <w:rFonts w:ascii="Liberation Mono" w:hAnsi="Liberation Mono"/>
          <w:sz w:val="17"/>
        </w:rPr>
        <w:t>│   ├── routes/northbound/</w:t>
        <w:br/>
      </w:r>
      <w:r>
        <w:rPr>
          <w:rFonts w:ascii="Liberation Mono" w:hAnsi="Liberation Mono"/>
          <w:sz w:val="17"/>
        </w:rPr>
        <w:t>│   ├── routes/southbound/</w:t>
        <w:br/>
      </w:r>
      <w:r>
        <w:rPr>
          <w:rFonts w:ascii="Liberation Mono" w:hAnsi="Liberation Mono"/>
          <w:sz w:val="17"/>
        </w:rPr>
        <w:t>│   ├── policies/</w:t>
        <w:br/>
      </w:r>
      <w:r>
        <w:rPr>
          <w:rFonts w:ascii="Liberation Mono" w:hAnsi="Liberation Mono"/>
          <w:sz w:val="17"/>
        </w:rPr>
        <w:t>│   ├── schemas/</w:t>
        <w:br/>
      </w:r>
      <w:r>
        <w:rPr>
          <w:rFonts w:ascii="Liberation Mono" w:hAnsi="Liberation Mono"/>
          <w:sz w:val="17"/>
        </w:rPr>
        <w:t>│   └── environments/{dev,test,prod}/</w:t>
        <w:br/>
      </w:r>
      <w:r>
        <w:rPr>
          <w:rFonts w:ascii="Liberation Mono" w:hAnsi="Liberation Mono"/>
          <w:sz w:val="17"/>
        </w:rPr>
        <w:t>├── openapi/</w:t>
        <w:br/>
      </w:r>
      <w:r>
        <w:rPr>
          <w:rFonts w:ascii="Liberation Mono" w:hAnsi="Liberation Mono"/>
          <w:sz w:val="17"/>
        </w:rPr>
        <w:t>├── helm/</w:t>
        <w:br/>
      </w:r>
      <w:r>
        <w:rPr>
          <w:rFonts w:ascii="Liberation Mono" w:hAnsi="Liberation Mono"/>
          <w:sz w:val="17"/>
        </w:rPr>
        <w:t>├── tests/contract/</w:t>
        <w:br/>
      </w:r>
      <w:r>
        <w:rPr>
          <w:rFonts w:ascii="Liberation Mono" w:hAnsi="Liberation Mono"/>
          <w:sz w:val="17"/>
        </w:rPr>
        <w:t>├── tests/security/</w:t>
        <w:br/>
      </w:r>
      <w:r>
        <w:rPr>
          <w:rFonts w:ascii="Liberation Mono" w:hAnsi="Liberation Mono"/>
          <w:sz w:val="17"/>
        </w:rPr>
        <w:t>├── tests/e2e/</w:t>
        <w:br/>
      </w:r>
      <w:r>
        <w:rPr>
          <w:rFonts w:ascii="Liberation Mono" w:hAnsi="Liberation Mono"/>
          <w:sz w:val="17"/>
        </w:rPr>
        <w:t>├── docs/runbook/</w:t>
        <w:br/>
      </w:r>
      <w:r>
        <w:rPr>
          <w:rFonts w:ascii="Liberation Mono" w:hAnsi="Liberation Mono"/>
          <w:sz w:val="17"/>
        </w:rPr>
        <w:t>└── sbom/</w:t>
        <w:br/>
      </w:r>
    </w:p>
    <w:p>
      <w:pPr>
        <w:pStyle w:val="ListBullet"/>
      </w:pPr>
      <w:r>
        <w:t>Onboarding pubblica artefatti/versioni; la pipeline Gateway valida e compila route/plugin; il Gateway runtime non modifica autonomamente il source of truth.</w:t>
      </w:r>
    </w:p>
    <w:p>
      <w:pPr>
        <w:pStyle w:val="ListBullet"/>
      </w:pPr>
      <w:r>
        <w:t>CapabilityId e binding fisico restano separati; ogni endpoint consumer-facing referenzia una capability versionata.</w:t>
      </w:r>
    </w:p>
    <w:p>
      <w:pPr>
        <w:pStyle w:val="ListBullet"/>
      </w:pPr>
      <w:r>
        <w:t>Extraction runtime è una proiezione tecnica del bundle approvato e non contiene semantica/authority decisionale.</w:t>
      </w:r>
    </w:p>
    <w:p>
      <w:pPr>
        <w:pStyle w:val="Heading2"/>
      </w:pPr>
      <w:r>
        <w:t>T32.3 CI/CD e release gate</w:t>
      </w:r>
    </w:p>
    <w:tbl>
      <w:tblPr>
        <w:tblStyle w:val="TableGrid"/>
        <w:tblW w:type="auto" w:w="0"/>
        <w:tblLook w:firstColumn="1" w:firstRow="1" w:lastColumn="0" w:lastRow="0" w:noHBand="0" w:noVBand="1" w:val="04A0"/>
      </w:tblPr>
      <w:tblGrid>
        <w:gridCol w:w="4536"/>
        <w:gridCol w:w="4536"/>
      </w:tblGrid>
      <w:tr>
        <w:tc>
          <w:tcPr>
            <w:tcW w:type="dxa" w:w="4536"/>
          </w:tcPr>
          <w:p>
            <w:r>
              <w:t>Stage</w:t>
            </w:r>
          </w:p>
        </w:tc>
        <w:tc>
          <w:tcPr>
            <w:tcW w:type="dxa" w:w="4536"/>
          </w:tcPr>
          <w:p>
            <w:r>
              <w:t>Controllo</w:t>
            </w:r>
          </w:p>
        </w:tc>
      </w:tr>
      <w:tr>
        <w:tc>
          <w:tcPr>
            <w:tcW w:type="dxa" w:w="4536"/>
          </w:tcPr>
          <w:p>
            <w:r>
              <w:t>Lint/contract</w:t>
            </w:r>
          </w:p>
        </w:tc>
        <w:tc>
          <w:tcPr>
            <w:tcW w:type="dxa" w:w="4536"/>
          </w:tcPr>
          <w:p>
            <w:r>
              <w:t>YAML/JSON Schema/OpenAPI + referential integrity capability/source/extraction/route.</w:t>
            </w:r>
          </w:p>
        </w:tc>
      </w:tr>
      <w:tr>
        <w:tc>
          <w:tcPr>
            <w:tcW w:type="dxa" w:w="4536"/>
          </w:tcPr>
          <w:p>
            <w:r>
              <w:t>Security</w:t>
            </w:r>
          </w:p>
        </w:tc>
        <w:tc>
          <w:tcPr>
            <w:tcW w:type="dxa" w:w="4536"/>
          </w:tcPr>
          <w:p>
            <w:r>
              <w:t>OIDC/mTLS policies, secret scan, TLS/cipher, admin API isolation, SSRF/egress allowlist, NetworkPolicy.</w:t>
            </w:r>
          </w:p>
        </w:tc>
      </w:tr>
      <w:tr>
        <w:tc>
          <w:tcPr>
            <w:tcW w:type="dxa" w:w="4536"/>
          </w:tcPr>
          <w:p>
            <w:r>
              <w:t>Config compile</w:t>
            </w:r>
          </w:p>
        </w:tc>
        <w:tc>
          <w:tcPr>
            <w:tcW w:type="dxa" w:w="4536"/>
          </w:tcPr>
          <w:p>
            <w:r>
              <w:t>diff, route/plugin validation, controlled publication; no direct Onboarding→etcd writes.</w:t>
            </w:r>
          </w:p>
        </w:tc>
      </w:tr>
      <w:tr>
        <w:tc>
          <w:tcPr>
            <w:tcW w:type="dxa" w:w="4536"/>
          </w:tcPr>
          <w:p>
            <w:r>
              <w:t>Integration</w:t>
            </w:r>
          </w:p>
        </w:tc>
        <w:tc>
          <w:tcPr>
            <w:tcW w:type="dxa" w:w="4536"/>
          </w:tcPr>
          <w:p>
            <w:r>
              <w:t>mock verticali/WFS/WMS, IAM test, secret manager/PKI, backend capability stubs.</w:t>
            </w:r>
          </w:p>
        </w:tc>
      </w:tr>
      <w:tr>
        <w:tc>
          <w:tcPr>
            <w:tcW w:type="dxa" w:w="4536"/>
          </w:tcPr>
          <w:p>
            <w:r>
              <w:t>HA/fault</w:t>
            </w:r>
          </w:p>
        </w:tc>
        <w:tc>
          <w:tcPr>
            <w:tcW w:type="dxa" w:w="4536"/>
          </w:tcPr>
          <w:p>
            <w:r>
              <w:t>APISIX replica loss, etcd member loss, last-known-good config, restore snapshot.</w:t>
            </w:r>
          </w:p>
        </w:tc>
      </w:tr>
      <w:tr>
        <w:tc>
          <w:tcPr>
            <w:tcW w:type="dxa" w:w="4536"/>
          </w:tcPr>
          <w:p>
            <w:r>
              <w:t>Performance</w:t>
            </w:r>
          </w:p>
        </w:tc>
        <w:tc>
          <w:tcPr>
            <w:tcW w:type="dxa" w:w="4536"/>
          </w:tcPr>
          <w:p>
            <w:r>
              <w:t>northbound/southbound throughput/latency, rate limit, streaming/payload limits, config propagation.</w:t>
            </w:r>
          </w:p>
        </w:tc>
      </w:tr>
      <w:tr>
        <w:tc>
          <w:tcPr>
            <w:tcW w:type="dxa" w:w="4536"/>
          </w:tcPr>
          <w:p>
            <w:r>
              <w:t>Package</w:t>
            </w:r>
          </w:p>
        </w:tc>
        <w:tc>
          <w:tcPr>
            <w:tcW w:type="dxa" w:w="4536"/>
          </w:tcPr>
          <w:p>
            <w:r>
              <w:t>Helm/Gateway API/PluginConfig, config artifacts, SBOM/checksum/provenance.</w:t>
            </w:r>
          </w:p>
        </w:tc>
      </w:tr>
      <w:tr>
        <w:tc>
          <w:tcPr>
            <w:tcW w:type="dxa" w:w="4536"/>
          </w:tcPr>
          <w:p>
            <w:r>
              <w:t>Acceptance</w:t>
            </w:r>
          </w:p>
        </w:tc>
        <w:tc>
          <w:tcPr>
            <w:tcW w:type="dxa" w:w="4536"/>
          </w:tcPr>
          <w:p>
            <w:r>
              <w:t>Bootstrap/delta continuity, boundary enforcement, correlation/error passthrough, restore/runbook evidence.</w:t>
            </w:r>
          </w:p>
        </w:tc>
      </w:tr>
    </w:tbl>
    <w:p>
      <w:pPr>
        <w:pStyle w:val="Heading2"/>
      </w:pPr>
      <w:r>
        <w:t>T32.4 Failure taxonomy e operational semantics</w:t>
      </w:r>
    </w:p>
    <w:tbl>
      <w:tblPr>
        <w:tblStyle w:val="TableGrid"/>
        <w:tblW w:type="auto" w:w="0"/>
        <w:tblLook w:firstColumn="1" w:firstRow="1" w:lastColumn="0" w:lastRow="0" w:noHBand="0" w:noVBand="1" w:val="04A0"/>
      </w:tblPr>
      <w:tblGrid>
        <w:gridCol w:w="4536"/>
        <w:gridCol w:w="4536"/>
      </w:tblGrid>
      <w:tr>
        <w:tc>
          <w:tcPr>
            <w:tcW w:type="dxa" w:w="4536"/>
          </w:tcPr>
          <w:p>
            <w:r>
              <w:t>Failure</w:t>
            </w:r>
          </w:p>
        </w:tc>
        <w:tc>
          <w:tcPr>
            <w:tcW w:type="dxa" w:w="4536"/>
          </w:tcPr>
          <w:p>
            <w:r>
              <w:t>Comportamento</w:t>
            </w:r>
          </w:p>
        </w:tc>
      </w:tr>
      <w:tr>
        <w:tc>
          <w:tcPr>
            <w:tcW w:type="dxa" w:w="4536"/>
          </w:tcPr>
          <w:p>
            <w:r>
              <w:t>Backend unavailable</w:t>
            </w:r>
          </w:p>
        </w:tc>
        <w:tc>
          <w:tcPr>
            <w:tcW w:type="dxa" w:w="4536"/>
          </w:tcPr>
          <w:p>
            <w:r>
              <w:t>bounded 5xx/Problem Details; nessun fallback su URL non governato.</w:t>
            </w:r>
          </w:p>
        </w:tc>
      </w:tr>
      <w:tr>
        <w:tc>
          <w:tcPr>
            <w:tcW w:type="dxa" w:w="4536"/>
          </w:tcPr>
          <w:p>
            <w:r>
              <w:t>Source unavailable</w:t>
            </w:r>
          </w:p>
        </w:tc>
        <w:tc>
          <w:tcPr>
            <w:tcW w:type="dxa" w:w="4536"/>
          </w:tcPr>
          <w:p>
            <w:r>
              <w:t>timeout/retry policy di bordo; stato applicativo resta al Runtime/Onboarding.</w:t>
            </w:r>
          </w:p>
        </w:tc>
      </w:tr>
      <w:tr>
        <w:tc>
          <w:tcPr>
            <w:tcW w:type="dxa" w:w="4536"/>
          </w:tcPr>
          <w:p>
            <w:r>
              <w:t>etcd/control plane degraded</w:t>
            </w:r>
          </w:p>
        </w:tc>
        <w:tc>
          <w:tcPr>
            <w:tcW w:type="dxa" w:w="4536"/>
          </w:tcPr>
          <w:p>
            <w:r>
              <w:t>nessuna nuova config ACTIVE; data plane serve last-known-good ove supportato.</w:t>
            </w:r>
          </w:p>
        </w:tc>
      </w:tr>
      <w:tr>
        <w:tc>
          <w:tcPr>
            <w:tcW w:type="dxa" w:w="4536"/>
          </w:tcPr>
          <w:p>
            <w:r>
              <w:t>IAM unavailable</w:t>
            </w:r>
          </w:p>
        </w:tc>
        <w:tc>
          <w:tcPr>
            <w:tcW w:type="dxa" w:w="4536"/>
          </w:tcPr>
          <w:p>
            <w:r>
              <w:t>nuove richieste protette fail closed secondo token/introspection profile; nessun bypass.</w:t>
            </w:r>
          </w:p>
        </w:tc>
      </w:tr>
      <w:tr>
        <w:tc>
          <w:tcPr>
            <w:tcW w:type="dxa" w:w="4536"/>
          </w:tcPr>
          <w:p>
            <w:r>
              <w:t>Secret/PKI unavailable</w:t>
            </w:r>
          </w:p>
        </w:tc>
        <w:tc>
          <w:tcPr>
            <w:tcW w:type="dxa" w:w="4536"/>
          </w:tcPr>
          <w:p>
            <w:r>
              <w:t>startup/readiness bounded; nessun credential fallback in chiaro.</w:t>
            </w:r>
          </w:p>
        </w:tc>
      </w:tr>
      <w:tr>
        <w:tc>
          <w:tcPr>
            <w:tcW w:type="dxa" w:w="4536"/>
          </w:tcPr>
          <w:p>
            <w:r>
              <w:t>Payload/stream over limit</w:t>
            </w:r>
          </w:p>
        </w:tc>
        <w:tc>
          <w:tcPr>
            <w:tcW w:type="dxa" w:w="4536"/>
          </w:tcPr>
          <w:p>
            <w:r>
              <w:t>rifiuto controllato; nessuna elaborazione semantica.</w:t>
            </w:r>
          </w:p>
        </w:tc>
      </w:tr>
      <w:tr>
        <w:tc>
          <w:tcPr>
            <w:tcW w:type="dxa" w:w="4536"/>
          </w:tcPr>
          <w:p>
            <w:r>
              <w:t>Capability backend error</w:t>
            </w:r>
          </w:p>
        </w:tc>
        <w:tc>
          <w:tcPr>
            <w:tcW w:type="dxa" w:w="4536"/>
          </w:tcPr>
          <w:p>
            <w:r>
              <w:t>preserva Problem Details/remediation machine-readable senza reinterpretazione.</w:t>
            </w:r>
          </w:p>
        </w:tc>
      </w:tr>
      <w:tr>
        <w:tc>
          <w:tcPr>
            <w:tcW w:type="dxa" w:w="4536"/>
          </w:tcPr>
          <w:p>
            <w:r>
              <w:t>Rate limit exhausted</w:t>
            </w:r>
          </w:p>
        </w:tc>
        <w:tc>
          <w:tcPr>
            <w:tcW w:type="dxa" w:w="4536"/>
          </w:tcPr>
          <w:p>
            <w:r>
              <w:t>429/coarse rate control; non sostituisce Query Complexity Governor backend.</w:t>
            </w:r>
          </w:p>
        </w:tc>
      </w:tr>
    </w:tbl>
    <w:p>
      <w:pPr>
        <w:pStyle w:val="Heading2"/>
      </w:pPr>
      <w:r>
        <w:t>T32.5 Compatibility &amp; rollout</w:t>
      </w:r>
    </w:p>
    <w:p>
      <w:pPr>
        <w:pStyle w:val="ListBullet"/>
      </w:pPr>
      <w:r>
        <w:t>Route/capability/source manifest sono versionati e staged per ambiente; breaking config segue rollout controllato con last-known-good.</w:t>
      </w:r>
    </w:p>
    <w:p>
      <w:pPr>
        <w:pStyle w:val="ListBullet"/>
      </w:pPr>
      <w:r>
        <w:t>Gateway API/CRD vendor-specific restano dettaglio di deployment; il capability contract non dipende dall’URL fisico.</w:t>
      </w:r>
    </w:p>
    <w:p>
      <w:pPr>
        <w:pStyle w:val="ListBullet"/>
      </w:pPr>
      <w:r>
        <w:t>Patch di prodotto supportate possono essere adottate previa regression/security test senza modificare i contratti OUF.</w:t>
      </w:r>
    </w:p>
    <w:p>
      <w:pPr>
        <w:pStyle w:val="ListBullet"/>
      </w:pPr>
      <w:r>
        <w:t>Upgrade etcd/APISIX/Ingress Controller deve includere compatibility matrix e restore/rollback rehearsal.</w:t>
      </w:r>
    </w:p>
    <w:p>
      <w:pPr>
        <w:pStyle w:val="Heading2"/>
      </w:pPr>
      <w:r>
        <w:t>T32.6 Deliverable e Definition of Done</w:t>
      </w:r>
    </w:p>
    <w:p>
      <w:pPr>
        <w:pStyle w:val="ListBullet"/>
      </w:pPr>
      <w:r>
        <w:t>Helm values/manifests, GatewayClass/Gateway/HTTPRoute/PluginConfig e repository ouf-config versionati.</w:t>
      </w:r>
    </w:p>
    <w:p>
      <w:pPr>
        <w:pStyle w:val="ListBullet"/>
      </w:pPr>
      <w:r>
        <w:t>OIDC/mTLS, OpenBao secretRef/PKI, NetworkPolicy e DNS/LB/firewall matrix per ambiente.</w:t>
      </w:r>
    </w:p>
    <w:p>
      <w:pPr>
        <w:pStyle w:val="ListBullet"/>
      </w:pPr>
      <w:r>
        <w:t>Dashboard/alert rules, tracing/logging config e runbook inclusi etcd backup/restore e certificate rotation.</w:t>
      </w:r>
    </w:p>
    <w:p>
      <w:pPr>
        <w:pStyle w:val="ListBullet"/>
      </w:pPr>
      <w:r>
        <w:t>Automated functional/contract/security/performance/fault tests con evidence package.</w:t>
      </w:r>
    </w:p>
    <w:p>
      <w:pPr>
        <w:pStyle w:val="ListBullet"/>
      </w:pPr>
      <w:r>
        <w:t>E2E dimostra che nessun consumer o workload bypassa il Gateway per source/backend esterni e che correlation/identity/error context sono propagati correttamente.</w:t>
      </w:r>
    </w:p>
    <w:p>
      <w:pPr>
        <w:pStyle w:val="Heading2"/>
      </w:pPr>
      <w:r>
        <w:t>T32.7 Decisioni/configurazioni di ambiente da chiudere</w:t>
      </w:r>
    </w:p>
    <w:tbl>
      <w:tblPr>
        <w:tblStyle w:val="TableGrid"/>
        <w:tblW w:type="auto" w:w="0"/>
        <w:tblLook w:firstColumn="1" w:firstRow="1" w:lastColumn="0" w:lastRow="0" w:noHBand="0" w:noVBand="1" w:val="04A0"/>
      </w:tblPr>
      <w:tblGrid>
        <w:gridCol w:w="4536"/>
        <w:gridCol w:w="4536"/>
      </w:tblGrid>
      <w:tr>
        <w:tc>
          <w:tcPr>
            <w:tcW w:type="dxa" w:w="4536"/>
          </w:tcPr>
          <w:p>
            <w:r>
              <w:t>Voce</w:t>
            </w:r>
          </w:p>
        </w:tc>
        <w:tc>
          <w:tcPr>
            <w:tcW w:type="dxa" w:w="4536"/>
          </w:tcPr>
          <w:p>
            <w:r>
              <w:t>Scadenza</w:t>
            </w:r>
          </w:p>
        </w:tc>
      </w:tr>
      <w:tr>
        <w:tc>
          <w:tcPr>
            <w:tcW w:type="dxa" w:w="4536"/>
          </w:tcPr>
          <w:p>
            <w:r>
              <w:t>Issuer IAM/realm/client e scenario M2M effettivo</w:t>
            </w:r>
          </w:p>
        </w:tc>
        <w:tc>
          <w:tcPr>
            <w:tcW w:type="dxa" w:w="4536"/>
          </w:tcPr>
          <w:p>
            <w:r>
              <w:t>prima dell’integration environment.</w:t>
            </w:r>
          </w:p>
        </w:tc>
      </w:tr>
      <w:tr>
        <w:tc>
          <w:tcPr>
            <w:tcW w:type="dxa" w:w="4536"/>
          </w:tcPr>
          <w:p>
            <w:r>
              <w:t>DNS/VIP/load balancer/firewall definitivi</w:t>
            </w:r>
          </w:p>
        </w:tc>
        <w:tc>
          <w:tcPr>
            <w:tcW w:type="dxa" w:w="4536"/>
          </w:tcPr>
          <w:p>
            <w:r>
              <w:t>prima del deployment staging condiviso.</w:t>
            </w:r>
          </w:p>
        </w:tc>
      </w:tr>
      <w:tr>
        <w:tc>
          <w:tcPr>
            <w:tcW w:type="dxa" w:w="4536"/>
          </w:tcPr>
          <w:p>
            <w:r>
              <w:t>CA/PKI e modalità OpenBao/secret manager effettiva</w:t>
            </w:r>
          </w:p>
        </w:tc>
        <w:tc>
          <w:tcPr>
            <w:tcW w:type="dxa" w:w="4536"/>
          </w:tcPr>
          <w:p>
            <w:r>
              <w:t>prima dei test TLS/mTLS end-to-end.</w:t>
            </w:r>
          </w:p>
        </w:tc>
      </w:tr>
      <w:tr>
        <w:tc>
          <w:tcPr>
            <w:tcW w:type="dxa" w:w="4536"/>
          </w:tcPr>
          <w:p>
            <w:r>
              <w:t>Storage class/IOPS etcd</w:t>
            </w:r>
          </w:p>
        </w:tc>
        <w:tc>
          <w:tcPr>
            <w:tcW w:type="dxa" w:w="4536"/>
          </w:tcPr>
          <w:p>
            <w:r>
              <w:t>prima del performance/HA acceptance.</w:t>
            </w:r>
          </w:p>
        </w:tc>
      </w:tr>
      <w:tr>
        <w:tc>
          <w:tcPr>
            <w:tcW w:type="dxa" w:w="4536"/>
          </w:tcPr>
          <w:p>
            <w:r>
              <w:t>Sizing finale</w:t>
            </w:r>
          </w:p>
        </w:tc>
        <w:tc>
          <w:tcPr>
            <w:tcW w:type="dxa" w:w="4536"/>
          </w:tcPr>
          <w:p>
            <w:r>
              <w:t>confermato dal load test; non deve cambiare i contratti logico-funzionali salvo incompatibilità dimostrata.</w:t>
            </w:r>
          </w:p>
        </w:tc>
      </w:tr>
    </w:tbl>
    <w:p>
      <w:pPr>
        <w:pStyle w:val="Heading1"/>
      </w:pPr>
      <w:r>
        <w:t>T33. Implementation Readiness Closure — Ingestion-equivalent depth</w:t>
      </w:r>
    </w:p>
    <w:p>
      <w:r>
        <w:rPr>
          <w:b/>
        </w:rPr>
        <w:t xml:space="preserve">Norma di lettura. </w:t>
      </w:r>
      <w:r>
        <w:t>Le sezioni T33.x costituiscono la baseline implementativa normativa v1.3. Le formulazioni storiche che descrivono come future scelte già assunte nelle sezioni tecnologiche restano solo come tracciabilità documentale e non sono operative. In caso di conflitto, per sviluppo, deployment, collaudo e operations prevale T33.</w:t>
      </w:r>
    </w:p>
    <w:p>
      <w:pPr>
        <w:pStyle w:val="Heading2"/>
      </w:pPr>
      <w:r>
        <w:t>T33.1 Baseline tecnologica autoritativa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304"/>
            <w:shd w:fill="D9EAF7"/>
            <w:vAlign w:val="center"/>
          </w:tcPr>
          <w:p>
            <w:r>
              <w:rPr>
                <w:b/>
              </w:rPr>
              <w:t>Layer</w:t>
            </w:r>
          </w:p>
        </w:tc>
        <w:tc>
          <w:tcPr>
            <w:tcW w:type="dxa" w:w="4752"/>
            <w:shd w:fill="D9EAF7"/>
            <w:vAlign w:val="center"/>
          </w:tcPr>
          <w:p>
            <w:r>
              <w:rPr>
                <w:b/>
              </w:rPr>
              <w:t>Baseline v1.3</w:t>
            </w:r>
          </w:p>
        </w:tc>
        <w:tc>
          <w:tcPr>
            <w:tcW w:type="dxa" w:w="6480"/>
            <w:shd w:fill="D9EAF7"/>
            <w:vAlign w:val="center"/>
          </w:tcPr>
          <w:p>
            <w:r>
              <w:rPr>
                <w:b/>
              </w:rPr>
              <w:t>Regola normativa</w:t>
            </w:r>
          </w:p>
        </w:tc>
      </w:tr>
      <w:tr>
        <w:tc>
          <w:tcPr>
            <w:tcW w:type="dxa" w:w="2304"/>
            <w:vAlign w:val="top"/>
          </w:tcPr>
          <w:p>
            <w:r>
              <w:t>Kubernetes</w:t>
            </w:r>
          </w:p>
        </w:tc>
        <w:tc>
          <w:tcPr>
            <w:tcW w:type="dxa" w:w="4752"/>
            <w:vAlign w:val="top"/>
          </w:tcPr>
          <w:p>
            <w:r>
              <w:t>Kubernetes 1.36.x baseline di riferimento</w:t>
            </w:r>
          </w:p>
        </w:tc>
        <w:tc>
          <w:tcPr>
            <w:tcW w:type="dxa" w:w="6480"/>
            <w:vAlign w:val="top"/>
          </w:tcPr>
          <w:p>
            <w:r>
              <w:t>Patch/minor supportata e validata dalla piattaforma; manifest/Gateway API compatibili in CI.</w:t>
            </w:r>
          </w:p>
        </w:tc>
      </w:tr>
      <w:tr>
        <w:tc>
          <w:tcPr>
            <w:tcW w:type="dxa" w:w="2304"/>
            <w:vAlign w:val="top"/>
          </w:tcPr>
          <w:p>
            <w:r>
              <w:t>Gateway data plane</w:t>
            </w:r>
          </w:p>
        </w:tc>
        <w:tc>
          <w:tcPr>
            <w:tcW w:type="dxa" w:w="4752"/>
            <w:vAlign w:val="top"/>
          </w:tcPr>
          <w:p>
            <w:r>
              <w:t>Apache APISIX 3.18.x</w:t>
            </w:r>
          </w:p>
        </w:tc>
        <w:tc>
          <w:tcPr>
            <w:tcW w:type="dxa" w:w="6480"/>
            <w:vAlign w:val="top"/>
          </w:tcPr>
          <w:p>
            <w:r>
              <w:t>Northbound e southbound come profili governati; nessun proxy alternativo non registrato.</w:t>
            </w:r>
          </w:p>
        </w:tc>
      </w:tr>
      <w:tr>
        <w:tc>
          <w:tcPr>
            <w:tcW w:type="dxa" w:w="2304"/>
            <w:vAlign w:val="top"/>
          </w:tcPr>
          <w:p>
            <w:r>
              <w:t>Ingress/control plane</w:t>
            </w:r>
          </w:p>
        </w:tc>
        <w:tc>
          <w:tcPr>
            <w:tcW w:type="dxa" w:w="4752"/>
            <w:vAlign w:val="top"/>
          </w:tcPr>
          <w:p>
            <w:r>
              <w:t>APISIX Ingress Controller 2.2.x + Kubernetes Gateway API</w:t>
            </w:r>
          </w:p>
        </w:tc>
        <w:tc>
          <w:tcPr>
            <w:tcW w:type="dxa" w:w="6480"/>
            <w:vAlign w:val="top"/>
          </w:tcPr>
          <w:p>
            <w:r>
              <w:t>Configurazione solo da repository/GitOps; no edit manuale in produzione.</w:t>
            </w:r>
          </w:p>
        </w:tc>
      </w:tr>
      <w:tr>
        <w:tc>
          <w:tcPr>
            <w:tcW w:type="dxa" w:w="2304"/>
            <w:vAlign w:val="top"/>
          </w:tcPr>
          <w:p>
            <w:r>
              <w:t>Config store</w:t>
            </w:r>
          </w:p>
        </w:tc>
        <w:tc>
          <w:tcPr>
            <w:tcW w:type="dxa" w:w="4752"/>
            <w:vAlign w:val="top"/>
          </w:tcPr>
          <w:p>
            <w:r>
              <w:t>etcd 3.6.x, cluster 3 membri</w:t>
            </w:r>
          </w:p>
        </w:tc>
        <w:tc>
          <w:tcPr>
            <w:tcW w:type="dxa" w:w="6480"/>
            <w:vAlign w:val="top"/>
          </w:tcPr>
          <w:p>
            <w:r>
              <w:t>Quorum, SSD, snapshot/restore e slow-storage alert obbligatori.</w:t>
            </w:r>
          </w:p>
        </w:tc>
      </w:tr>
      <w:tr>
        <w:tc>
          <w:tcPr>
            <w:tcW w:type="dxa" w:w="2304"/>
            <w:vAlign w:val="top"/>
          </w:tcPr>
          <w:p>
            <w:r>
              <w:t>IAM reference</w:t>
            </w:r>
          </w:p>
        </w:tc>
        <w:tc>
          <w:tcPr>
            <w:tcW w:type="dxa" w:w="4752"/>
            <w:vAlign w:val="top"/>
          </w:tcPr>
          <w:p>
            <w:r>
              <w:t>IAM comunale/EVO; Keycloak 26.7.x solo riferimento se previsto dallo scenario approvato</w:t>
            </w:r>
          </w:p>
        </w:tc>
        <w:tc>
          <w:tcPr>
            <w:tcW w:type="dxa" w:w="6480"/>
            <w:vAlign w:val="top"/>
          </w:tcPr>
          <w:p>
            <w:r>
              <w:t>Il Gateway non crea un secondo IAM autonomamente.</w:t>
            </w:r>
          </w:p>
        </w:tc>
      </w:tr>
      <w:tr>
        <w:tc>
          <w:tcPr>
            <w:tcW w:type="dxa" w:w="2304"/>
            <w:vAlign w:val="top"/>
          </w:tcPr>
          <w:p>
            <w:r>
              <w:t>Secrets/PKI</w:t>
            </w:r>
          </w:p>
        </w:tc>
        <w:tc>
          <w:tcPr>
            <w:tcW w:type="dxa" w:w="4752"/>
            <w:vAlign w:val="top"/>
          </w:tcPr>
          <w:p>
            <w:r>
              <w:t>OpenBao 2.6 + cert-manager 1.21</w:t>
            </w:r>
          </w:p>
        </w:tc>
        <w:tc>
          <w:tcPr>
            <w:tcW w:type="dxa" w:w="6480"/>
            <w:vAlign w:val="top"/>
          </w:tcPr>
          <w:p>
            <w:r>
              <w:t>secretRef/workload identity; no secret nei manifest Git.</w:t>
            </w:r>
          </w:p>
        </w:tc>
      </w:tr>
      <w:tr>
        <w:tc>
          <w:tcPr>
            <w:tcW w:type="dxa" w:w="2304"/>
            <w:vAlign w:val="top"/>
          </w:tcPr>
          <w:p>
            <w:r>
              <w:t>Observability</w:t>
            </w:r>
          </w:p>
        </w:tc>
        <w:tc>
          <w:tcPr>
            <w:tcW w:type="dxa" w:w="4752"/>
            <w:vAlign w:val="top"/>
          </w:tcPr>
          <w:p>
            <w:r>
              <w:t>Prometheus 3.14, Grafana 13.1, Loki 3.7, OpenTelemetry Collector 0.159</w:t>
            </w:r>
          </w:p>
        </w:tc>
        <w:tc>
          <w:tcPr>
            <w:tcW w:type="dxa" w:w="6480"/>
            <w:vAlign w:val="top"/>
          </w:tcPr>
          <w:p>
            <w:r>
              <w:t>Metric/dashboard/alert config versionata con la release.</w:t>
            </w:r>
          </w:p>
        </w:tc>
      </w:tr>
      <w:tr>
        <w:tc>
          <w:tcPr>
            <w:tcW w:type="dxa" w:w="2304"/>
            <w:vAlign w:val="top"/>
          </w:tcPr>
          <w:p>
            <w:r>
              <w:t>GitOps</w:t>
            </w:r>
          </w:p>
        </w:tc>
        <w:tc>
          <w:tcPr>
            <w:tcW w:type="dxa" w:w="4752"/>
            <w:vAlign w:val="top"/>
          </w:tcPr>
          <w:p>
            <w:r>
              <w:t>Argo CD 3.5</w:t>
            </w:r>
          </w:p>
        </w:tc>
        <w:tc>
          <w:tcPr>
            <w:tcW w:type="dxa" w:w="6480"/>
            <w:vAlign w:val="top"/>
          </w:tcPr>
          <w:p>
            <w:r>
              <w:t>Desired state in Git; drift manuale è non conforme.</w:t>
            </w:r>
          </w:p>
        </w:tc>
      </w:tr>
    </w:tbl>
    <w:p>
      <w:r>
        <w:rPr>
          <w:b/>
        </w:rPr>
        <w:t xml:space="preserve">Consolidamento editoriale. </w:t>
      </w:r>
      <w:r>
        <w:t>Qualunque frase precedente del tipo 'la v1.0 selezionerà la tecnologia/topologia/secrets/sizing' è superata dalle decisioni sopra e dalle sezioni T1-T32 che già le dettagliano.</w:t>
      </w:r>
    </w:p>
    <w:p>
      <w:pPr>
        <w:pStyle w:val="Heading2"/>
      </w:pPr>
      <w:r>
        <w:t>T33.2 Repository, contract artifacts e ownership</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3600"/>
            <w:shd w:fill="D9EAF7"/>
            <w:vAlign w:val="center"/>
          </w:tcPr>
          <w:p>
            <w:r>
              <w:rPr>
                <w:b/>
              </w:rPr>
              <w:t>Artefatto</w:t>
            </w:r>
          </w:p>
        </w:tc>
        <w:tc>
          <w:tcPr>
            <w:tcW w:type="dxa" w:w="2592"/>
            <w:shd w:fill="D9EAF7"/>
            <w:vAlign w:val="center"/>
          </w:tcPr>
          <w:p>
            <w:r>
              <w:rPr>
                <w:b/>
              </w:rPr>
              <w:t>Owner</w:t>
            </w:r>
          </w:p>
        </w:tc>
        <w:tc>
          <w:tcPr>
            <w:tcW w:type="dxa" w:w="3744"/>
            <w:shd w:fill="D9EAF7"/>
            <w:vAlign w:val="center"/>
          </w:tcPr>
          <w:p>
            <w:r>
              <w:rPr>
                <w:b/>
              </w:rPr>
              <w:t>Consumer</w:t>
            </w:r>
          </w:p>
        </w:tc>
        <w:tc>
          <w:tcPr>
            <w:tcW w:type="dxa" w:w="3600"/>
            <w:shd w:fill="D9EAF7"/>
            <w:vAlign w:val="center"/>
          </w:tcPr>
          <w:p>
            <w:r>
              <w:rPr>
                <w:b/>
              </w:rPr>
              <w:t>Gate</w:t>
            </w:r>
          </w:p>
        </w:tc>
      </w:tr>
      <w:tr>
        <w:tc>
          <w:tcPr>
            <w:tcW w:type="dxa" w:w="3600"/>
            <w:vAlign w:val="top"/>
          </w:tcPr>
          <w:p>
            <w:r>
              <w:t>ouf-config/capabilities/*.yaml</w:t>
            </w:r>
          </w:p>
        </w:tc>
        <w:tc>
          <w:tcPr>
            <w:tcW w:type="dxa" w:w="2592"/>
            <w:vAlign w:val="top"/>
          </w:tcPr>
          <w:p>
            <w:r>
              <w:t>Gateway config governance</w:t>
            </w:r>
          </w:p>
        </w:tc>
        <w:tc>
          <w:tcPr>
            <w:tcW w:type="dxa" w:w="3744"/>
            <w:vAlign w:val="top"/>
          </w:tcPr>
          <w:p>
            <w:r>
              <w:t>Gateway compiler/runtime, Authorization integration</w:t>
            </w:r>
          </w:p>
        </w:tc>
        <w:tc>
          <w:tcPr>
            <w:tcW w:type="dxa" w:w="3600"/>
            <w:vAlign w:val="top"/>
          </w:tcPr>
          <w:p>
            <w:r>
              <w:t>Stable capabilityId, route binding, audience/scope, operation class.</w:t>
            </w:r>
          </w:p>
        </w:tc>
      </w:tr>
      <w:tr>
        <w:tc>
          <w:tcPr>
            <w:tcW w:type="dxa" w:w="3600"/>
            <w:vAlign w:val="top"/>
          </w:tcPr>
          <w:p>
            <w:r>
              <w:t>ouf-config/source-runtime/*.yaml</w:t>
            </w:r>
          </w:p>
        </w:tc>
        <w:tc>
          <w:tcPr>
            <w:tcW w:type="dxa" w:w="2592"/>
            <w:vAlign w:val="top"/>
          </w:tcPr>
          <w:p>
            <w:r>
              <w:t>Projection da Source Onboarding</w:t>
            </w:r>
          </w:p>
        </w:tc>
        <w:tc>
          <w:tcPr>
            <w:tcW w:type="dxa" w:w="3744"/>
            <w:vAlign w:val="top"/>
          </w:tcPr>
          <w:p>
            <w:r>
              <w:t>Southbound Gateway/Connector</w:t>
            </w:r>
          </w:p>
        </w:tc>
        <w:tc>
          <w:tcPr>
            <w:tcW w:type="dxa" w:w="3600"/>
            <w:vAlign w:val="top"/>
          </w:tcPr>
          <w:p>
            <w:r>
              <w:t>sourceId/endpointRef/version exact; no arbitrary host.</w:t>
            </w:r>
          </w:p>
        </w:tc>
      </w:tr>
      <w:tr>
        <w:tc>
          <w:tcPr>
            <w:tcW w:type="dxa" w:w="3600"/>
            <w:vAlign w:val="top"/>
          </w:tcPr>
          <w:p>
            <w:r>
              <w:t>ouf-config/extraction-runtime/*.yaml</w:t>
            </w:r>
          </w:p>
        </w:tc>
        <w:tc>
          <w:tcPr>
            <w:tcW w:type="dxa" w:w="2592"/>
            <w:vAlign w:val="top"/>
          </w:tcPr>
          <w:p>
            <w:r>
              <w:t>Projection da PublishedConfigurationBundle</w:t>
            </w:r>
          </w:p>
        </w:tc>
        <w:tc>
          <w:tcPr>
            <w:tcW w:type="dxa" w:w="3744"/>
            <w:vAlign w:val="top"/>
          </w:tcPr>
          <w:p>
            <w:r>
              <w:t>Gateway/Connector</w:t>
            </w:r>
          </w:p>
        </w:tc>
        <w:tc>
          <w:tcPr>
            <w:tcW w:type="dxa" w:w="3600"/>
            <w:vAlign w:val="top"/>
          </w:tcPr>
          <w:p>
            <w:r>
              <w:t>Filtri/projection/paging/delta refs versionati; semantica resta esterna.</w:t>
            </w:r>
          </w:p>
        </w:tc>
      </w:tr>
      <w:tr>
        <w:tc>
          <w:tcPr>
            <w:tcW w:type="dxa" w:w="3600"/>
            <w:vAlign w:val="top"/>
          </w:tcPr>
          <w:p>
            <w:r>
              <w:t>ouf-config/routes/northbound/*.yaml</w:t>
            </w:r>
          </w:p>
        </w:tc>
        <w:tc>
          <w:tcPr>
            <w:tcW w:type="dxa" w:w="2592"/>
            <w:vAlign w:val="top"/>
          </w:tcPr>
          <w:p>
            <w:r>
              <w:t>Gateway</w:t>
            </w:r>
          </w:p>
        </w:tc>
        <w:tc>
          <w:tcPr>
            <w:tcW w:type="dxa" w:w="3744"/>
            <w:vAlign w:val="top"/>
          </w:tcPr>
          <w:p>
            <w:r>
              <w:t>APISIX</w:t>
            </w:r>
          </w:p>
        </w:tc>
        <w:tc>
          <w:tcPr>
            <w:tcW w:type="dxa" w:w="3600"/>
            <w:vAlign w:val="top"/>
          </w:tcPr>
          <w:p>
            <w:r>
              <w:t>Schema validate + capability reference integrity.</w:t>
            </w:r>
          </w:p>
        </w:tc>
      </w:tr>
      <w:tr>
        <w:tc>
          <w:tcPr>
            <w:tcW w:type="dxa" w:w="3600"/>
            <w:vAlign w:val="top"/>
          </w:tcPr>
          <w:p>
            <w:r>
              <w:t>ouf-config/routes/southbound/*.yaml</w:t>
            </w:r>
          </w:p>
        </w:tc>
        <w:tc>
          <w:tcPr>
            <w:tcW w:type="dxa" w:w="2592"/>
            <w:vAlign w:val="top"/>
          </w:tcPr>
          <w:p>
            <w:r>
              <w:t>Gateway</w:t>
            </w:r>
          </w:p>
        </w:tc>
        <w:tc>
          <w:tcPr>
            <w:tcW w:type="dxa" w:w="3744"/>
            <w:vAlign w:val="top"/>
          </w:tcPr>
          <w:p>
            <w:r>
              <w:t>APISIX</w:t>
            </w:r>
          </w:p>
        </w:tc>
        <w:tc>
          <w:tcPr>
            <w:tcW w:type="dxa" w:w="3600"/>
            <w:vAlign w:val="top"/>
          </w:tcPr>
          <w:p>
            <w:r>
              <w:t>EndpointRef registry-bound + egress/network policy coherence.</w:t>
            </w:r>
          </w:p>
        </w:tc>
      </w:tr>
      <w:tr>
        <w:tc>
          <w:tcPr>
            <w:tcW w:type="dxa" w:w="3600"/>
            <w:vAlign w:val="top"/>
          </w:tcPr>
          <w:p>
            <w:r>
              <w:t>schemas/capability-manifest-v1.json</w:t>
            </w:r>
          </w:p>
        </w:tc>
        <w:tc>
          <w:tcPr>
            <w:tcW w:type="dxa" w:w="2592"/>
            <w:vAlign w:val="top"/>
          </w:tcPr>
          <w:p>
            <w:r>
              <w:t>OUF/Gateway profile</w:t>
            </w:r>
          </w:p>
        </w:tc>
        <w:tc>
          <w:tcPr>
            <w:tcW w:type="dxa" w:w="3744"/>
            <w:vAlign w:val="top"/>
          </w:tcPr>
          <w:p>
            <w:r>
              <w:t>Gateway, MCP metadata consumer, Authorization</w:t>
            </w:r>
          </w:p>
        </w:tc>
        <w:tc>
          <w:tcPr>
            <w:tcW w:type="dxa" w:w="3600"/>
            <w:vAlign w:val="top"/>
          </w:tcPr>
          <w:p>
            <w:r>
              <w:t>Machine-readable; breaking change = new major.</w:t>
            </w:r>
          </w:p>
        </w:tc>
      </w:tr>
      <w:tr>
        <w:tc>
          <w:tcPr>
            <w:tcW w:type="dxa" w:w="3600"/>
            <w:vAlign w:val="top"/>
          </w:tcPr>
          <w:p>
            <w:r>
              <w:t>schemas/source-runtime-profile-v1.json</w:t>
            </w:r>
          </w:p>
        </w:tc>
        <w:tc>
          <w:tcPr>
            <w:tcW w:type="dxa" w:w="2592"/>
            <w:vAlign w:val="top"/>
          </w:tcPr>
          <w:p>
            <w:r>
              <w:t>Onboarding contract, consumed by Gateway</w:t>
            </w:r>
          </w:p>
        </w:tc>
        <w:tc>
          <w:tcPr>
            <w:tcW w:type="dxa" w:w="3744"/>
            <w:vAlign w:val="top"/>
          </w:tcPr>
          <w:p>
            <w:r>
              <w:t>Gateway compiler</w:t>
            </w:r>
          </w:p>
        </w:tc>
        <w:tc>
          <w:tcPr>
            <w:tcW w:type="dxa" w:w="3600"/>
            <w:vAlign w:val="top"/>
          </w:tcPr>
          <w:p>
            <w:r>
              <w:t>Exact version/hash; unknown ref blocks activation.</w:t>
            </w:r>
          </w:p>
        </w:tc>
      </w:tr>
      <w:tr>
        <w:tc>
          <w:tcPr>
            <w:tcW w:type="dxa" w:w="3600"/>
            <w:vAlign w:val="top"/>
          </w:tcPr>
          <w:p>
            <w:r>
              <w:t>schemas/extraction-runtime-profile-v1.json</w:t>
            </w:r>
          </w:p>
        </w:tc>
        <w:tc>
          <w:tcPr>
            <w:tcW w:type="dxa" w:w="2592"/>
            <w:vAlign w:val="top"/>
          </w:tcPr>
          <w:p>
            <w:r>
              <w:t>Onboarding contract, consumed by Gateway</w:t>
            </w:r>
          </w:p>
        </w:tc>
        <w:tc>
          <w:tcPr>
            <w:tcW w:type="dxa" w:w="3744"/>
            <w:vAlign w:val="top"/>
          </w:tcPr>
          <w:p>
            <w:r>
              <w:t>Gateway compiler</w:t>
            </w:r>
          </w:p>
        </w:tc>
        <w:tc>
          <w:tcPr>
            <w:tcW w:type="dxa" w:w="3600"/>
            <w:vAlign w:val="top"/>
          </w:tcPr>
          <w:p>
            <w:r>
              <w:t>No canonicalType/ontology decision inside Gateway.</w:t>
            </w:r>
          </w:p>
        </w:tc>
      </w:tr>
      <w:tr>
        <w:tc>
          <w:tcPr>
            <w:tcW w:type="dxa" w:w="3600"/>
            <w:vAlign w:val="top"/>
          </w:tcPr>
          <w:p>
            <w:r>
              <w:t>schemas/gateway-publication-manifest-v1.json</w:t>
            </w:r>
          </w:p>
        </w:tc>
        <w:tc>
          <w:tcPr>
            <w:tcW w:type="dxa" w:w="2592"/>
            <w:vAlign w:val="top"/>
          </w:tcPr>
          <w:p>
            <w:r>
              <w:t>Gateway</w:t>
            </w:r>
          </w:p>
        </w:tc>
        <w:tc>
          <w:tcPr>
            <w:tcW w:type="dxa" w:w="3744"/>
            <w:vAlign w:val="top"/>
          </w:tcPr>
          <w:p>
            <w:r>
              <w:t>GitOps/operations</w:t>
            </w:r>
          </w:p>
        </w:tc>
        <w:tc>
          <w:tcPr>
            <w:tcW w:type="dxa" w:w="3600"/>
            <w:vAlign w:val="top"/>
          </w:tcPr>
          <w:p>
            <w:r>
              <w:t>Commit, generated artifact hashes, target env, APISIX/etcd revision, verification result.</w:t>
            </w:r>
          </w:p>
        </w:tc>
      </w:tr>
      <w:tr>
        <w:tc>
          <w:tcPr>
            <w:tcW w:type="dxa" w:w="3600"/>
            <w:vAlign w:val="top"/>
          </w:tcPr>
          <w:p>
            <w:r>
              <w:t>openapi/gateway-operational-v1.yaml</w:t>
            </w:r>
          </w:p>
        </w:tc>
        <w:tc>
          <w:tcPr>
            <w:tcW w:type="dxa" w:w="2592"/>
            <w:vAlign w:val="top"/>
          </w:tcPr>
          <w:p>
            <w:r>
              <w:t>Gateway</w:t>
            </w:r>
          </w:p>
        </w:tc>
        <w:tc>
          <w:tcPr>
            <w:tcW w:type="dxa" w:w="3744"/>
            <w:vAlign w:val="top"/>
          </w:tcPr>
          <w:p>
            <w:r>
              <w:t>Operations/control-plane automation</w:t>
            </w:r>
          </w:p>
        </w:tc>
        <w:tc>
          <w:tcPr>
            <w:tcW w:type="dxa" w:w="3600"/>
            <w:vAlign w:val="top"/>
          </w:tcPr>
          <w:p>
            <w:r>
              <w:t>Only governed config/health/reload operations; no generic proxy creation API.</w:t>
            </w:r>
          </w:p>
        </w:tc>
      </w:tr>
    </w:tbl>
    <w:p>
      <w:pPr>
        <w:pStyle w:val="ListBullet"/>
      </w:pPr>
      <w:r>
        <w:t>Ogni generated APISIX/Gateway API artifact è riconducibile a un commit/tag del repository e a una publication manifest.</w:t>
      </w:r>
    </w:p>
    <w:p>
      <w:pPr>
        <w:pStyle w:val="ListBullet"/>
      </w:pPr>
      <w:r>
        <w:t>Il Gateway non modifica autonomamente Source Runtime Profile, Extraction Profile, SemanticReference o AuthorizationPolicyBundle.</w:t>
      </w:r>
    </w:p>
    <w:p>
      <w:pPr>
        <w:pStyle w:val="ListBullet"/>
      </w:pPr>
      <w:r>
        <w:t>Capability contract e URL fisico restano separati: il consumer dipende da capability/version, non dall’hostname interno.</w:t>
      </w:r>
    </w:p>
    <w:p>
      <w:pPr>
        <w:pStyle w:val="Heading2"/>
      </w:pPr>
      <w:r>
        <w:t>T33.3 Atomic publication path Git -&gt; APISIX -&gt; etcd</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728"/>
            <w:shd w:fill="D9EAF7"/>
            <w:vAlign w:val="center"/>
          </w:tcPr>
          <w:p>
            <w:r>
              <w:rPr>
                <w:b/>
              </w:rPr>
              <w:t>Fase</w:t>
            </w:r>
          </w:p>
        </w:tc>
        <w:tc>
          <w:tcPr>
            <w:tcW w:type="dxa" w:w="7632"/>
            <w:shd w:fill="D9EAF7"/>
            <w:vAlign w:val="center"/>
          </w:tcPr>
          <w:p>
            <w:r>
              <w:rPr>
                <w:b/>
              </w:rPr>
              <w:t>Operazione</w:t>
            </w:r>
          </w:p>
        </w:tc>
        <w:tc>
          <w:tcPr>
            <w:tcW w:type="dxa" w:w="4608"/>
            <w:shd w:fill="D9EAF7"/>
            <w:vAlign w:val="center"/>
          </w:tcPr>
          <w:p>
            <w:r>
              <w:rPr>
                <w:b/>
              </w:rPr>
              <w:t>Failure semantics</w:t>
            </w:r>
          </w:p>
        </w:tc>
      </w:tr>
      <w:tr>
        <w:tc>
          <w:tcPr>
            <w:tcW w:type="dxa" w:w="1728"/>
            <w:vAlign w:val="top"/>
          </w:tcPr>
          <w:p>
            <w:r>
              <w:t>1. Validate</w:t>
            </w:r>
          </w:p>
        </w:tc>
        <w:tc>
          <w:tcPr>
            <w:tcW w:type="dxa" w:w="7632"/>
            <w:vAlign w:val="top"/>
          </w:tcPr>
          <w:p>
            <w:r>
              <w:t>Schema/OpenAPI/reference lint, endpointRef allowlist, capability/auth bindings, NetworkPolicy consistency</w:t>
            </w:r>
          </w:p>
        </w:tc>
        <w:tc>
          <w:tcPr>
            <w:tcW w:type="dxa" w:w="4608"/>
            <w:vAlign w:val="top"/>
          </w:tcPr>
          <w:p>
            <w:r>
              <w:t>Nessun artifact generato/attivato se invalido.</w:t>
            </w:r>
          </w:p>
        </w:tc>
      </w:tr>
      <w:tr>
        <w:tc>
          <w:tcPr>
            <w:tcW w:type="dxa" w:w="1728"/>
            <w:vAlign w:val="top"/>
          </w:tcPr>
          <w:p>
            <w:r>
              <w:t>2. Compile</w:t>
            </w:r>
          </w:p>
        </w:tc>
        <w:tc>
          <w:tcPr>
            <w:tcW w:type="dxa" w:w="7632"/>
            <w:vAlign w:val="top"/>
          </w:tcPr>
          <w:p>
            <w:r>
              <w:t>Generazione deterministica di HTTPRoute/PluginConfig/APISIX config per target env</w:t>
            </w:r>
          </w:p>
        </w:tc>
        <w:tc>
          <w:tcPr>
            <w:tcW w:type="dxa" w:w="4608"/>
            <w:vAlign w:val="top"/>
          </w:tcPr>
          <w:p>
            <w:r>
              <w:t>Output hashato; input commit/version registrati.</w:t>
            </w:r>
          </w:p>
        </w:tc>
      </w:tr>
      <w:tr>
        <w:tc>
          <w:tcPr>
            <w:tcW w:type="dxa" w:w="1728"/>
            <w:vAlign w:val="top"/>
          </w:tcPr>
          <w:p>
            <w:r>
              <w:t>3. Stage</w:t>
            </w:r>
          </w:p>
        </w:tc>
        <w:tc>
          <w:tcPr>
            <w:tcW w:type="dxa" w:w="7632"/>
            <w:vAlign w:val="top"/>
          </w:tcPr>
          <w:p>
            <w:r>
              <w:t>Apply/canary su namespace/stage o config non ACTIVE</w:t>
            </w:r>
          </w:p>
        </w:tc>
        <w:tc>
          <w:tcPr>
            <w:tcW w:type="dxa" w:w="4608"/>
            <w:vAlign w:val="top"/>
          </w:tcPr>
          <w:p>
            <w:r>
              <w:t>Data plane corrente continua su last-known-good.</w:t>
            </w:r>
          </w:p>
        </w:tc>
      </w:tr>
      <w:tr>
        <w:tc>
          <w:tcPr>
            <w:tcW w:type="dxa" w:w="1728"/>
            <w:vAlign w:val="top"/>
          </w:tcPr>
          <w:p>
            <w:r>
              <w:t>4. Verify</w:t>
            </w:r>
          </w:p>
        </w:tc>
        <w:tc>
          <w:tcPr>
            <w:tcW w:type="dxa" w:w="7632"/>
            <w:vAlign w:val="top"/>
          </w:tcPr>
          <w:p>
            <w:r>
              <w:t>Health, route binding, auth negative-path, upstream reachability governata, config convergence</w:t>
            </w:r>
          </w:p>
        </w:tc>
        <w:tc>
          <w:tcPr>
            <w:tcW w:type="dxa" w:w="4608"/>
            <w:vAlign w:val="top"/>
          </w:tcPr>
          <w:p>
            <w:r>
              <w:t>Se failure, rollback staged artifact; current ACTIVE invariato.</w:t>
            </w:r>
          </w:p>
        </w:tc>
      </w:tr>
      <w:tr>
        <w:tc>
          <w:tcPr>
            <w:tcW w:type="dxa" w:w="1728"/>
            <w:vAlign w:val="top"/>
          </w:tcPr>
          <w:p>
            <w:r>
              <w:t>5. Activate</w:t>
            </w:r>
          </w:p>
        </w:tc>
        <w:tc>
          <w:tcPr>
            <w:tcW w:type="dxa" w:w="7632"/>
            <w:vAlign w:val="top"/>
          </w:tcPr>
          <w:p>
            <w:r>
              <w:t>Promozione GitOps/config revision verso ACTIVE</w:t>
            </w:r>
          </w:p>
        </w:tc>
        <w:tc>
          <w:tcPr>
            <w:tcW w:type="dxa" w:w="4608"/>
            <w:vAlign w:val="top"/>
          </w:tcPr>
          <w:p>
            <w:r>
              <w:t>Activation considerata conclusa solo dopo osservabilità della revisione convergente.</w:t>
            </w:r>
          </w:p>
        </w:tc>
      </w:tr>
      <w:tr>
        <w:tc>
          <w:tcPr>
            <w:tcW w:type="dxa" w:w="1728"/>
            <w:vAlign w:val="top"/>
          </w:tcPr>
          <w:p>
            <w:r>
              <w:t>6. Record</w:t>
            </w:r>
          </w:p>
        </w:tc>
        <w:tc>
          <w:tcPr>
            <w:tcW w:type="dxa" w:w="7632"/>
            <w:vAlign w:val="top"/>
          </w:tcPr>
          <w:p>
            <w:r>
              <w:t>PublicationManifest con commit/hash/env/revision/outcome</w:t>
            </w:r>
          </w:p>
        </w:tc>
        <w:tc>
          <w:tcPr>
            <w:tcW w:type="dxa" w:w="4608"/>
            <w:vAlign w:val="top"/>
          </w:tcPr>
          <w:p>
            <w:r>
              <w:t>Evidence obbligatoria; nessuna attivazione non tracciabile.</w:t>
            </w:r>
          </w:p>
        </w:tc>
      </w:tr>
    </w:tbl>
    <w:p>
      <w:r>
        <w:rPr>
          <w:b/>
        </w:rPr>
        <w:t xml:space="preserve">Invariante. </w:t>
      </w:r>
      <w:r>
        <w:t>Una modifica non è ACTIVE perché è stata mergiata in Git o accettata dall’API server. È ACTIVE solo quando la revisione attesa è convergente sul target, i gate tecnici sono verdi e il PublicationManifest registra l’esito.</w:t>
      </w:r>
    </w:p>
    <w:p>
      <w:pPr>
        <w:pStyle w:val="Heading2"/>
      </w:pPr>
      <w:r>
        <w:t>T33.4 Compatibility manifest e support window N/N+1</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D9EAF7"/>
            <w:vAlign w:val="center"/>
          </w:tcPr>
          <w:p>
            <w:r>
              <w:rPr>
                <w:b/>
              </w:rPr>
              <w:t>Dimensione</w:t>
            </w:r>
          </w:p>
        </w:tc>
        <w:tc>
          <w:tcPr>
            <w:tcW w:type="dxa" w:w="6336"/>
            <w:shd w:fill="D9EAF7"/>
            <w:vAlign w:val="center"/>
          </w:tcPr>
          <w:p>
            <w:r>
              <w:rPr>
                <w:b/>
              </w:rPr>
              <w:t>Regola v1.3</w:t>
            </w:r>
          </w:p>
        </w:tc>
        <w:tc>
          <w:tcPr>
            <w:tcW w:type="dxa" w:w="4032"/>
            <w:shd w:fill="D9EAF7"/>
            <w:vAlign w:val="center"/>
          </w:tcPr>
          <w:p>
            <w:r>
              <w:rPr>
                <w:b/>
              </w:rPr>
              <w:t>Breaking/removal</w:t>
            </w:r>
          </w:p>
        </w:tc>
      </w:tr>
      <w:tr>
        <w:tc>
          <w:tcPr>
            <w:tcW w:type="dxa" w:w="3024"/>
            <w:vAlign w:val="top"/>
          </w:tcPr>
          <w:p>
            <w:r>
              <w:t>Capability manifest</w:t>
            </w:r>
          </w:p>
        </w:tc>
        <w:tc>
          <w:tcPr>
            <w:tcW w:type="dxa" w:w="6336"/>
            <w:vAlign w:val="top"/>
          </w:tcPr>
          <w:p>
            <w:r>
              <w:t>Nuovi metadata opzionali/additivi nella major; capabilityId esistenti stabili.</w:t>
            </w:r>
          </w:p>
        </w:tc>
        <w:tc>
          <w:tcPr>
            <w:tcW w:type="dxa" w:w="4032"/>
            <w:vAlign w:val="top"/>
          </w:tcPr>
          <w:p>
            <w:r>
              <w:t>Rename/removal/semantic repurpose = new major.</w:t>
            </w:r>
          </w:p>
        </w:tc>
      </w:tr>
      <w:tr>
        <w:tc>
          <w:tcPr>
            <w:tcW w:type="dxa" w:w="3024"/>
            <w:vAlign w:val="top"/>
          </w:tcPr>
          <w:p>
            <w:r>
              <w:t>Source/Extraction runtime profile</w:t>
            </w:r>
          </w:p>
        </w:tc>
        <w:tc>
          <w:tcPr>
            <w:tcW w:type="dxa" w:w="6336"/>
            <w:vAlign w:val="top"/>
          </w:tcPr>
          <w:p>
            <w:r>
              <w:t>Gateway compiler supporta N e N+1 della stessa major durante rolling config rollout.</w:t>
            </w:r>
          </w:p>
        </w:tc>
        <w:tc>
          <w:tcPr>
            <w:tcW w:type="dxa" w:w="4032"/>
            <w:vAlign w:val="top"/>
          </w:tcPr>
          <w:p>
            <w:r>
              <w:t>Rimozione solo dopo assenza di ACTIVE/source configs che usano N.</w:t>
            </w:r>
          </w:p>
        </w:tc>
      </w:tr>
      <w:tr>
        <w:tc>
          <w:tcPr>
            <w:tcW w:type="dxa" w:w="3024"/>
            <w:vAlign w:val="top"/>
          </w:tcPr>
          <w:p>
            <w:r>
              <w:t>Gateway API/CRD</w:t>
            </w:r>
          </w:p>
        </w:tc>
        <w:tc>
          <w:tcPr>
            <w:tcW w:type="dxa" w:w="6336"/>
            <w:vAlign w:val="top"/>
          </w:tcPr>
          <w:p>
            <w:r>
              <w:t>Controller/runtime upgrade verifica compatibilità API/CRD e generated manifests.</w:t>
            </w:r>
          </w:p>
        </w:tc>
        <w:tc>
          <w:tcPr>
            <w:tcW w:type="dxa" w:w="4032"/>
            <w:vAlign w:val="top"/>
          </w:tcPr>
          <w:p>
            <w:r>
              <w:t>Breaking CRD/API version richiede migration plan/canary.</w:t>
            </w:r>
          </w:p>
        </w:tc>
      </w:tr>
      <w:tr>
        <w:tc>
          <w:tcPr>
            <w:tcW w:type="dxa" w:w="3024"/>
            <w:vAlign w:val="top"/>
          </w:tcPr>
          <w:p>
            <w:r>
              <w:t>APISIX config</w:t>
            </w:r>
          </w:p>
        </w:tc>
        <w:tc>
          <w:tcPr>
            <w:tcW w:type="dxa" w:w="6336"/>
            <w:vAlign w:val="top"/>
          </w:tcPr>
          <w:p>
            <w:r>
              <w:t>Generated config compatibile con runtime in rollout; no config field usato prima che tutti i data-plane target lo supportino.</w:t>
            </w:r>
          </w:p>
        </w:tc>
        <w:tc>
          <w:tcPr>
            <w:tcW w:type="dxa" w:w="4032"/>
            <w:vAlign w:val="top"/>
          </w:tcPr>
          <w:p>
            <w:r>
              <w:t>Feature toggle/staged rollout per nuovi plugin/features.</w:t>
            </w:r>
          </w:p>
        </w:tc>
      </w:tr>
      <w:tr>
        <w:tc>
          <w:tcPr>
            <w:tcW w:type="dxa" w:w="3024"/>
            <w:vAlign w:val="top"/>
          </w:tcPr>
          <w:p>
            <w:r>
              <w:t>etcd</w:t>
            </w:r>
          </w:p>
        </w:tc>
        <w:tc>
          <w:tcPr>
            <w:tcW w:type="dxa" w:w="6336"/>
            <w:vAlign w:val="top"/>
          </w:tcPr>
          <w:p>
            <w:r>
              <w:t>Upgrade member-by-member secondo matrice vendor e snapshot pre-upgrade.</w:t>
            </w:r>
          </w:p>
        </w:tc>
        <w:tc>
          <w:tcPr>
            <w:tcW w:type="dxa" w:w="4032"/>
            <w:vAlign w:val="top"/>
          </w:tcPr>
          <w:p>
            <w:r>
              <w:t>No unsupported version skip.</w:t>
            </w:r>
          </w:p>
        </w:tc>
      </w:tr>
      <w:tr>
        <w:tc>
          <w:tcPr>
            <w:tcW w:type="dxa" w:w="3024"/>
            <w:vAlign w:val="top"/>
          </w:tcPr>
          <w:p>
            <w:r>
              <w:t>OIDC/mTLS</w:t>
            </w:r>
          </w:p>
        </w:tc>
        <w:tc>
          <w:tcPr>
            <w:tcW w:type="dxa" w:w="6336"/>
            <w:vAlign w:val="top"/>
          </w:tcPr>
          <w:p>
            <w:r>
              <w:t>Issuer/audience/trust anchors versionati per env; rotazione con overlap controllato.</w:t>
            </w:r>
          </w:p>
        </w:tc>
        <w:tc>
          <w:tcPr>
            <w:tcW w:type="dxa" w:w="4032"/>
            <w:vAlign w:val="top"/>
          </w:tcPr>
          <w:p>
            <w:r>
              <w:t>Rimozione old key/CA solo dopo propagation window.</w:t>
            </w:r>
          </w:p>
        </w:tc>
      </w:tr>
    </w:tbl>
    <w:p>
      <w:pPr>
        <w:pStyle w:val="Heading2"/>
      </w:pPr>
      <w:r>
        <w:t>T33.5 IAM/M2M environment binding contract</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880"/>
            <w:shd w:fill="D9EAF7"/>
            <w:vAlign w:val="center"/>
          </w:tcPr>
          <w:p>
            <w:r>
              <w:rPr>
                <w:b/>
              </w:rPr>
              <w:t>Binding</w:t>
            </w:r>
          </w:p>
        </w:tc>
        <w:tc>
          <w:tcPr>
            <w:tcW w:type="dxa" w:w="7488"/>
            <w:shd w:fill="D9EAF7"/>
            <w:vAlign w:val="center"/>
          </w:tcPr>
          <w:p>
            <w:r>
              <w:rPr>
                <w:b/>
              </w:rPr>
              <w:t>Obbligo</w:t>
            </w:r>
          </w:p>
        </w:tc>
        <w:tc>
          <w:tcPr>
            <w:tcW w:type="dxa" w:w="3312"/>
            <w:shd w:fill="D9EAF7"/>
            <w:vAlign w:val="center"/>
          </w:tcPr>
          <w:p>
            <w:r>
              <w:rPr>
                <w:b/>
              </w:rPr>
              <w:t>Gate</w:t>
            </w:r>
          </w:p>
        </w:tc>
      </w:tr>
      <w:tr>
        <w:tc>
          <w:tcPr>
            <w:tcW w:type="dxa" w:w="2880"/>
            <w:vAlign w:val="top"/>
          </w:tcPr>
          <w:p>
            <w:r>
              <w:t>m2mScenario</w:t>
            </w:r>
          </w:p>
        </w:tc>
        <w:tc>
          <w:tcPr>
            <w:tcW w:type="dxa" w:w="7488"/>
            <w:vAlign w:val="top"/>
          </w:tcPr>
          <w:p>
            <w:r>
              <w:t>A/B/C selezionato dalla Authorization specification e ADR di piattaforma</w:t>
            </w:r>
          </w:p>
        </w:tc>
        <w:tc>
          <w:tcPr>
            <w:tcW w:type="dxa" w:w="3312"/>
            <w:vAlign w:val="top"/>
          </w:tcPr>
          <w:p>
            <w:r>
              <w:t>P0 prima integration acceptance.</w:t>
            </w:r>
          </w:p>
        </w:tc>
      </w:tr>
      <w:tr>
        <w:tc>
          <w:tcPr>
            <w:tcW w:type="dxa" w:w="2880"/>
            <w:vAlign w:val="top"/>
          </w:tcPr>
          <w:p>
            <w:r>
              <w:t>issuer/JWKS</w:t>
            </w:r>
          </w:p>
        </w:tc>
        <w:tc>
          <w:tcPr>
            <w:tcW w:type="dxa" w:w="7488"/>
            <w:vAlign w:val="top"/>
          </w:tcPr>
          <w:p>
            <w:r>
              <w:t>Issuer, JWKS/CA, allowed algorithms, cache/freshness policy</w:t>
            </w:r>
          </w:p>
        </w:tc>
        <w:tc>
          <w:tcPr>
            <w:tcW w:type="dxa" w:w="3312"/>
            <w:vAlign w:val="top"/>
          </w:tcPr>
          <w:p>
            <w:r>
              <w:t>OIDC negative-path test.</w:t>
            </w:r>
          </w:p>
        </w:tc>
      </w:tr>
      <w:tr>
        <w:tc>
          <w:tcPr>
            <w:tcW w:type="dxa" w:w="2880"/>
            <w:vAlign w:val="top"/>
          </w:tcPr>
          <w:p>
            <w:r>
              <w:t>audience/scope</w:t>
            </w:r>
          </w:p>
        </w:tc>
        <w:tc>
          <w:tcPr>
            <w:tcW w:type="dxa" w:w="7488"/>
            <w:vAlign w:val="top"/>
          </w:tcPr>
          <w:p>
            <w:r>
              <w:t>Audience per API/capability class e coarse scopes</w:t>
            </w:r>
          </w:p>
        </w:tc>
        <w:tc>
          <w:tcPr>
            <w:tcW w:type="dxa" w:w="3312"/>
            <w:vAlign w:val="top"/>
          </w:tcPr>
          <w:p>
            <w:r>
              <w:t>Wildcard/generic audience non ammessa.</w:t>
            </w:r>
          </w:p>
        </w:tc>
      </w:tr>
      <w:tr>
        <w:tc>
          <w:tcPr>
            <w:tcW w:type="dxa" w:w="2880"/>
            <w:vAlign w:val="top"/>
          </w:tcPr>
          <w:p>
            <w:r>
              <w:t>principal propagation</w:t>
            </w:r>
          </w:p>
        </w:tc>
        <w:tc>
          <w:tcPr>
            <w:tcW w:type="dxa" w:w="7488"/>
            <w:vAlign w:val="top"/>
          </w:tcPr>
          <w:p>
            <w:r>
              <w:t>subject/client_id, actorType, delegatedVia, correlationId, capabilityId</w:t>
            </w:r>
          </w:p>
        </w:tc>
        <w:tc>
          <w:tcPr>
            <w:tcW w:type="dxa" w:w="3312"/>
            <w:vAlign w:val="top"/>
          </w:tcPr>
          <w:p>
            <w:r>
              <w:t>Backend contract test; actorType mai dal payload business.</w:t>
            </w:r>
          </w:p>
        </w:tc>
      </w:tr>
      <w:tr>
        <w:tc>
          <w:tcPr>
            <w:tcW w:type="dxa" w:w="2880"/>
            <w:vAlign w:val="top"/>
          </w:tcPr>
          <w:p>
            <w:r>
              <w:t>mTLS</w:t>
            </w:r>
          </w:p>
        </w:tc>
        <w:tc>
          <w:tcPr>
            <w:tcW w:type="dxa" w:w="7488"/>
            <w:vAlign w:val="top"/>
          </w:tcPr>
          <w:p>
            <w:r>
              <w:t>Client/server trust anchors e certificate profile per southbound quando richiesto</w:t>
            </w:r>
          </w:p>
        </w:tc>
        <w:tc>
          <w:tcPr>
            <w:tcW w:type="dxa" w:w="3312"/>
            <w:vAlign w:val="top"/>
          </w:tcPr>
          <w:p>
            <w:r>
              <w:t>Handshake/rotation/revocation test.</w:t>
            </w:r>
          </w:p>
        </w:tc>
      </w:tr>
      <w:tr>
        <w:tc>
          <w:tcPr>
            <w:tcW w:type="dxa" w:w="2880"/>
            <w:vAlign w:val="top"/>
          </w:tcPr>
          <w:p>
            <w:r>
              <w:t>backend token policy</w:t>
            </w:r>
          </w:p>
        </w:tc>
        <w:tc>
          <w:tcPr>
            <w:tcW w:type="dxa" w:w="7488"/>
            <w:vAlign w:val="top"/>
          </w:tcPr>
          <w:p>
            <w:r>
              <w:t>Token propagation/exchange secondo trust model; mai token come application data</w:t>
            </w:r>
          </w:p>
        </w:tc>
        <w:tc>
          <w:tcPr>
            <w:tcW w:type="dxa" w:w="3312"/>
            <w:vAlign w:val="top"/>
          </w:tcPr>
          <w:p>
            <w:r>
              <w:t>Security/e2e evidence.</w:t>
            </w:r>
          </w:p>
        </w:tc>
      </w:tr>
    </w:tbl>
    <w:p>
      <w:r>
        <w:rPr>
          <w:b/>
        </w:rPr>
        <w:t xml:space="preserve">Norma. </w:t>
      </w:r>
      <w:r>
        <w:t>Il Gateway implementa adapter/configurazione per il binding scelto; non decide autonomamente A/B/C. Lo sviluppo della route/security pipeline può procedere con fixture conformi, ma l’integrazione reale resta bloccata finché issuer/audience/trust/client lifecycle non sono valorizzati e testati.</w:t>
      </w:r>
    </w:p>
    <w:p>
      <w:pPr>
        <w:pStyle w:val="Heading2"/>
      </w:pPr>
      <w:r>
        <w:t>T33.6 Runtime Configuration Catalog v1</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160"/>
            <w:shd w:fill="D9EAF7"/>
            <w:vAlign w:val="center"/>
          </w:tcPr>
          <w:p>
            <w:r>
              <w:rPr>
                <w:b/>
              </w:rPr>
              <w:t>Famiglia</w:t>
            </w:r>
          </w:p>
        </w:tc>
        <w:tc>
          <w:tcPr>
            <w:tcW w:type="dxa" w:w="6048"/>
            <w:shd w:fill="D9EAF7"/>
            <w:vAlign w:val="center"/>
          </w:tcPr>
          <w:p>
            <w:r>
              <w:rPr>
                <w:b/>
              </w:rPr>
              <w:t>Property / gruppo</w:t>
            </w:r>
          </w:p>
        </w:tc>
        <w:tc>
          <w:tcPr>
            <w:tcW w:type="dxa" w:w="5472"/>
            <w:shd w:fill="D9EAF7"/>
            <w:vAlign w:val="center"/>
          </w:tcPr>
          <w:p>
            <w:r>
              <w:rPr>
                <w:b/>
              </w:rPr>
              <w:t>Regola</w:t>
            </w:r>
          </w:p>
        </w:tc>
      </w:tr>
      <w:tr>
        <w:tc>
          <w:tcPr>
            <w:tcW w:type="dxa" w:w="2160"/>
            <w:vAlign w:val="top"/>
          </w:tcPr>
          <w:p>
            <w:r>
              <w:t>HTTP</w:t>
            </w:r>
          </w:p>
        </w:tc>
        <w:tc>
          <w:tcPr>
            <w:tcW w:type="dxa" w:w="6048"/>
            <w:vAlign w:val="top"/>
          </w:tcPr>
          <w:p>
            <w:r>
              <w:t>request-body-max, response-buffer-max, header-size, idle/read/write timeout</w:t>
            </w:r>
          </w:p>
        </w:tc>
        <w:tc>
          <w:tcPr>
            <w:tcW w:type="dxa" w:w="5472"/>
            <w:vAlign w:val="top"/>
          </w:tcPr>
          <w:p>
            <w:r>
              <w:t>Bounded per route class; no unlimited.</w:t>
            </w:r>
          </w:p>
        </w:tc>
      </w:tr>
      <w:tr>
        <w:tc>
          <w:tcPr>
            <w:tcW w:type="dxa" w:w="2160"/>
            <w:vAlign w:val="top"/>
          </w:tcPr>
          <w:p>
            <w:r>
              <w:t>Rate/connection</w:t>
            </w:r>
          </w:p>
        </w:tc>
        <w:tc>
          <w:tcPr>
            <w:tcW w:type="dxa" w:w="6048"/>
            <w:vAlign w:val="top"/>
          </w:tcPr>
          <w:p>
            <w:r>
              <w:t>rate-limit, burst, concurrent-connections per capability/client/source</w:t>
            </w:r>
          </w:p>
        </w:tc>
        <w:tc>
          <w:tcPr>
            <w:tcW w:type="dxa" w:w="5472"/>
            <w:vAlign w:val="top"/>
          </w:tcPr>
          <w:p>
            <w:r>
              <w:t>Coarse protection only; non sostituisce UDP Query Governor.</w:t>
            </w:r>
          </w:p>
        </w:tc>
      </w:tr>
      <w:tr>
        <w:tc>
          <w:tcPr>
            <w:tcW w:type="dxa" w:w="2160"/>
            <w:vAlign w:val="top"/>
          </w:tcPr>
          <w:p>
            <w:r>
              <w:t>Retry</w:t>
            </w:r>
          </w:p>
        </w:tc>
        <w:tc>
          <w:tcPr>
            <w:tcW w:type="dxa" w:w="6048"/>
            <w:vAlign w:val="top"/>
          </w:tcPr>
          <w:p>
            <w:r>
              <w:t>connect retry, upstream retry count/backoff</w:t>
            </w:r>
          </w:p>
        </w:tc>
        <w:tc>
          <w:tcPr>
            <w:tcW w:type="dxa" w:w="5472"/>
            <w:vAlign w:val="top"/>
          </w:tcPr>
          <w:p>
            <w:r>
              <w:t>Solo transient/idempotent path; no retry su budget/capability deny.</w:t>
            </w:r>
          </w:p>
        </w:tc>
      </w:tr>
      <w:tr>
        <w:tc>
          <w:tcPr>
            <w:tcW w:type="dxa" w:w="2160"/>
            <w:vAlign w:val="top"/>
          </w:tcPr>
          <w:p>
            <w:r>
              <w:t>Southbound</w:t>
            </w:r>
          </w:p>
        </w:tc>
        <w:tc>
          <w:tcPr>
            <w:tcW w:type="dxa" w:w="6048"/>
            <w:vAlign w:val="top"/>
          </w:tcPr>
          <w:p>
            <w:r>
              <w:t>endpointRef, DNS/IP allowlist, redirect policy, connect/read timeout</w:t>
            </w:r>
          </w:p>
        </w:tc>
        <w:tc>
          <w:tcPr>
            <w:tcW w:type="dxa" w:w="5472"/>
            <w:vAlign w:val="top"/>
          </w:tcPr>
          <w:p>
            <w:r>
              <w:t>Host/port non client-controlled.</w:t>
            </w:r>
          </w:p>
        </w:tc>
      </w:tr>
      <w:tr>
        <w:tc>
          <w:tcPr>
            <w:tcW w:type="dxa" w:w="2160"/>
            <w:vAlign w:val="top"/>
          </w:tcPr>
          <w:p>
            <w:r>
              <w:t>Upload</w:t>
            </w:r>
          </w:p>
        </w:tc>
        <w:tc>
          <w:tcPr>
            <w:tcW w:type="dxa" w:w="6048"/>
            <w:vAlign w:val="top"/>
          </w:tcPr>
          <w:p>
            <w:r>
              <w:t>streaming threshold, max bytes, compressed/uncompressed, entry count</w:t>
            </w:r>
          </w:p>
        </w:tc>
        <w:tc>
          <w:tcPr>
            <w:tcW w:type="dxa" w:w="5472"/>
            <w:vAlign w:val="top"/>
          </w:tcPr>
          <w:p>
            <w:r>
              <w:t>No full-memory buffering; archive hardening.</w:t>
            </w:r>
          </w:p>
        </w:tc>
      </w:tr>
      <w:tr>
        <w:tc>
          <w:tcPr>
            <w:tcW w:type="dxa" w:w="2160"/>
            <w:vAlign w:val="top"/>
          </w:tcPr>
          <w:p>
            <w:r>
              <w:t>OIDC</w:t>
            </w:r>
          </w:p>
        </w:tc>
        <w:tc>
          <w:tcPr>
            <w:tcW w:type="dxa" w:w="6048"/>
            <w:vAlign w:val="top"/>
          </w:tcPr>
          <w:p>
            <w:r>
              <w:t>issuer, audience, jwks cache/freshness, algorithms</w:t>
            </w:r>
          </w:p>
        </w:tc>
        <w:tc>
          <w:tcPr>
            <w:tcW w:type="dxa" w:w="5472"/>
            <w:vAlign w:val="top"/>
          </w:tcPr>
          <w:p>
            <w:r>
              <w:t>Security-critical; invalid config blocks protected route publication.</w:t>
            </w:r>
          </w:p>
        </w:tc>
      </w:tr>
      <w:tr>
        <w:tc>
          <w:tcPr>
            <w:tcW w:type="dxa" w:w="2160"/>
            <w:vAlign w:val="top"/>
          </w:tcPr>
          <w:p>
            <w:r>
              <w:t>mTLS/PKI</w:t>
            </w:r>
          </w:p>
        </w:tc>
        <w:tc>
          <w:tcPr>
            <w:tcW w:type="dxa" w:w="6048"/>
            <w:vAlign w:val="top"/>
          </w:tcPr>
          <w:p>
            <w:r>
              <w:t>trust bundle ref, cert ref, renewal/overlap</w:t>
            </w:r>
          </w:p>
        </w:tc>
        <w:tc>
          <w:tcPr>
            <w:tcW w:type="dxa" w:w="5472"/>
            <w:vAlign w:val="top"/>
          </w:tcPr>
          <w:p>
            <w:r>
              <w:t>SecretRef only; rotation testable.</w:t>
            </w:r>
          </w:p>
        </w:tc>
      </w:tr>
      <w:tr>
        <w:tc>
          <w:tcPr>
            <w:tcW w:type="dxa" w:w="2160"/>
            <w:vAlign w:val="top"/>
          </w:tcPr>
          <w:p>
            <w:r>
              <w:t>APISIX</w:t>
            </w:r>
          </w:p>
        </w:tc>
        <w:tc>
          <w:tcPr>
            <w:tcW w:type="dxa" w:w="6048"/>
            <w:vAlign w:val="top"/>
          </w:tcPr>
          <w:p>
            <w:r>
              <w:t>worker/process/plugin limits, graceful timeout</w:t>
            </w:r>
          </w:p>
        </w:tc>
        <w:tc>
          <w:tcPr>
            <w:tcW w:type="dxa" w:w="5472"/>
            <w:vAlign w:val="top"/>
          </w:tcPr>
          <w:p>
            <w:r>
              <w:t>Pinned per release/env; validated in performance test.</w:t>
            </w:r>
          </w:p>
        </w:tc>
      </w:tr>
      <w:tr>
        <w:tc>
          <w:tcPr>
            <w:tcW w:type="dxa" w:w="2160"/>
            <w:vAlign w:val="top"/>
          </w:tcPr>
          <w:p>
            <w:r>
              <w:t>etcd</w:t>
            </w:r>
          </w:p>
        </w:tc>
        <w:tc>
          <w:tcPr>
            <w:tcW w:type="dxa" w:w="6048"/>
            <w:vAlign w:val="top"/>
          </w:tcPr>
          <w:p>
            <w:r>
              <w:t>quota, snapshot schedule, defrag threshold, request timeout</w:t>
            </w:r>
          </w:p>
        </w:tc>
        <w:tc>
          <w:tcPr>
            <w:tcW w:type="dxa" w:w="5472"/>
            <w:vAlign w:val="top"/>
          </w:tcPr>
          <w:p>
            <w:r>
              <w:t>Slow storage/backpressure alerts mandatory.</w:t>
            </w:r>
          </w:p>
        </w:tc>
      </w:tr>
      <w:tr>
        <w:tc>
          <w:tcPr>
            <w:tcW w:type="dxa" w:w="2160"/>
            <w:vAlign w:val="top"/>
          </w:tcPr>
          <w:p>
            <w:r>
              <w:t>Publication</w:t>
            </w:r>
          </w:p>
        </w:tc>
        <w:tc>
          <w:tcPr>
            <w:tcW w:type="dxa" w:w="6048"/>
            <w:vAlign w:val="top"/>
          </w:tcPr>
          <w:p>
            <w:r>
              <w:t>batch/coalesce window, max changes, canary/verify timeout</w:t>
            </w:r>
          </w:p>
        </w:tc>
        <w:tc>
          <w:tcPr>
            <w:tcW w:type="dxa" w:w="5472"/>
            <w:vAlign w:val="top"/>
          </w:tcPr>
          <w:p>
            <w:r>
              <w:t>No unbounded write storm to etcd.</w:t>
            </w:r>
          </w:p>
        </w:tc>
      </w:tr>
    </w:tbl>
    <w:p>
      <w:pPr>
        <w:pStyle w:val="ListBullet"/>
      </w:pPr>
      <w:r>
        <w:t>Ogni property ha type, unit, default, min/max, environment scope, secret/non-secret classification e reload/restart semantics.</w:t>
      </w:r>
    </w:p>
    <w:p>
      <w:pPr>
        <w:pStyle w:val="ListBullet"/>
      </w:pPr>
      <w:r>
        <w:t>Parametri security-critical e hard maxima senza valore valido impediscono publication/startup del path interessato.</w:t>
      </w:r>
    </w:p>
    <w:p>
      <w:pPr>
        <w:pStyle w:val="ListBullet"/>
      </w:pPr>
      <w:r>
        <w:t>Route-specific override deve rispettare hard platform ceilings; una route non può elevarli arbitrariamente.</w:t>
      </w:r>
    </w:p>
    <w:p>
      <w:pPr>
        <w:pStyle w:val="Heading2"/>
      </w:pPr>
      <w:r>
        <w:t>T33.7 Failure taxonomy e recovery semantics</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3888"/>
            <w:shd w:fill="D9EAF7"/>
            <w:vAlign w:val="center"/>
          </w:tcPr>
          <w:p>
            <w:r>
              <w:rPr>
                <w:b/>
              </w:rPr>
              <w:t>Failure</w:t>
            </w:r>
          </w:p>
        </w:tc>
        <w:tc>
          <w:tcPr>
            <w:tcW w:type="dxa" w:w="9792"/>
            <w:shd w:fill="D9EAF7"/>
            <w:vAlign w:val="center"/>
          </w:tcPr>
          <w:p>
            <w:r>
              <w:rPr>
                <w:b/>
              </w:rPr>
              <w:t>Comportamento richiesto</w:t>
            </w:r>
          </w:p>
        </w:tc>
      </w:tr>
      <w:tr>
        <w:tc>
          <w:tcPr>
            <w:tcW w:type="dxa" w:w="3888"/>
            <w:vAlign w:val="top"/>
          </w:tcPr>
          <w:p>
            <w:r>
              <w:t>ETCD_QUORUM_LOST</w:t>
            </w:r>
          </w:p>
        </w:tc>
        <w:tc>
          <w:tcPr>
            <w:tcW w:type="dxa" w:w="9792"/>
            <w:vAlign w:val="top"/>
          </w:tcPr>
          <w:p>
            <w:r>
              <w:t>No nuove publication; data plane last-known-good continua se già configurato; incident/restore procedure.</w:t>
            </w:r>
          </w:p>
        </w:tc>
      </w:tr>
      <w:tr>
        <w:tc>
          <w:tcPr>
            <w:tcW w:type="dxa" w:w="3888"/>
            <w:vAlign w:val="top"/>
          </w:tcPr>
          <w:p>
            <w:r>
              <w:t>ETCD_SLOW_STORAGE</w:t>
            </w:r>
          </w:p>
        </w:tc>
        <w:tc>
          <w:tcPr>
            <w:tcW w:type="dxa" w:w="9792"/>
            <w:vAlign w:val="top"/>
          </w:tcPr>
          <w:p>
            <w:r>
              <w:t>Backpressure/alert; bloccare publication burst prima di destabilizzare control plane.</w:t>
            </w:r>
          </w:p>
        </w:tc>
      </w:tr>
      <w:tr>
        <w:tc>
          <w:tcPr>
            <w:tcW w:type="dxa" w:w="3888"/>
            <w:vAlign w:val="top"/>
          </w:tcPr>
          <w:p>
            <w:r>
              <w:t>CONFIG_INVALID</w:t>
            </w:r>
          </w:p>
        </w:tc>
        <w:tc>
          <w:tcPr>
            <w:tcW w:type="dxa" w:w="9792"/>
            <w:vAlign w:val="top"/>
          </w:tcPr>
          <w:p>
            <w:r>
              <w:t>Reject pre-activation; nessun apply parziale.</w:t>
            </w:r>
          </w:p>
        </w:tc>
      </w:tr>
      <w:tr>
        <w:tc>
          <w:tcPr>
            <w:tcW w:type="dxa" w:w="3888"/>
            <w:vAlign w:val="top"/>
          </w:tcPr>
          <w:p>
            <w:r>
              <w:t>CONFIG_CONVERGENCE_TIMEOUT</w:t>
            </w:r>
          </w:p>
        </w:tc>
        <w:tc>
          <w:tcPr>
            <w:tcW w:type="dxa" w:w="9792"/>
            <w:vAlign w:val="top"/>
          </w:tcPr>
          <w:p>
            <w:r>
              <w:t>Activation failure; rollback/stay last-known-good; PublicationManifest FAILED.</w:t>
            </w:r>
          </w:p>
        </w:tc>
      </w:tr>
      <w:tr>
        <w:tc>
          <w:tcPr>
            <w:tcW w:type="dxa" w:w="3888"/>
            <w:vAlign w:val="top"/>
          </w:tcPr>
          <w:p>
            <w:r>
              <w:t>OIDC_JWKS_FAILURE</w:t>
            </w:r>
          </w:p>
        </w:tc>
        <w:tc>
          <w:tcPr>
            <w:tcW w:type="dxa" w:w="9792"/>
            <w:vAlign w:val="top"/>
          </w:tcPr>
          <w:p>
            <w:r>
              <w:t>Fail closed secondo cache/freshness; non disabilitare signature validation.</w:t>
            </w:r>
          </w:p>
        </w:tc>
      </w:tr>
      <w:tr>
        <w:tc>
          <w:tcPr>
            <w:tcW w:type="dxa" w:w="3888"/>
            <w:vAlign w:val="top"/>
          </w:tcPr>
          <w:p>
            <w:r>
              <w:t>SOUTHBOUND_DNS/CONNECT_TIMEOUT</w:t>
            </w:r>
          </w:p>
        </w:tc>
        <w:tc>
          <w:tcPr>
            <w:tcW w:type="dxa" w:w="9792"/>
            <w:vAlign w:val="top"/>
          </w:tcPr>
          <w:p>
            <w:r>
              <w:t>Bounded retry se idempotent; source-specific circuit/health; no direct bypass.</w:t>
            </w:r>
          </w:p>
        </w:tc>
      </w:tr>
      <w:tr>
        <w:tc>
          <w:tcPr>
            <w:tcW w:type="dxa" w:w="3888"/>
            <w:vAlign w:val="top"/>
          </w:tcPr>
          <w:p>
            <w:r>
              <w:t>SSRF/UNREGISTERED_ENDPOINT</w:t>
            </w:r>
          </w:p>
        </w:tc>
        <w:tc>
          <w:tcPr>
            <w:tcW w:type="dxa" w:w="9792"/>
            <w:vAlign w:val="top"/>
          </w:tcPr>
          <w:p>
            <w:r>
              <w:t>Reject security terminale; audit/metric.</w:t>
            </w:r>
          </w:p>
        </w:tc>
      </w:tr>
      <w:tr>
        <w:tc>
          <w:tcPr>
            <w:tcW w:type="dxa" w:w="3888"/>
            <w:vAlign w:val="top"/>
          </w:tcPr>
          <w:p>
            <w:r>
              <w:t>BACKEND_5XX/TIMEOUT</w:t>
            </w:r>
          </w:p>
        </w:tc>
        <w:tc>
          <w:tcPr>
            <w:tcW w:type="dxa" w:w="9792"/>
            <w:vAlign w:val="top"/>
          </w:tcPr>
          <w:p>
            <w:r>
              <w:t>Retry solo secondo route/idempotency policy; preservare correlation/error semantics.</w:t>
            </w:r>
          </w:p>
        </w:tc>
      </w:tr>
      <w:tr>
        <w:tc>
          <w:tcPr>
            <w:tcW w:type="dxa" w:w="3888"/>
            <w:vAlign w:val="top"/>
          </w:tcPr>
          <w:p>
            <w:r>
              <w:t>RATE_LIMIT/OVERLOAD</w:t>
            </w:r>
          </w:p>
        </w:tc>
        <w:tc>
          <w:tcPr>
            <w:tcW w:type="dxa" w:w="9792"/>
            <w:vAlign w:val="top"/>
          </w:tcPr>
          <w:p>
            <w:r>
              <w:t>429/503 machine-readable; no hidden retry storm.</w:t>
            </w:r>
          </w:p>
        </w:tc>
      </w:tr>
      <w:tr>
        <w:tc>
          <w:tcPr>
            <w:tcW w:type="dxa" w:w="3888"/>
            <w:vAlign w:val="top"/>
          </w:tcPr>
          <w:p>
            <w:r>
              <w:t>CERT_EXPIRED/REVOKED</w:t>
            </w:r>
          </w:p>
        </w:tc>
        <w:tc>
          <w:tcPr>
            <w:tcW w:type="dxa" w:w="9792"/>
            <w:vAlign w:val="top"/>
          </w:tcPr>
          <w:p>
            <w:r>
              <w:t>Fail closed on affected TLS path; certificate rotation runbook.</w:t>
            </w:r>
          </w:p>
        </w:tc>
      </w:tr>
      <w:tr>
        <w:tc>
          <w:tcPr>
            <w:tcW w:type="dxa" w:w="3888"/>
            <w:vAlign w:val="top"/>
          </w:tcPr>
          <w:p>
            <w:r>
              <w:t>GITOPS_DRIFT</w:t>
            </w:r>
          </w:p>
        </w:tc>
        <w:tc>
          <w:tcPr>
            <w:tcW w:type="dxa" w:w="9792"/>
            <w:vAlign w:val="top"/>
          </w:tcPr>
          <w:p>
            <w:r>
              <w:t>Alert/reconcile to desired state; manual production edit non diventa nuovo source of truth.</w:t>
            </w:r>
          </w:p>
        </w:tc>
      </w:tr>
    </w:tbl>
    <w:p>
      <w:pPr>
        <w:pStyle w:val="Heading2"/>
      </w:pPr>
      <w:r>
        <w:t>T33.8 NetworkPolicy, egress e trust-boundary enforcement</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D9EAF7"/>
            <w:vAlign w:val="center"/>
          </w:tcPr>
          <w:p>
            <w:r>
              <w:rPr>
                <w:b/>
              </w:rPr>
              <w:t>Workload</w:t>
            </w:r>
          </w:p>
        </w:tc>
        <w:tc>
          <w:tcPr>
            <w:tcW w:type="dxa" w:w="6912"/>
            <w:shd w:fill="D9EAF7"/>
            <w:vAlign w:val="center"/>
          </w:tcPr>
          <w:p>
            <w:r>
              <w:rPr>
                <w:b/>
              </w:rPr>
              <w:t>Ingress/Egress consentito</w:t>
            </w:r>
          </w:p>
        </w:tc>
        <w:tc>
          <w:tcPr>
            <w:tcW w:type="dxa" w:w="3744"/>
            <w:shd w:fill="D9EAF7"/>
            <w:vAlign w:val="center"/>
          </w:tcPr>
          <w:p>
            <w:r>
              <w:rPr>
                <w:b/>
              </w:rPr>
              <w:t>Regola</w:t>
            </w:r>
          </w:p>
        </w:tc>
      </w:tr>
      <w:tr>
        <w:tc>
          <w:tcPr>
            <w:tcW w:type="dxa" w:w="3024"/>
            <w:vAlign w:val="top"/>
          </w:tcPr>
          <w:p>
            <w:r>
              <w:t>APISIX northbound</w:t>
            </w:r>
          </w:p>
        </w:tc>
        <w:tc>
          <w:tcPr>
            <w:tcW w:type="dxa" w:w="6912"/>
            <w:vAlign w:val="top"/>
          </w:tcPr>
          <w:p>
            <w:r>
              <w:t>Ingress da LB/Ingress boundary; egress solo verso backend OUF registrati + IAM/JWKS/telemetry/etcd necessari</w:t>
            </w:r>
          </w:p>
        </w:tc>
        <w:tc>
          <w:tcPr>
            <w:tcW w:type="dxa" w:w="3744"/>
            <w:vAlign w:val="top"/>
          </w:tcPr>
          <w:p>
            <w:r>
              <w:t>No arbitrary Internet proxy.</w:t>
            </w:r>
          </w:p>
        </w:tc>
      </w:tr>
      <w:tr>
        <w:tc>
          <w:tcPr>
            <w:tcW w:type="dxa" w:w="3024"/>
            <w:vAlign w:val="top"/>
          </w:tcPr>
          <w:p>
            <w:r>
              <w:t>APISIX southbound</w:t>
            </w:r>
          </w:p>
        </w:tc>
        <w:tc>
          <w:tcPr>
            <w:tcW w:type="dxa" w:w="6912"/>
            <w:vAlign w:val="top"/>
          </w:tcPr>
          <w:p>
            <w:r>
              <w:t>Ingress solo da workload OUF autorizzati; egress solo endpoint source registrati + DNS/PKI/telemetry/etcd</w:t>
            </w:r>
          </w:p>
        </w:tc>
        <w:tc>
          <w:tcPr>
            <w:tcW w:type="dxa" w:w="3744"/>
            <w:vAlign w:val="top"/>
          </w:tcPr>
          <w:p>
            <w:r>
              <w:t>Default deny, anti-SSRF, no metadata/loopback/private unregistered target.</w:t>
            </w:r>
          </w:p>
        </w:tc>
      </w:tr>
      <w:tr>
        <w:tc>
          <w:tcPr>
            <w:tcW w:type="dxa" w:w="3024"/>
            <w:vAlign w:val="top"/>
          </w:tcPr>
          <w:p>
            <w:r>
              <w:t>Ingress Controller</w:t>
            </w:r>
          </w:p>
        </w:tc>
        <w:tc>
          <w:tcPr>
            <w:tcW w:type="dxa" w:w="6912"/>
            <w:vAlign w:val="top"/>
          </w:tcPr>
          <w:p>
            <w:r>
              <w:t>Kubernetes API + APISIX/etcd path necessari</w:t>
            </w:r>
          </w:p>
        </w:tc>
        <w:tc>
          <w:tcPr>
            <w:tcW w:type="dxa" w:w="3744"/>
            <w:vAlign w:val="top"/>
          </w:tcPr>
          <w:p>
            <w:r>
              <w:t>No business data access.</w:t>
            </w:r>
          </w:p>
        </w:tc>
      </w:tr>
      <w:tr>
        <w:tc>
          <w:tcPr>
            <w:tcW w:type="dxa" w:w="3024"/>
            <w:vAlign w:val="top"/>
          </w:tcPr>
          <w:p>
            <w:r>
              <w:t>etcd</w:t>
            </w:r>
          </w:p>
        </w:tc>
        <w:tc>
          <w:tcPr>
            <w:tcW w:type="dxa" w:w="6912"/>
            <w:vAlign w:val="top"/>
          </w:tcPr>
          <w:p>
            <w:r>
              <w:t>Solo APISIX/control-plane identities/ports</w:t>
            </w:r>
          </w:p>
        </w:tc>
        <w:tc>
          <w:tcPr>
            <w:tcW w:type="dxa" w:w="3744"/>
            <w:vAlign w:val="top"/>
          </w:tcPr>
          <w:p>
            <w:r>
              <w:t>Non esposto a workload generici o external LB.</w:t>
            </w:r>
          </w:p>
        </w:tc>
      </w:tr>
      <w:tr>
        <w:tc>
          <w:tcPr>
            <w:tcW w:type="dxa" w:w="3024"/>
            <w:vAlign w:val="top"/>
          </w:tcPr>
          <w:p>
            <w:r>
              <w:t>GitOps</w:t>
            </w:r>
          </w:p>
        </w:tc>
        <w:tc>
          <w:tcPr>
            <w:tcW w:type="dxa" w:w="6912"/>
            <w:vAlign w:val="top"/>
          </w:tcPr>
          <w:p>
            <w:r>
              <w:t>Git registry/Kubernetes API secondo platform policy</w:t>
            </w:r>
          </w:p>
        </w:tc>
        <w:tc>
          <w:tcPr>
            <w:tcW w:type="dxa" w:w="3744"/>
            <w:vAlign w:val="top"/>
          </w:tcPr>
          <w:p>
            <w:r>
              <w:t>No write diretto a etcd bypassando declared config pipeline.</w:t>
            </w:r>
          </w:p>
        </w:tc>
      </w:tr>
    </w:tbl>
    <w:p>
      <w:pPr>
        <w:pStyle w:val="Heading2"/>
      </w:pPr>
      <w:r>
        <w:t>T33.9 Graceful drain, HA e rollout behavior</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3312"/>
            <w:shd w:fill="D9EAF7"/>
            <w:vAlign w:val="center"/>
          </w:tcPr>
          <w:p>
            <w:r>
              <w:rPr>
                <w:b/>
              </w:rPr>
              <w:t>Componente</w:t>
            </w:r>
          </w:p>
        </w:tc>
        <w:tc>
          <w:tcPr>
            <w:tcW w:type="dxa" w:w="10080"/>
            <w:shd w:fill="D9EAF7"/>
            <w:vAlign w:val="center"/>
          </w:tcPr>
          <w:p>
            <w:r>
              <w:rPr>
                <w:b/>
              </w:rPr>
              <w:t>Drain / rollout rule</w:t>
            </w:r>
          </w:p>
        </w:tc>
      </w:tr>
      <w:tr>
        <w:tc>
          <w:tcPr>
            <w:tcW w:type="dxa" w:w="3312"/>
            <w:vAlign w:val="top"/>
          </w:tcPr>
          <w:p>
            <w:r>
              <w:t>APISIX northbound</w:t>
            </w:r>
          </w:p>
        </w:tc>
        <w:tc>
          <w:tcPr>
            <w:tcW w:type="dxa" w:w="10080"/>
            <w:vAlign w:val="top"/>
          </w:tcPr>
          <w:p>
            <w:r>
              <w:t>Stop accepting new connections on terminating Pod; drain keep-alive/WebSocket/SSE entro termination grace; PDB preserva minimum available.</w:t>
            </w:r>
          </w:p>
        </w:tc>
      </w:tr>
      <w:tr>
        <w:tc>
          <w:tcPr>
            <w:tcW w:type="dxa" w:w="3312"/>
            <w:vAlign w:val="top"/>
          </w:tcPr>
          <w:p>
            <w:r>
              <w:t>APISIX southbound</w:t>
            </w:r>
          </w:p>
        </w:tc>
        <w:tc>
          <w:tcPr>
            <w:tcW w:type="dxa" w:w="10080"/>
            <w:vAlign w:val="top"/>
          </w:tcPr>
          <w:p>
            <w:r>
              <w:t>Stop new upstream requests; complete bounded in-flight; no retry duplication for non-idempotent calls.</w:t>
            </w:r>
          </w:p>
        </w:tc>
      </w:tr>
      <w:tr>
        <w:tc>
          <w:tcPr>
            <w:tcW w:type="dxa" w:w="3312"/>
            <w:vAlign w:val="top"/>
          </w:tcPr>
          <w:p>
            <w:r>
              <w:t>Ingress Controller</w:t>
            </w:r>
          </w:p>
        </w:tc>
        <w:tc>
          <w:tcPr>
            <w:tcW w:type="dxa" w:w="10080"/>
            <w:vAlign w:val="top"/>
          </w:tcPr>
          <w:p>
            <w:r>
              <w:t>Leader election/replicas; rolling update senza doppia publication non deterministica.</w:t>
            </w:r>
          </w:p>
        </w:tc>
      </w:tr>
      <w:tr>
        <w:tc>
          <w:tcPr>
            <w:tcW w:type="dxa" w:w="3312"/>
            <w:vAlign w:val="top"/>
          </w:tcPr>
          <w:p>
            <w:r>
              <w:t>etcd</w:t>
            </w:r>
          </w:p>
        </w:tc>
        <w:tc>
          <w:tcPr>
            <w:tcW w:type="dxa" w:w="10080"/>
            <w:vAlign w:val="top"/>
          </w:tcPr>
          <w:p>
            <w:r>
              <w:t>One member at a time; quorum preserved; snapshot pre-change; readiness checks before next member.</w:t>
            </w:r>
          </w:p>
        </w:tc>
      </w:tr>
      <w:tr>
        <w:tc>
          <w:tcPr>
            <w:tcW w:type="dxa" w:w="3312"/>
            <w:vAlign w:val="top"/>
          </w:tcPr>
          <w:p>
            <w:r>
              <w:t>Config publication</w:t>
            </w:r>
          </w:p>
        </w:tc>
        <w:tc>
          <w:tcPr>
            <w:tcW w:type="dxa" w:w="10080"/>
            <w:vAlign w:val="top"/>
          </w:tcPr>
          <w:p>
            <w:r>
              <w:t>Canary/staged where change affects plugin/route semantics; rollback target is explicit Git/tag/config revision.</w:t>
            </w:r>
          </w:p>
        </w:tc>
      </w:tr>
    </w:tbl>
    <w:p>
      <w:r>
        <w:rPr>
          <w:b/>
        </w:rPr>
        <w:t xml:space="preserve">Termination parameters. </w:t>
      </w:r>
      <w:r>
        <w:t>terminationGracePeriodSeconds, APISIX graceful shutdown timeout, WebSocket/SSE drain ceiling e controller leader-election timeouts sono environment config versionati e inclusi nel performance/rollout evidence.</w:t>
      </w:r>
    </w:p>
    <w:p>
      <w:pPr>
        <w:pStyle w:val="Heading2"/>
      </w:pPr>
      <w:r>
        <w:t>T33.10 DR, backup e restore acceptance</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3168"/>
            <w:shd w:fill="D9EAF7"/>
            <w:vAlign w:val="center"/>
          </w:tcPr>
          <w:p>
            <w:r>
              <w:rPr>
                <w:b/>
              </w:rPr>
              <w:t>Asset</w:t>
            </w:r>
          </w:p>
        </w:tc>
        <w:tc>
          <w:tcPr>
            <w:tcW w:type="dxa" w:w="10368"/>
            <w:shd w:fill="D9EAF7"/>
            <w:vAlign w:val="center"/>
          </w:tcPr>
          <w:p>
            <w:r>
              <w:rPr>
                <w:b/>
              </w:rPr>
              <w:t>Requirement</w:t>
            </w:r>
          </w:p>
        </w:tc>
      </w:tr>
      <w:tr>
        <w:tc>
          <w:tcPr>
            <w:tcW w:type="dxa" w:w="3168"/>
            <w:vAlign w:val="top"/>
          </w:tcPr>
          <w:p>
            <w:r>
              <w:t>etcd</w:t>
            </w:r>
          </w:p>
        </w:tc>
        <w:tc>
          <w:tcPr>
            <w:tcW w:type="dxa" w:w="10368"/>
            <w:vAlign w:val="top"/>
          </w:tcPr>
          <w:p>
            <w:r>
              <w:t>Scheduled encrypted snapshot, retention, restore rehearsal; RPO/RTO misurati in target infrastructure.</w:t>
            </w:r>
          </w:p>
        </w:tc>
      </w:tr>
      <w:tr>
        <w:tc>
          <w:tcPr>
            <w:tcW w:type="dxa" w:w="3168"/>
            <w:vAlign w:val="top"/>
          </w:tcPr>
          <w:p>
            <w:r>
              <w:t>Git/ouf-config</w:t>
            </w:r>
          </w:p>
        </w:tc>
        <w:tc>
          <w:tcPr>
            <w:tcW w:type="dxa" w:w="10368"/>
            <w:vAlign w:val="top"/>
          </w:tcPr>
          <w:p>
            <w:r>
              <w:t>Git è source of desired config; tag/commit e protected branch policy permettono riproduzione.</w:t>
            </w:r>
          </w:p>
        </w:tc>
      </w:tr>
      <w:tr>
        <w:tc>
          <w:tcPr>
            <w:tcW w:type="dxa" w:w="3168"/>
            <w:vAlign w:val="top"/>
          </w:tcPr>
          <w:p>
            <w:r>
              <w:t>PKI/secrets</w:t>
            </w:r>
          </w:p>
        </w:tc>
        <w:tc>
          <w:tcPr>
            <w:tcW w:type="dxa" w:w="10368"/>
            <w:vAlign w:val="top"/>
          </w:tcPr>
          <w:p>
            <w:r>
              <w:t>Backup/recovery secondo OpenBao/platform policy; secret value non esportato nel Gateway repository.</w:t>
            </w:r>
          </w:p>
        </w:tc>
      </w:tr>
      <w:tr>
        <w:tc>
          <w:tcPr>
            <w:tcW w:type="dxa" w:w="3168"/>
            <w:vAlign w:val="top"/>
          </w:tcPr>
          <w:p>
            <w:r>
              <w:t>Publication evidence</w:t>
            </w:r>
          </w:p>
        </w:tc>
        <w:tc>
          <w:tcPr>
            <w:tcW w:type="dxa" w:w="10368"/>
            <w:vAlign w:val="top"/>
          </w:tcPr>
          <w:p>
            <w:r>
              <w:t>PublicationManifest consente associare Git commit, generated config e ACTIVE revision dopo restore.</w:t>
            </w:r>
          </w:p>
        </w:tc>
      </w:tr>
      <w:tr>
        <w:tc>
          <w:tcPr>
            <w:tcW w:type="dxa" w:w="3168"/>
            <w:vAlign w:val="top"/>
          </w:tcPr>
          <w:p>
            <w:r>
              <w:t>Post-restore</w:t>
            </w:r>
          </w:p>
        </w:tc>
        <w:tc>
          <w:tcPr>
            <w:tcW w:type="dxa" w:w="10368"/>
            <w:vAlign w:val="top"/>
          </w:tcPr>
          <w:p>
            <w:r>
              <w:t>Quorum -&gt; APISIX reconnect -&gt; desired config convergence -&gt; auth/security negative test -&gt; north/south route smoke -&gt; controlled service restore.</w:t>
            </w:r>
          </w:p>
        </w:tc>
      </w:tr>
    </w:tbl>
    <w:p>
      <w:r>
        <w:rPr>
          <w:b/>
        </w:rPr>
        <w:t xml:space="preserve">Acceptance. </w:t>
      </w:r>
      <w:r>
        <w:t>Il restore non è considerato riuscito alla sola partenza di etcd: deve essere dimostrata la convergenza al desired state e l’assenza di route parziali, wildcard inattese o upstream non allowlistati.</w:t>
      </w:r>
    </w:p>
    <w:p>
      <w:pPr>
        <w:pStyle w:val="Heading2"/>
      </w:pPr>
      <w:r>
        <w:t>T33.11 Observability, SLO e reproducible capacity profile</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448"/>
            <w:shd w:fill="D9EAF7"/>
            <w:vAlign w:val="center"/>
          </w:tcPr>
          <w:p>
            <w:r>
              <w:rPr>
                <w:b/>
              </w:rPr>
              <w:t>Area</w:t>
            </w:r>
          </w:p>
        </w:tc>
        <w:tc>
          <w:tcPr>
            <w:tcW w:type="dxa" w:w="6912"/>
            <w:shd w:fill="D9EAF7"/>
            <w:vAlign w:val="center"/>
          </w:tcPr>
          <w:p>
            <w:r>
              <w:rPr>
                <w:b/>
              </w:rPr>
              <w:t>Metriche/evidence minime</w:t>
            </w:r>
          </w:p>
        </w:tc>
        <w:tc>
          <w:tcPr>
            <w:tcW w:type="dxa" w:w="4032"/>
            <w:shd w:fill="D9EAF7"/>
            <w:vAlign w:val="center"/>
          </w:tcPr>
          <w:p>
            <w:r>
              <w:rPr>
                <w:b/>
              </w:rPr>
              <w:t>Acceptance</w:t>
            </w:r>
          </w:p>
        </w:tc>
      </w:tr>
      <w:tr>
        <w:tc>
          <w:tcPr>
            <w:tcW w:type="dxa" w:w="2448"/>
            <w:vAlign w:val="top"/>
          </w:tcPr>
          <w:p>
            <w:r>
              <w:t>Northbound</w:t>
            </w:r>
          </w:p>
        </w:tc>
        <w:tc>
          <w:tcPr>
            <w:tcW w:type="dxa" w:w="6912"/>
            <w:vAlign w:val="top"/>
          </w:tcPr>
          <w:p>
            <w:r>
              <w:t>RPS, p50/p95/p99, 4xx/5xx, TLS/OIDC errors, active connections</w:t>
            </w:r>
          </w:p>
        </w:tc>
        <w:tc>
          <w:tcPr>
            <w:tcW w:type="dxa" w:w="4032"/>
            <w:vAlign w:val="top"/>
          </w:tcPr>
          <w:p>
            <w:r>
              <w:t>Route mix current/read/realtime/upload rappresentativo.</w:t>
            </w:r>
          </w:p>
        </w:tc>
      </w:tr>
      <w:tr>
        <w:tc>
          <w:tcPr>
            <w:tcW w:type="dxa" w:w="2448"/>
            <w:vAlign w:val="top"/>
          </w:tcPr>
          <w:p>
            <w:r>
              <w:t>Southbound</w:t>
            </w:r>
          </w:p>
        </w:tc>
        <w:tc>
          <w:tcPr>
            <w:tcW w:type="dxa" w:w="6912"/>
            <w:vAlign w:val="top"/>
          </w:tcPr>
          <w:p>
            <w:r>
              <w:t>per-source latency/error/timeout/retry/circuit, DNS/TLS failures</w:t>
            </w:r>
          </w:p>
        </w:tc>
        <w:tc>
          <w:tcPr>
            <w:tcW w:type="dxa" w:w="4032"/>
            <w:vAlign w:val="top"/>
          </w:tcPr>
          <w:p>
            <w:r>
              <w:t>Slow/down/SSRF source fixture senza impatto globale oltre soglie.</w:t>
            </w:r>
          </w:p>
        </w:tc>
      </w:tr>
      <w:tr>
        <w:tc>
          <w:tcPr>
            <w:tcW w:type="dxa" w:w="2448"/>
            <w:vAlign w:val="top"/>
          </w:tcPr>
          <w:p>
            <w:r>
              <w:t>Publication</w:t>
            </w:r>
          </w:p>
        </w:tc>
        <w:tc>
          <w:tcPr>
            <w:tcW w:type="dxa" w:w="6912"/>
            <w:vAlign w:val="top"/>
          </w:tcPr>
          <w:p>
            <w:r>
              <w:t>queue/batch size, validation duration, convergence time, failed/rollback, etcd writes</w:t>
            </w:r>
          </w:p>
        </w:tc>
        <w:tc>
          <w:tcPr>
            <w:tcW w:type="dxa" w:w="4032"/>
            <w:vAlign w:val="top"/>
          </w:tcPr>
          <w:p>
            <w:r>
              <w:t>Mass update/coalescing test.</w:t>
            </w:r>
          </w:p>
        </w:tc>
      </w:tr>
      <w:tr>
        <w:tc>
          <w:tcPr>
            <w:tcW w:type="dxa" w:w="2448"/>
            <w:vAlign w:val="top"/>
          </w:tcPr>
          <w:p>
            <w:r>
              <w:t>etcd</w:t>
            </w:r>
          </w:p>
        </w:tc>
        <w:tc>
          <w:tcPr>
            <w:tcW w:type="dxa" w:w="6912"/>
            <w:vAlign w:val="top"/>
          </w:tcPr>
          <w:p>
            <w:r>
              <w:t>leader, quorum, WAL fsync, backend commit latency, DB size/quota, compaction/defrag</w:t>
            </w:r>
          </w:p>
        </w:tc>
        <w:tc>
          <w:tcPr>
            <w:tcW w:type="dxa" w:w="4032"/>
            <w:vAlign w:val="top"/>
          </w:tcPr>
          <w:p>
            <w:r>
              <w:t>Slow-storage fault injection + restore test.</w:t>
            </w:r>
          </w:p>
        </w:tc>
      </w:tr>
      <w:tr>
        <w:tc>
          <w:tcPr>
            <w:tcW w:type="dxa" w:w="2448"/>
            <w:vAlign w:val="top"/>
          </w:tcPr>
          <w:p>
            <w:r>
              <w:t>Security</w:t>
            </w:r>
          </w:p>
        </w:tc>
        <w:tc>
          <w:tcPr>
            <w:tcW w:type="dxa" w:w="6912"/>
            <w:vAlign w:val="top"/>
          </w:tcPr>
          <w:p>
            <w:r>
              <w:t>JWT rejects, audience/scope denies, SSRF blocks, unregistered endpoint, mTLS failures</w:t>
            </w:r>
          </w:p>
        </w:tc>
        <w:tc>
          <w:tcPr>
            <w:tcW w:type="dxa" w:w="4032"/>
            <w:vAlign w:val="top"/>
          </w:tcPr>
          <w:p>
            <w:r>
              <w:t>Negative security suite mandatory.</w:t>
            </w:r>
          </w:p>
        </w:tc>
      </w:tr>
      <w:tr>
        <w:tc>
          <w:tcPr>
            <w:tcW w:type="dxa" w:w="2448"/>
            <w:vAlign w:val="top"/>
          </w:tcPr>
          <w:p>
            <w:r>
              <w:t>Resource</w:t>
            </w:r>
          </w:p>
        </w:tc>
        <w:tc>
          <w:tcPr>
            <w:tcW w:type="dxa" w:w="6912"/>
            <w:vAlign w:val="top"/>
          </w:tcPr>
          <w:p>
            <w:r>
              <w:t>CPU/RAM, worker utilization, open fds/connections, event loop latency</w:t>
            </w:r>
          </w:p>
        </w:tc>
        <w:tc>
          <w:tcPr>
            <w:tcW w:type="dxa" w:w="4032"/>
            <w:vAlign w:val="top"/>
          </w:tcPr>
          <w:p>
            <w:r>
              <w:t>HPA/PDB/load report con limits/requests dichiarati.</w:t>
            </w:r>
          </w:p>
        </w:tc>
      </w:tr>
    </w:tbl>
    <w:p>
      <w:pPr>
        <w:pStyle w:val="ListBullet"/>
      </w:pPr>
      <w:r>
        <w:t>Il performance fixture manifest dichiara route count, capability count, source count, request mix, payload sizes, SSE/WebSocket concurrency e backend latency distribution.</w:t>
      </w:r>
    </w:p>
    <w:p>
      <w:pPr>
        <w:pStyle w:val="ListBullet"/>
      </w:pPr>
      <w:r>
        <w:t>I target p95/p99 sono espressi per route class e non tramite un unico numero aggregato che nasconde GIS/upload/realtime path.</w:t>
      </w:r>
    </w:p>
    <w:p>
      <w:pPr>
        <w:pStyle w:val="ListBullet"/>
      </w:pPr>
      <w:r>
        <w:t>Dashboard Grafana e alert rules Prometheus sono release artifacts e devono riflettere i nomi metrici reali della versione installata.</w:t>
      </w:r>
    </w:p>
    <w:p>
      <w:pPr>
        <w:pStyle w:val="Heading2"/>
      </w:pPr>
      <w:r>
        <w:t>T33.12 Runbook operativo minimo</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3456"/>
            <w:shd w:fill="D9EAF7"/>
            <w:vAlign w:val="center"/>
          </w:tcPr>
          <w:p>
            <w:r>
              <w:rPr>
                <w:b/>
              </w:rPr>
              <w:t>Scenario</w:t>
            </w:r>
          </w:p>
        </w:tc>
        <w:tc>
          <w:tcPr>
            <w:tcW w:type="dxa" w:w="10080"/>
            <w:shd w:fill="D9EAF7"/>
            <w:vAlign w:val="center"/>
          </w:tcPr>
          <w:p>
            <w:r>
              <w:rPr>
                <w:b/>
              </w:rPr>
              <w:t>Azione standard</w:t>
            </w:r>
          </w:p>
        </w:tc>
      </w:tr>
      <w:tr>
        <w:tc>
          <w:tcPr>
            <w:tcW w:type="dxa" w:w="3456"/>
            <w:vAlign w:val="top"/>
          </w:tcPr>
          <w:p>
            <w:r>
              <w:t>etcd member down</w:t>
            </w:r>
          </w:p>
        </w:tc>
        <w:tc>
          <w:tcPr>
            <w:tcW w:type="dxa" w:w="10080"/>
            <w:vAlign w:val="top"/>
          </w:tcPr>
          <w:p>
            <w:r>
              <w:t>Verificare quorum/leader; sostituire/rejoin member secondo vendor procedure; nessuna re-init del cluster se quorum sano.</w:t>
            </w:r>
          </w:p>
        </w:tc>
      </w:tr>
      <w:tr>
        <w:tc>
          <w:tcPr>
            <w:tcW w:type="dxa" w:w="3456"/>
            <w:vAlign w:val="top"/>
          </w:tcPr>
          <w:p>
            <w:r>
              <w:t>etcd slow storage</w:t>
            </w:r>
          </w:p>
        </w:tc>
        <w:tc>
          <w:tcPr>
            <w:tcW w:type="dxa" w:w="10080"/>
            <w:vAlign w:val="top"/>
          </w:tcPr>
          <w:p>
            <w:r>
              <w:t>Bloccare publication burst, verificare fsync/IO, quota/defrag; preservare data plane last-known-good.</w:t>
            </w:r>
          </w:p>
        </w:tc>
      </w:tr>
      <w:tr>
        <w:tc>
          <w:tcPr>
            <w:tcW w:type="dxa" w:w="3456"/>
            <w:vAlign w:val="top"/>
          </w:tcPr>
          <w:p>
            <w:r>
              <w:t>Bad route/config release</w:t>
            </w:r>
          </w:p>
        </w:tc>
        <w:tc>
          <w:tcPr>
            <w:tcW w:type="dxa" w:w="10080"/>
            <w:vAlign w:val="top"/>
          </w:tcPr>
          <w:p>
            <w:r>
              <w:t>Stop promotion; rollback a commit/tag/config revision verificata; contract/security smoke.</w:t>
            </w:r>
          </w:p>
        </w:tc>
      </w:tr>
      <w:tr>
        <w:tc>
          <w:tcPr>
            <w:tcW w:type="dxa" w:w="3456"/>
            <w:vAlign w:val="top"/>
          </w:tcPr>
          <w:p>
            <w:r>
              <w:t>OIDC/JWKS outage</w:t>
            </w:r>
          </w:p>
        </w:tc>
        <w:tc>
          <w:tcPr>
            <w:tcW w:type="dxa" w:w="10080"/>
            <w:vAlign w:val="top"/>
          </w:tcPr>
          <w:p>
            <w:r>
              <w:t>Applicare cache/freshness policy; oltre soglia fail closed sulle route protette; no signature bypass.</w:t>
            </w:r>
          </w:p>
        </w:tc>
      </w:tr>
      <w:tr>
        <w:tc>
          <w:tcPr>
            <w:tcW w:type="dxa" w:w="3456"/>
            <w:vAlign w:val="top"/>
          </w:tcPr>
          <w:p>
            <w:r>
              <w:t>Source endpoint down</w:t>
            </w:r>
          </w:p>
        </w:tc>
        <w:tc>
          <w:tcPr>
            <w:tcW w:type="dxa" w:w="10080"/>
            <w:vAlign w:val="top"/>
          </w:tcPr>
          <w:p>
            <w:r>
              <w:t>Per-source health/circuit; bounded retry; non aprire egress diretto dal workload consumer.</w:t>
            </w:r>
          </w:p>
        </w:tc>
      </w:tr>
      <w:tr>
        <w:tc>
          <w:tcPr>
            <w:tcW w:type="dxa" w:w="3456"/>
            <w:vAlign w:val="top"/>
          </w:tcPr>
          <w:p>
            <w:r>
              <w:t>SSRF/security block</w:t>
            </w:r>
          </w:p>
        </w:tc>
        <w:tc>
          <w:tcPr>
            <w:tcW w:type="dxa" w:w="10080"/>
            <w:vAlign w:val="top"/>
          </w:tcPr>
          <w:p>
            <w:r>
              <w:t>Audit endpointRef/client/correlation; mantenere block; correggere registry/config, non aggiungere wildcard temporanea.</w:t>
            </w:r>
          </w:p>
        </w:tc>
      </w:tr>
      <w:tr>
        <w:tc>
          <w:tcPr>
            <w:tcW w:type="dxa" w:w="3456"/>
            <w:vAlign w:val="top"/>
          </w:tcPr>
          <w:p>
            <w:r>
              <w:t>Certificate rotation failure</w:t>
            </w:r>
          </w:p>
        </w:tc>
        <w:tc>
          <w:tcPr>
            <w:tcW w:type="dxa" w:w="10080"/>
            <w:vAlign w:val="top"/>
          </w:tcPr>
          <w:p>
            <w:r>
              <w:t>Rollback/overlap trust bundle se ancora valido; sostituzione governata; verify mTLS both directions.</w:t>
            </w:r>
          </w:p>
        </w:tc>
      </w:tr>
      <w:tr>
        <w:tc>
          <w:tcPr>
            <w:tcW w:type="dxa" w:w="3456"/>
            <w:vAlign w:val="top"/>
          </w:tcPr>
          <w:p>
            <w:r>
              <w:t>GitOps drift/manual edit</w:t>
            </w:r>
          </w:p>
        </w:tc>
        <w:tc>
          <w:tcPr>
            <w:tcW w:type="dxa" w:w="10080"/>
            <w:vAlign w:val="top"/>
          </w:tcPr>
          <w:p>
            <w:r>
              <w:t>Reconcile desired state; investigare accesso; nessuna adozione automatica della config manuale.</w:t>
            </w:r>
          </w:p>
        </w:tc>
      </w:tr>
      <w:tr>
        <w:tc>
          <w:tcPr>
            <w:tcW w:type="dxa" w:w="3456"/>
            <w:vAlign w:val="top"/>
          </w:tcPr>
          <w:p>
            <w:r>
              <w:t>Overload</w:t>
            </w:r>
          </w:p>
        </w:tc>
        <w:tc>
          <w:tcPr>
            <w:tcW w:type="dxa" w:w="10080"/>
            <w:vAlign w:val="top"/>
          </w:tcPr>
          <w:p>
            <w:r>
              <w:t>Rate/connection limits + HPA; proteggere etcd/control plane; no hidden retry amplification.</w:t>
            </w:r>
          </w:p>
        </w:tc>
      </w:tr>
      <w:tr>
        <w:tc>
          <w:tcPr>
            <w:tcW w:type="dxa" w:w="3456"/>
            <w:vAlign w:val="top"/>
          </w:tcPr>
          <w:p>
            <w:r>
              <w:t>Restore</w:t>
            </w:r>
          </w:p>
        </w:tc>
        <w:tc>
          <w:tcPr>
            <w:tcW w:type="dxa" w:w="10080"/>
            <w:vAlign w:val="top"/>
          </w:tcPr>
          <w:p>
            <w:r>
              <w:t>etcd restore isolato -&gt; APISIX/controller connect -&gt; GitOps reconcile -&gt; security/route verification -&gt; cut-over.</w:t>
            </w:r>
          </w:p>
        </w:tc>
      </w:tr>
    </w:tbl>
    <w:p>
      <w:pPr>
        <w:pStyle w:val="Heading2"/>
      </w:pPr>
      <w:r>
        <w:t>T33.13 CI/CD, Secure SDLC ed evidence package</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592"/>
            <w:shd w:fill="D9EAF7"/>
            <w:vAlign w:val="center"/>
          </w:tcPr>
          <w:p>
            <w:r>
              <w:rPr>
                <w:b/>
              </w:rPr>
              <w:t>Stage</w:t>
            </w:r>
          </w:p>
        </w:tc>
        <w:tc>
          <w:tcPr>
            <w:tcW w:type="dxa" w:w="10944"/>
            <w:shd w:fill="D9EAF7"/>
            <w:vAlign w:val="center"/>
          </w:tcPr>
          <w:p>
            <w:r>
              <w:rPr>
                <w:b/>
              </w:rPr>
              <w:t>Blocking checks</w:t>
            </w:r>
          </w:p>
        </w:tc>
      </w:tr>
      <w:tr>
        <w:tc>
          <w:tcPr>
            <w:tcW w:type="dxa" w:w="2592"/>
            <w:vAlign w:val="top"/>
          </w:tcPr>
          <w:p>
            <w:r>
              <w:t>Schema/config</w:t>
            </w:r>
          </w:p>
        </w:tc>
        <w:tc>
          <w:tcPr>
            <w:tcW w:type="dxa" w:w="10944"/>
            <w:vAlign w:val="top"/>
          </w:tcPr>
          <w:p>
            <w:r>
              <w:t>YAML/JSON Schema/OpenAPI lint, capability/source/extraction reference integrity, duplicate/wildcard route detection.</w:t>
            </w:r>
          </w:p>
        </w:tc>
      </w:tr>
      <w:tr>
        <w:tc>
          <w:tcPr>
            <w:tcW w:type="dxa" w:w="2592"/>
            <w:vAlign w:val="top"/>
          </w:tcPr>
          <w:p>
            <w:r>
              <w:t>Policy-as-code</w:t>
            </w:r>
          </w:p>
        </w:tc>
        <w:tc>
          <w:tcPr>
            <w:tcW w:type="dxa" w:w="10944"/>
            <w:vAlign w:val="top"/>
          </w:tcPr>
          <w:p>
            <w:r>
              <w:t>NetworkPolicy, TLS/OIDC, rate/timeout/body limits, endpointRef allowlist validation.</w:t>
            </w:r>
          </w:p>
        </w:tc>
      </w:tr>
      <w:tr>
        <w:tc>
          <w:tcPr>
            <w:tcW w:type="dxa" w:w="2592"/>
            <w:vAlign w:val="top"/>
          </w:tcPr>
          <w:p>
            <w:r>
              <w:t>Render/compile</w:t>
            </w:r>
          </w:p>
        </w:tc>
        <w:tc>
          <w:tcPr>
            <w:tcW w:type="dxa" w:w="10944"/>
            <w:vAlign w:val="top"/>
          </w:tcPr>
          <w:p>
            <w:r>
              <w:t>Deterministic generation of Gateway API/APISIX config; hash diff and environment overlay validation.</w:t>
            </w:r>
          </w:p>
        </w:tc>
      </w:tr>
      <w:tr>
        <w:tc>
          <w:tcPr>
            <w:tcW w:type="dxa" w:w="2592"/>
            <w:vAlign w:val="top"/>
          </w:tcPr>
          <w:p>
            <w:r>
              <w:t>Security</w:t>
            </w:r>
          </w:p>
        </w:tc>
        <w:tc>
          <w:tcPr>
            <w:tcW w:type="dxa" w:w="10944"/>
            <w:vAlign w:val="top"/>
          </w:tcPr>
          <w:p>
            <w:r>
              <w:t>SSRF/DNS rebinding/redirect, JWT negative, mTLS negative, secret scan, dependency/container scan.</w:t>
            </w:r>
          </w:p>
        </w:tc>
      </w:tr>
      <w:tr>
        <w:tc>
          <w:tcPr>
            <w:tcW w:type="dxa" w:w="2592"/>
            <w:vAlign w:val="top"/>
          </w:tcPr>
          <w:p>
            <w:r>
              <w:t>Integration</w:t>
            </w:r>
          </w:p>
        </w:tc>
        <w:tc>
          <w:tcPr>
            <w:tcW w:type="dxa" w:w="10944"/>
            <w:vAlign w:val="top"/>
          </w:tcPr>
          <w:p>
            <w:r>
              <w:t>APISIX + etcd + mock IAM + mock backend/source; northbound/southbound route behavior.</w:t>
            </w:r>
          </w:p>
        </w:tc>
      </w:tr>
      <w:tr>
        <w:tc>
          <w:tcPr>
            <w:tcW w:type="dxa" w:w="2592"/>
            <w:vAlign w:val="top"/>
          </w:tcPr>
          <w:p>
            <w:r>
              <w:t>Fault</w:t>
            </w:r>
          </w:p>
        </w:tc>
        <w:tc>
          <w:tcPr>
            <w:tcW w:type="dxa" w:w="10944"/>
            <w:vAlign w:val="top"/>
          </w:tcPr>
          <w:p>
            <w:r>
              <w:t>etcd member loss/slow storage, source timeout, JWKS failure, bad config convergence, cert failure.</w:t>
            </w:r>
          </w:p>
        </w:tc>
      </w:tr>
      <w:tr>
        <w:tc>
          <w:tcPr>
            <w:tcW w:type="dxa" w:w="2592"/>
            <w:vAlign w:val="top"/>
          </w:tcPr>
          <w:p>
            <w:r>
              <w:t>Performance</w:t>
            </w:r>
          </w:p>
        </w:tc>
        <w:tc>
          <w:tcPr>
            <w:tcW w:type="dxa" w:w="10944"/>
            <w:vAlign w:val="top"/>
          </w:tcPr>
          <w:p>
            <w:r>
              <w:t>Versioned traffic/source fixture + p95/p99 + connection/realtime + publication storm.</w:t>
            </w:r>
          </w:p>
        </w:tc>
      </w:tr>
      <w:tr>
        <w:tc>
          <w:tcPr>
            <w:tcW w:type="dxa" w:w="2592"/>
            <w:vAlign w:val="top"/>
          </w:tcPr>
          <w:p>
            <w:r>
              <w:t>Supply chain</w:t>
            </w:r>
          </w:p>
        </w:tc>
        <w:tc>
          <w:tcPr>
            <w:tcW w:type="dxa" w:w="10944"/>
            <w:vAlign w:val="top"/>
          </w:tcPr>
          <w:p>
            <w:r>
              <w:t>SBOM, signature/provenance for custom images/plugins; vendor image digest allowlist.</w:t>
            </w:r>
          </w:p>
        </w:tc>
      </w:tr>
      <w:tr>
        <w:tc>
          <w:tcPr>
            <w:tcW w:type="dxa" w:w="2592"/>
            <w:vAlign w:val="top"/>
          </w:tcPr>
          <w:p>
            <w:r>
              <w:t>Package</w:t>
            </w:r>
          </w:p>
        </w:tc>
        <w:tc>
          <w:tcPr>
            <w:tcW w:type="dxa" w:w="10944"/>
            <w:vAlign w:val="top"/>
          </w:tcPr>
          <w:p>
            <w:r>
              <w:t>Helm/manifests, ouf-config, schemas/OpenAPI, dashboards/alerts, runbook, compatibility manifest, PublicationManifest examples.</w:t>
            </w:r>
          </w:p>
        </w:tc>
      </w:tr>
      <w:tr>
        <w:tc>
          <w:tcPr>
            <w:tcW w:type="dxa" w:w="2592"/>
            <w:vAlign w:val="top"/>
          </w:tcPr>
          <w:p>
            <w:r>
              <w:t>Acceptance</w:t>
            </w:r>
          </w:p>
        </w:tc>
        <w:tc>
          <w:tcPr>
            <w:tcW w:type="dxa" w:w="10944"/>
            <w:vAlign w:val="top"/>
          </w:tcPr>
          <w:p>
            <w:r>
              <w:t>TECH/GW-A tests traceable to automated/manual evidence; zero unresolved blocker/high.</w:t>
            </w:r>
          </w:p>
        </w:tc>
      </w:tr>
    </w:tbl>
    <w:p>
      <w:r>
        <w:rPr>
          <w:b/>
        </w:rPr>
        <w:t xml:space="preserve">Custom plugin policy. </w:t>
      </w:r>
      <w:r>
        <w:t>La baseline non richiede custom APISIX plugin. Un plugin custom è ammesso solo con ADR che dimostri che configurazione/plugin standard non soddisfano il requisito; in tal caso il plugin entra nel Secure SDLC con unit/integration/security/performance test, SBOM, signing e support ownership.</w:t>
      </w:r>
    </w:p>
    <w:p>
      <w:pPr>
        <w:pStyle w:val="Heading2"/>
      </w:pPr>
      <w:r>
        <w:t>T33.14 Cross-module reference-integrity e activation gate</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448"/>
            <w:shd w:fill="D9EAF7"/>
            <w:vAlign w:val="center"/>
          </w:tcPr>
          <w:p>
            <w:r>
              <w:rPr>
                <w:b/>
              </w:rPr>
              <w:t>Gate</w:t>
            </w:r>
          </w:p>
        </w:tc>
        <w:tc>
          <w:tcPr>
            <w:tcW w:type="dxa" w:w="7056"/>
            <w:shd w:fill="D9EAF7"/>
            <w:vAlign w:val="center"/>
          </w:tcPr>
          <w:p>
            <w:r>
              <w:rPr>
                <w:b/>
              </w:rPr>
              <w:t>Verifica</w:t>
            </w:r>
          </w:p>
        </w:tc>
        <w:tc>
          <w:tcPr>
            <w:tcW w:type="dxa" w:w="3888"/>
            <w:shd w:fill="D9EAF7"/>
            <w:vAlign w:val="center"/>
          </w:tcPr>
          <w:p>
            <w:r>
              <w:rPr>
                <w:b/>
              </w:rPr>
              <w:t>Failure semantics</w:t>
            </w:r>
          </w:p>
        </w:tc>
      </w:tr>
      <w:tr>
        <w:tc>
          <w:tcPr>
            <w:tcW w:type="dxa" w:w="2448"/>
            <w:vAlign w:val="top"/>
          </w:tcPr>
          <w:p>
            <w:r>
              <w:t>CAPABILITY</w:t>
            </w:r>
          </w:p>
        </w:tc>
        <w:tc>
          <w:tcPr>
            <w:tcW w:type="dxa" w:w="7056"/>
            <w:vAlign w:val="top"/>
          </w:tcPr>
          <w:p>
            <w:r>
              <w:t>capabilityId/version esiste; audience/scope/coarse auth e owner backend coerenti</w:t>
            </w:r>
          </w:p>
        </w:tc>
        <w:tc>
          <w:tcPr>
            <w:tcW w:type="dxa" w:w="3888"/>
            <w:vAlign w:val="top"/>
          </w:tcPr>
          <w:p>
            <w:r>
              <w:t>Route non ACTIVE / default deny.</w:t>
            </w:r>
          </w:p>
        </w:tc>
      </w:tr>
      <w:tr>
        <w:tc>
          <w:tcPr>
            <w:tcW w:type="dxa" w:w="2448"/>
            <w:vAlign w:val="top"/>
          </w:tcPr>
          <w:p>
            <w:r>
              <w:t>SOURCE-RUNTIME</w:t>
            </w:r>
          </w:p>
        </w:tc>
        <w:tc>
          <w:tcPr>
            <w:tcW w:type="dxa" w:w="7056"/>
            <w:vAlign w:val="top"/>
          </w:tcPr>
          <w:p>
            <w:r>
              <w:t>sourceId + endpointRef + protocol + credentialRef + network binding risolvibili</w:t>
            </w:r>
          </w:p>
        </w:tc>
        <w:tc>
          <w:tcPr>
            <w:tcW w:type="dxa" w:w="3888"/>
            <w:vAlign w:val="top"/>
          </w:tcPr>
          <w:p>
            <w:r>
              <w:t>Southbound route non pubblicata.</w:t>
            </w:r>
          </w:p>
        </w:tc>
      </w:tr>
      <w:tr>
        <w:tc>
          <w:tcPr>
            <w:tcW w:type="dxa" w:w="2448"/>
            <w:vAlign w:val="top"/>
          </w:tcPr>
          <w:p>
            <w:r>
              <w:t>EXTRACTION</w:t>
            </w:r>
          </w:p>
        </w:tc>
        <w:tc>
          <w:tcPr>
            <w:tcW w:type="dxa" w:w="7056"/>
            <w:vAlign w:val="top"/>
          </w:tcPr>
          <w:p>
            <w:r>
              <w:t>ExtractionProfile/version referenziato e compatibile con Connector/Ingestion consumer</w:t>
            </w:r>
          </w:p>
        </w:tc>
        <w:tc>
          <w:tcPr>
            <w:tcW w:type="dxa" w:w="3888"/>
            <w:vAlign w:val="top"/>
          </w:tcPr>
          <w:p>
            <w:r>
              <w:t>Source sync activation bloccata.</w:t>
            </w:r>
          </w:p>
        </w:tc>
      </w:tr>
      <w:tr>
        <w:tc>
          <w:tcPr>
            <w:tcW w:type="dxa" w:w="2448"/>
            <w:vAlign w:val="top"/>
          </w:tcPr>
          <w:p>
            <w:r>
              <w:t>AUTHORIZATION</w:t>
            </w:r>
          </w:p>
        </w:tc>
        <w:tc>
          <w:tcPr>
            <w:tcW w:type="dxa" w:w="7056"/>
            <w:vAlign w:val="top"/>
          </w:tcPr>
          <w:p>
            <w:r>
              <w:t>Scenario/issuer/audience binding e backend required authorization capability coerenti</w:t>
            </w:r>
          </w:p>
        </w:tc>
        <w:tc>
          <w:tcPr>
            <w:tcW w:type="dxa" w:w="3888"/>
            <w:vAlign w:val="top"/>
          </w:tcPr>
          <w:p>
            <w:r>
              <w:t>Protected route non published/usable.</w:t>
            </w:r>
          </w:p>
        </w:tc>
      </w:tr>
      <w:tr>
        <w:tc>
          <w:tcPr>
            <w:tcW w:type="dxa" w:w="2448"/>
            <w:vAlign w:val="top"/>
          </w:tcPr>
          <w:p>
            <w:r>
              <w:t>BACKEND</w:t>
            </w:r>
          </w:p>
        </w:tc>
        <w:tc>
          <w:tcPr>
            <w:tcW w:type="dxa" w:w="7056"/>
            <w:vAlign w:val="top"/>
          </w:tcPr>
          <w:p>
            <w:r>
              <w:t>Service/port/health target registrato e NetworkPolicy coerente</w:t>
            </w:r>
          </w:p>
        </w:tc>
        <w:tc>
          <w:tcPr>
            <w:tcW w:type="dxa" w:w="3888"/>
            <w:vAlign w:val="top"/>
          </w:tcPr>
          <w:p>
            <w:r>
              <w:t>No wildcard/fallback backend.</w:t>
            </w:r>
          </w:p>
        </w:tc>
      </w:tr>
      <w:tr>
        <w:tc>
          <w:tcPr>
            <w:tcW w:type="dxa" w:w="2448"/>
            <w:vAlign w:val="top"/>
          </w:tcPr>
          <w:p>
            <w:r>
              <w:t>SEMANTIC</w:t>
            </w:r>
          </w:p>
        </w:tc>
        <w:tc>
          <w:tcPr>
            <w:tcW w:type="dxa" w:w="7056"/>
            <w:vAlign w:val="top"/>
          </w:tcPr>
          <w:p>
            <w:r>
              <w:t>Gateway non interpreta semantica; verifica solo presence/version refs richieste dal manifest tecnico</w:t>
            </w:r>
          </w:p>
        </w:tc>
        <w:tc>
          <w:tcPr>
            <w:tcW w:type="dxa" w:w="3888"/>
            <w:vAlign w:val="top"/>
          </w:tcPr>
          <w:p>
            <w:r>
              <w:t>Non inventa mapping; activation fails if required technical ref missing.</w:t>
            </w:r>
          </w:p>
        </w:tc>
      </w:tr>
      <w:tr>
        <w:tc>
          <w:tcPr>
            <w:tcW w:type="dxa" w:w="2448"/>
            <w:vAlign w:val="top"/>
          </w:tcPr>
          <w:p>
            <w:r>
              <w:t>PUBLICATION</w:t>
            </w:r>
          </w:p>
        </w:tc>
        <w:tc>
          <w:tcPr>
            <w:tcW w:type="dxa" w:w="7056"/>
            <w:vAlign w:val="top"/>
          </w:tcPr>
          <w:p>
            <w:r>
              <w:t>Generated artifacts converged and PublicationManifest success</w:t>
            </w:r>
          </w:p>
        </w:tc>
        <w:tc>
          <w:tcPr>
            <w:tcW w:type="dxa" w:w="3888"/>
            <w:vAlign w:val="top"/>
          </w:tcPr>
          <w:p>
            <w:r>
              <w:t>Commit in Git da solo non equivale ad ACTIVE.</w:t>
            </w:r>
          </w:p>
        </w:tc>
      </w:tr>
    </w:tbl>
    <w:p>
      <w:pPr>
        <w:pStyle w:val="Heading2"/>
      </w:pPr>
      <w:r>
        <w:t>T33.15 Gap closure register rispetto al gold standard Ingestion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440"/>
            <w:shd w:fill="D9EAF7"/>
            <w:vAlign w:val="center"/>
          </w:tcPr>
          <w:p>
            <w:r>
              <w:rPr>
                <w:b/>
              </w:rPr>
              <w:t>GS ID</w:t>
            </w:r>
          </w:p>
        </w:tc>
        <w:tc>
          <w:tcPr>
            <w:tcW w:type="dxa" w:w="6480"/>
            <w:shd w:fill="D9EAF7"/>
            <w:vAlign w:val="center"/>
          </w:tcPr>
          <w:p>
            <w:r>
              <w:rPr>
                <w:b/>
              </w:rPr>
              <w:t>Gap precedente</w:t>
            </w:r>
          </w:p>
        </w:tc>
        <w:tc>
          <w:tcPr>
            <w:tcW w:type="dxa" w:w="5760"/>
            <w:shd w:fill="D9EAF7"/>
            <w:vAlign w:val="center"/>
          </w:tcPr>
          <w:p>
            <w:r>
              <w:rPr>
                <w:b/>
              </w:rPr>
              <w:t>Esito v1.3</w:t>
            </w:r>
          </w:p>
        </w:tc>
      </w:tr>
      <w:tr>
        <w:tc>
          <w:tcPr>
            <w:tcW w:type="dxa" w:w="1440"/>
            <w:vAlign w:val="top"/>
          </w:tcPr>
          <w:p>
            <w:r>
              <w:t>GS-01/27</w:t>
            </w:r>
          </w:p>
        </w:tc>
        <w:tc>
          <w:tcPr>
            <w:tcW w:type="dxa" w:w="6480"/>
            <w:vAlign w:val="top"/>
          </w:tcPr>
          <w:p>
            <w:r>
              <w:t>Stratificazione storica e tecnologia descritta anche come futura</w:t>
            </w:r>
          </w:p>
        </w:tc>
        <w:tc>
          <w:tcPr>
            <w:tcW w:type="dxa" w:w="5760"/>
            <w:vAlign w:val="top"/>
          </w:tcPr>
          <w:p>
            <w:r>
              <w:t>CHIUSO — §T33.1</w:t>
            </w:r>
          </w:p>
        </w:tc>
      </w:tr>
      <w:tr>
        <w:tc>
          <w:tcPr>
            <w:tcW w:type="dxa" w:w="1440"/>
            <w:vAlign w:val="top"/>
          </w:tcPr>
          <w:p>
            <w:r>
              <w:t>GS-03/05/06</w:t>
            </w:r>
          </w:p>
        </w:tc>
        <w:tc>
          <w:tcPr>
            <w:tcW w:type="dxa" w:w="6480"/>
            <w:vAlign w:val="top"/>
          </w:tcPr>
          <w:p>
            <w:r>
              <w:t>Contract/route ownership distribuito</w:t>
            </w:r>
          </w:p>
        </w:tc>
        <w:tc>
          <w:tcPr>
            <w:tcW w:type="dxa" w:w="5760"/>
            <w:vAlign w:val="top"/>
          </w:tcPr>
          <w:p>
            <w:r>
              <w:t>CHIUSO — §T33.2</w:t>
            </w:r>
          </w:p>
        </w:tc>
      </w:tr>
      <w:tr>
        <w:tc>
          <w:tcPr>
            <w:tcW w:type="dxa" w:w="1440"/>
            <w:vAlign w:val="top"/>
          </w:tcPr>
          <w:p>
            <w:r>
              <w:t>GS-04/08</w:t>
            </w:r>
          </w:p>
        </w:tc>
        <w:tc>
          <w:tcPr>
            <w:tcW w:type="dxa" w:w="6480"/>
            <w:vAlign w:val="top"/>
          </w:tcPr>
          <w:p>
            <w:r>
              <w:t>Config publication state/atomicity non formalizzati come lifecycle</w:t>
            </w:r>
          </w:p>
        </w:tc>
        <w:tc>
          <w:tcPr>
            <w:tcW w:type="dxa" w:w="5760"/>
            <w:vAlign w:val="top"/>
          </w:tcPr>
          <w:p>
            <w:r>
              <w:t>CHIUSO — §T33.3</w:t>
            </w:r>
          </w:p>
        </w:tc>
      </w:tr>
      <w:tr>
        <w:tc>
          <w:tcPr>
            <w:tcW w:type="dxa" w:w="1440"/>
            <w:vAlign w:val="top"/>
          </w:tcPr>
          <w:p>
            <w:r>
              <w:t>GS-09</w:t>
            </w:r>
          </w:p>
        </w:tc>
        <w:tc>
          <w:tcPr>
            <w:tcW w:type="dxa" w:w="6480"/>
            <w:vAlign w:val="top"/>
          </w:tcPr>
          <w:p>
            <w:r>
              <w:t>Idempotency/config mutation non esplicita</w:t>
            </w:r>
          </w:p>
        </w:tc>
        <w:tc>
          <w:tcPr>
            <w:tcW w:type="dxa" w:w="5760"/>
            <w:vAlign w:val="top"/>
          </w:tcPr>
          <w:p>
            <w:r>
              <w:t>CHIUSO tramite Git revision + deterministic compile + publication manifest</w:t>
            </w:r>
          </w:p>
        </w:tc>
      </w:tr>
      <w:tr>
        <w:tc>
          <w:tcPr>
            <w:tcW w:type="dxa" w:w="1440"/>
            <w:vAlign w:val="top"/>
          </w:tcPr>
          <w:p>
            <w:r>
              <w:t>GS-10</w:t>
            </w:r>
          </w:p>
        </w:tc>
        <w:tc>
          <w:tcPr>
            <w:tcW w:type="dxa" w:w="6480"/>
            <w:vAlign w:val="top"/>
          </w:tcPr>
          <w:p>
            <w:r>
              <w:t>Controller/publication concurrency dispersa</w:t>
            </w:r>
          </w:p>
        </w:tc>
        <w:tc>
          <w:tcPr>
            <w:tcW w:type="dxa" w:w="5760"/>
            <w:vAlign w:val="top"/>
          </w:tcPr>
          <w:p>
            <w:r>
              <w:t>CHIUSO — §§T33.3, T33.6, T33.9</w:t>
            </w:r>
          </w:p>
        </w:tc>
      </w:tr>
      <w:tr>
        <w:tc>
          <w:tcPr>
            <w:tcW w:type="dxa" w:w="1440"/>
            <w:vAlign w:val="top"/>
          </w:tcPr>
          <w:p>
            <w:r>
              <w:t>GS-16</w:t>
            </w:r>
          </w:p>
        </w:tc>
        <w:tc>
          <w:tcPr>
            <w:tcW w:type="dxa" w:w="6480"/>
            <w:vAlign w:val="top"/>
          </w:tcPr>
          <w:p>
            <w:r>
              <w:t>Support window N/N+1 non formalizzato</w:t>
            </w:r>
          </w:p>
        </w:tc>
        <w:tc>
          <w:tcPr>
            <w:tcW w:type="dxa" w:w="5760"/>
            <w:vAlign w:val="top"/>
          </w:tcPr>
          <w:p>
            <w:r>
              <w:t>CHIUSO — §T33.4</w:t>
            </w:r>
          </w:p>
        </w:tc>
      </w:tr>
      <w:tr>
        <w:tc>
          <w:tcPr>
            <w:tcW w:type="dxa" w:w="1440"/>
            <w:vAlign w:val="top"/>
          </w:tcPr>
          <w:p>
            <w:r>
              <w:t>GS-18</w:t>
            </w:r>
          </w:p>
        </w:tc>
        <w:tc>
          <w:tcPr>
            <w:tcW w:type="dxa" w:w="6480"/>
            <w:vAlign w:val="top"/>
          </w:tcPr>
          <w:p>
            <w:r>
              <w:t>M2M A/B/C non valorizzato</w:t>
            </w:r>
          </w:p>
        </w:tc>
        <w:tc>
          <w:tcPr>
            <w:tcW w:type="dxa" w:w="5760"/>
            <w:vAlign w:val="top"/>
          </w:tcPr>
          <w:p>
            <w:r>
              <w:t>ESTERNO MA GOVERNATO — §T33.5; P0 integration gate</w:t>
            </w:r>
          </w:p>
        </w:tc>
      </w:tr>
      <w:tr>
        <w:tc>
          <w:tcPr>
            <w:tcW w:type="dxa" w:w="1440"/>
            <w:vAlign w:val="top"/>
          </w:tcPr>
          <w:p>
            <w:r>
              <w:t>GS-20/28</w:t>
            </w:r>
          </w:p>
        </w:tc>
        <w:tc>
          <w:tcPr>
            <w:tcW w:type="dxa" w:w="6480"/>
            <w:vAlign w:val="top"/>
          </w:tcPr>
          <w:p>
            <w:r>
              <w:t>Hard limits/config catalog distribuiti</w:t>
            </w:r>
          </w:p>
        </w:tc>
        <w:tc>
          <w:tcPr>
            <w:tcW w:type="dxa" w:w="5760"/>
            <w:vAlign w:val="top"/>
          </w:tcPr>
          <w:p>
            <w:r>
              <w:t>CHIUSO — §T33.6</w:t>
            </w:r>
          </w:p>
        </w:tc>
      </w:tr>
      <w:tr>
        <w:tc>
          <w:tcPr>
            <w:tcW w:type="dxa" w:w="1440"/>
            <w:vAlign w:val="top"/>
          </w:tcPr>
          <w:p>
            <w:r>
              <w:t>GS-26</w:t>
            </w:r>
          </w:p>
        </w:tc>
        <w:tc>
          <w:tcPr>
            <w:tcW w:type="dxa" w:w="6480"/>
            <w:vAlign w:val="top"/>
          </w:tcPr>
          <w:p>
            <w:r>
              <w:t>Graceful drain parameters non espliciti</w:t>
            </w:r>
          </w:p>
        </w:tc>
        <w:tc>
          <w:tcPr>
            <w:tcW w:type="dxa" w:w="5760"/>
            <w:vAlign w:val="top"/>
          </w:tcPr>
          <w:p>
            <w:r>
              <w:t>CHIUSO — §T33.9</w:t>
            </w:r>
          </w:p>
        </w:tc>
      </w:tr>
      <w:tr>
        <w:tc>
          <w:tcPr>
            <w:tcW w:type="dxa" w:w="1440"/>
            <w:vAlign w:val="top"/>
          </w:tcPr>
          <w:p>
            <w:r>
              <w:t>GS-31</w:t>
            </w:r>
          </w:p>
        </w:tc>
        <w:tc>
          <w:tcPr>
            <w:tcW w:type="dxa" w:w="6480"/>
            <w:vAlign w:val="top"/>
          </w:tcPr>
          <w:p>
            <w:r>
              <w:t>DR evidence non completamente formalizzata</w:t>
            </w:r>
          </w:p>
        </w:tc>
        <w:tc>
          <w:tcPr>
            <w:tcW w:type="dxa" w:w="5760"/>
            <w:vAlign w:val="top"/>
          </w:tcPr>
          <w:p>
            <w:r>
              <w:t>CHIUSO — §T33.10</w:t>
            </w:r>
          </w:p>
        </w:tc>
      </w:tr>
      <w:tr>
        <w:tc>
          <w:tcPr>
            <w:tcW w:type="dxa" w:w="1440"/>
            <w:vAlign w:val="top"/>
          </w:tcPr>
          <w:p>
            <w:r>
              <w:t>GS-33</w:t>
            </w:r>
          </w:p>
        </w:tc>
        <w:tc>
          <w:tcPr>
            <w:tcW w:type="dxa" w:w="6480"/>
            <w:vAlign w:val="top"/>
          </w:tcPr>
          <w:p>
            <w:r>
              <w:t>Runbook più deliverable che contratto operativo</w:t>
            </w:r>
          </w:p>
        </w:tc>
        <w:tc>
          <w:tcPr>
            <w:tcW w:type="dxa" w:w="5760"/>
            <w:vAlign w:val="top"/>
          </w:tcPr>
          <w:p>
            <w:r>
              <w:t>CHIUSO — §T33.12</w:t>
            </w:r>
          </w:p>
        </w:tc>
      </w:tr>
      <w:tr>
        <w:tc>
          <w:tcPr>
            <w:tcW w:type="dxa" w:w="1440"/>
            <w:vAlign w:val="top"/>
          </w:tcPr>
          <w:p>
            <w:r>
              <w:t>GS-34</w:t>
            </w:r>
          </w:p>
        </w:tc>
        <w:tc>
          <w:tcPr>
            <w:tcW w:type="dxa" w:w="6480"/>
            <w:vAlign w:val="top"/>
          </w:tcPr>
          <w:p>
            <w:r>
              <w:t>Evidence package non canonico</w:t>
            </w:r>
          </w:p>
        </w:tc>
        <w:tc>
          <w:tcPr>
            <w:tcW w:type="dxa" w:w="5760"/>
            <w:vAlign w:val="top"/>
          </w:tcPr>
          <w:p>
            <w:r>
              <w:t>CHIUSO — §T33.13</w:t>
            </w:r>
          </w:p>
        </w:tc>
      </w:tr>
      <w:tr>
        <w:tc>
          <w:tcPr>
            <w:tcW w:type="dxa" w:w="1440"/>
            <w:vAlign w:val="top"/>
          </w:tcPr>
          <w:p>
            <w:r>
              <w:t>GS-36</w:t>
            </w:r>
          </w:p>
        </w:tc>
        <w:tc>
          <w:tcPr>
            <w:tcW w:type="dxa" w:w="6480"/>
            <w:vAlign w:val="top"/>
          </w:tcPr>
          <w:p>
            <w:r>
              <w:t>Cross-module activation/reference gate non eseguibile</w:t>
            </w:r>
          </w:p>
        </w:tc>
        <w:tc>
          <w:tcPr>
            <w:tcW w:type="dxa" w:w="5760"/>
            <w:vAlign w:val="top"/>
          </w:tcPr>
          <w:p>
            <w:r>
              <w:t>CHIUSO — §T33.14</w:t>
            </w:r>
          </w:p>
        </w:tc>
      </w:tr>
    </w:tbl>
    <w:p>
      <w:pPr>
        <w:pStyle w:val="Heading2"/>
      </w:pPr>
      <w:r>
        <w:t>T33.16 Definition of Done v1.3 — handoff allo sviluppo/deployment</w:t>
      </w:r>
    </w:p>
    <w:p>
      <w:pPr>
        <w:pStyle w:val="ListBullet"/>
      </w:pPr>
      <w:r>
        <w:t>La baseline tecnologica corrente è unica e autoritativa; nessuna decisione già assunta resta descritta come futura nel perimetro implementativo.</w:t>
      </w:r>
    </w:p>
    <w:p>
      <w:pPr>
        <w:pStyle w:val="ListBullet"/>
      </w:pPr>
      <w:r>
        <w:t>Il repository contiene capability/source/extraction/route/policy manifests, schema macchina, environment overlays e generated-config evidence.</w:t>
      </w:r>
    </w:p>
    <w:p>
      <w:pPr>
        <w:pStyle w:val="ListBullet"/>
      </w:pPr>
      <w:r>
        <w:t>Git commit -&gt; validation -&gt; deterministic compile -&gt; staged verify -&gt; activation -&gt; PublicationManifest è testato e rollbackabile.</w:t>
      </w:r>
    </w:p>
    <w:p>
      <w:pPr>
        <w:pStyle w:val="ListBullet"/>
      </w:pPr>
      <w:r>
        <w:t>Northbound/southbound NetworkPolicy, endpoint allowlist, SSRF hardening, OIDC/mTLS e secretRef passano negative-path security test.</w:t>
      </w:r>
    </w:p>
    <w:p>
      <w:pPr>
        <w:pStyle w:val="ListBullet"/>
      </w:pPr>
      <w:r>
        <w:t>etcd quorum, slow-storage behavior, snapshot/restore e post-restore convergence sono provati su infrastruttura rappresentativa.</w:t>
      </w:r>
    </w:p>
    <w:p>
      <w:pPr>
        <w:pStyle w:val="ListBullet"/>
      </w:pPr>
      <w:r>
        <w:t>Compatibility N/N+1 per manifest/config/controller/runtime è dichiarata e testata durante rolling upgrade.</w:t>
      </w:r>
    </w:p>
    <w:p>
      <w:pPr>
        <w:pStyle w:val="ListBullet"/>
      </w:pPr>
      <w:r>
        <w:t>Graceful drain, PDB/HPA, realtime connections, upload streaming e source timeouts sono coperti dal performance/fault profile.</w:t>
      </w:r>
    </w:p>
    <w:p>
      <w:pPr>
        <w:pStyle w:val="ListBullet"/>
      </w:pPr>
      <w:r>
        <w:t>Dashboard, alerts, runbook, compatibility manifest, SBOM/provenance e test evidence fanno parte del supplier handoff.</w:t>
      </w:r>
    </w:p>
    <w:p>
      <w:pPr>
        <w:pStyle w:val="ListBullet"/>
      </w:pPr>
      <w:r>
        <w:t>Il cross-module activation gate impedisce route ACTIVE con capability, source runtime, extraction profile, authorization binding o backend reference incoerenti.</w:t>
      </w:r>
    </w:p>
    <w:p>
      <w:pPr>
        <w:pStyle w:val="ListBullet"/>
      </w:pPr>
      <w:r>
        <w:t>Non restano TBD implementativi interni al Gateway. Gli unici binding valorizzabili a integration/deployment time sono esterni e già modellati: scenario IAM/M2M A/B/C, issuer/audience/trust, DNS/VIP/LB/firewall, PKI/secret manager endpoints, source/backend endpointRef e storage-class/DR parameters.</w:t>
      </w:r>
    </w:p>
    <w:p/>
    <w:p>
      <w:r>
        <w:rPr>
          <w:b/>
        </w:rPr>
        <w:t xml:space="preserve">Stato reale della specifica v1.3: </w:t>
      </w:r>
      <w:r>
        <w:t>development-ready per implementazione, configurazione, integrazione e collaudo dell’Urban API Gateway. La revisione non introduce nuove responsabilità applicative nel Gateway: routing, boundary security, configuration publication e network governance restano il suo perimetro; semantica, fine-grained authorization, query governance, ingestion durability e trasformazione dati restano ai rispettivi owner.</w:t>
      </w:r>
    </w:p>
    <w:p>
      <w:r>
        <w:br w:type="page"/>
      </w:r>
    </w:p>
    <w:p>
      <w:pPr>
        <w:pStyle w:val="Heading1"/>
      </w:pPr>
      <w:r>
        <w:t>34. Operational Awareness at the Gateway boundary</w:t>
      </w:r>
    </w:p>
    <w:p>
      <w:pPr>
        <w:pStyle w:val="Heading2"/>
      </w:pPr>
      <w:r>
        <w:t>34.1 Gateway-owned operational events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eventType</w:t>
            </w:r>
          </w:p>
        </w:tc>
        <w:tc>
          <w:tcPr>
            <w:tcW w:type="dxa" w:w="3024"/>
          </w:tcPr>
          <w:p>
            <w:r>
              <w:rPr>
                <w:b/>
              </w:rPr>
              <w:t>Trigger minimo</w:t>
            </w:r>
          </w:p>
        </w:tc>
        <w:tc>
          <w:tcPr>
            <w:tcW w:type="dxa" w:w="3024"/>
          </w:tcPr>
          <w:p>
            <w:r>
              <w:rPr>
                <w:b/>
              </w:rPr>
              <w:t>Note</w:t>
            </w:r>
          </w:p>
        </w:tc>
      </w:tr>
      <w:tr>
        <w:tc>
          <w:tcPr>
            <w:tcW w:type="dxa" w:w="3024"/>
          </w:tcPr>
          <w:p>
            <w:r>
              <w:t>GATEWAY_PUBLICATION_BLOCKED</w:t>
            </w:r>
          </w:p>
        </w:tc>
        <w:tc>
          <w:tcPr>
            <w:tcW w:type="dxa" w:w="3024"/>
          </w:tcPr>
          <w:p>
            <w:r>
              <w:t>activation/pubblicazione rifiutata per gate incoerente</w:t>
            </w:r>
          </w:p>
        </w:tc>
        <w:tc>
          <w:tcPr>
            <w:tcW w:type="dxa" w:w="3024"/>
          </w:tcPr>
          <w:p>
            <w:r>
              <w:t>include revision/ref safe</w:t>
            </w:r>
          </w:p>
        </w:tc>
      </w:tr>
      <w:tr>
        <w:tc>
          <w:tcPr>
            <w:tcW w:type="dxa" w:w="3024"/>
          </w:tcPr>
          <w:p>
            <w:r>
              <w:t>GATEWAY_ETCD_DEGRADED</w:t>
            </w:r>
          </w:p>
        </w:tc>
        <w:tc>
          <w:tcPr>
            <w:tcW w:type="dxa" w:w="3024"/>
          </w:tcPr>
          <w:p>
            <w:r>
              <w:t>quorum/storage/pending proposal oltre soglia</w:t>
            </w:r>
          </w:p>
        </w:tc>
        <w:tc>
          <w:tcPr>
            <w:tcW w:type="dxa" w:w="3024"/>
          </w:tcPr>
          <w:p>
            <w:r>
              <w:t>aggregate; no raw cluster secret</w:t>
            </w:r>
          </w:p>
        </w:tc>
      </w:tr>
      <w:tr>
        <w:tc>
          <w:tcPr>
            <w:tcW w:type="dxa" w:w="3024"/>
          </w:tcPr>
          <w:p>
            <w:r>
              <w:t>GATEWAY_UPSTREAM_UNAVAILABLE</w:t>
            </w:r>
          </w:p>
        </w:tc>
        <w:tc>
          <w:tcPr>
            <w:tcW w:type="dxa" w:w="3024"/>
          </w:tcPr>
          <w:p>
            <w:r>
              <w:t>registered upstream non raggiungibile oltre retry/debounce</w:t>
            </w:r>
          </w:p>
        </w:tc>
        <w:tc>
          <w:tcPr>
            <w:tcW w:type="dxa" w:w="3024"/>
          </w:tcPr>
          <w:p>
            <w:r>
              <w:t>endpointRef logico, non credential</w:t>
            </w:r>
          </w:p>
        </w:tc>
      </w:tr>
      <w:tr>
        <w:tc>
          <w:tcPr>
            <w:tcW w:type="dxa" w:w="3024"/>
          </w:tcPr>
          <w:p>
            <w:r>
              <w:t>GATEWAY_IDENTITY_TRUST_FAILURE</w:t>
            </w:r>
          </w:p>
        </w:tc>
        <w:tc>
          <w:tcPr>
            <w:tcW w:type="dxa" w:w="3024"/>
          </w:tcPr>
          <w:p>
            <w:r>
              <w:t>issuer/JWKS/audience/trust binding failure significativo</w:t>
            </w:r>
          </w:p>
        </w:tc>
        <w:tc>
          <w:tcPr>
            <w:tcW w:type="dxa" w:w="3024"/>
          </w:tcPr>
          <w:p>
            <w:r>
              <w:t>security visibility may be restricted</w:t>
            </w:r>
          </w:p>
        </w:tc>
      </w:tr>
      <w:tr>
        <w:tc>
          <w:tcPr>
            <w:tcW w:type="dxa" w:w="3024"/>
          </w:tcPr>
          <w:p>
            <w:r>
              <w:t>GATEWAY_RATE_SATURATION</w:t>
            </w:r>
          </w:p>
        </w:tc>
        <w:tc>
          <w:tcPr>
            <w:tcW w:type="dxa" w:w="3024"/>
          </w:tcPr>
          <w:p>
            <w:r>
              <w:t>saturation/rate rejection sopra soglia governata</w:t>
            </w:r>
          </w:p>
        </w:tc>
        <w:tc>
          <w:tcPr>
            <w:tcW w:type="dxa" w:w="3024"/>
          </w:tcPr>
          <w:p>
            <w:r>
              <w:t>bounded aggregate</w:t>
            </w:r>
          </w:p>
        </w:tc>
      </w:tr>
      <w:tr>
        <w:tc>
          <w:tcPr>
            <w:tcW w:type="dxa" w:w="3024"/>
          </w:tcPr>
          <w:p>
            <w:r>
              <w:t>GATEWAY_RECOVERED</w:t>
            </w:r>
          </w:p>
        </w:tc>
        <w:tc>
          <w:tcPr>
            <w:tcW w:type="dxa" w:w="3024"/>
          </w:tcPr>
          <w:p>
            <w:r>
              <w:t>recovery correlata a incidente aperto</w:t>
            </w:r>
          </w:p>
        </w:tc>
        <w:tc>
          <w:tcPr>
            <w:tcW w:type="dxa" w:w="3024"/>
          </w:tcPr>
          <w:p>
            <w:r>
              <w:t>same incidentId RESOLVED</w:t>
            </w:r>
          </w:p>
        </w:tc>
      </w:tr>
    </w:tbl>
    <w:p>
      <w:pPr>
        <w:pStyle w:val="Heading2"/>
      </w:pPr>
      <w:r>
        <w:t>34.2 Mediation requirements</w:t>
      </w:r>
    </w:p>
    <w:p>
      <w:pPr>
        <w:pStyle w:val="ListBullet"/>
      </w:pPr>
      <w:r>
        <w:t>Le query MCP operational-awareness verso Ingestion/Onboarding/altri owner passano dal Gateway con identity propagation e authorization context verificabile.</w:t>
      </w:r>
    </w:p>
    <w:p>
      <w:pPr>
        <w:pStyle w:val="ListBullet"/>
      </w:pPr>
      <w:r>
        <w:t>Il Gateway non può trasformare una failure di un modulo non raggiungibile in “nessun incidente”: deve restituire MODULE_UNAVAILABLE/PARTIAL con correlationId.</w:t>
      </w:r>
    </w:p>
    <w:p>
      <w:pPr>
        <w:pStyle w:val="ListBullet"/>
      </w:pPr>
      <w:r>
        <w:t>NetworkPolicy e allowlist restano applicate anche al percorso operational-awareness; nessun nuovo generic egress è introdotto.</w:t>
      </w:r>
    </w:p>
    <w:p>
      <w:pPr>
        <w:pStyle w:val="ListBullet"/>
      </w:pPr>
      <w:r>
        <w:t>Endpoint fisici non compaiono nei tool input MCP; si usano capabilityId/endpointRef governati.</w:t>
      </w:r>
    </w:p>
    <w:p>
      <w:pPr>
        <w:pStyle w:val="Heading2"/>
      </w:pPr>
      <w:r>
        <w:t>34.3 Telemetry versus user-facing incident</w:t>
      </w:r>
    </w:p>
    <w:p>
      <w:pPr>
        <w:pStyle w:val="ListBullet"/>
      </w:pPr>
      <w:r>
        <w:t>Metriche e log rimangono high-cardinality telemetry; gli OperationalEvent sono low-cardinality semantic transitions.</w:t>
      </w:r>
    </w:p>
    <w:p>
      <w:pPr>
        <w:pStyle w:val="ListBullet"/>
      </w:pPr>
      <w:r>
        <w:t>Il Gateway deve applicare debounce/dedup per evitare un incidente per ogni singolo 5xx/timeout.</w:t>
      </w:r>
    </w:p>
    <w:p>
      <w:pPr>
        <w:pStyle w:val="ListBullet"/>
      </w:pPr>
      <w:r>
        <w:t>Una recovery deve aggiornare/chiudere l’incidente correlato anziché generare solo un evento isolato.</w:t>
      </w:r>
    </w:p>
    <w:p>
      <w:pPr>
        <w:pStyle w:val="Heading2"/>
      </w:pPr>
      <w:r>
        <w:t>34.4 Acceptance OA-GW</w:t>
      </w:r>
    </w:p>
    <w:p>
      <w:pPr>
        <w:pStyle w:val="ListBullet"/>
      </w:pPr>
      <w:r>
        <w:t>OA-GW-01: upstream non raggiungibile oltre soglia produce incident aggregate persistibile con endpointRef logico.</w:t>
      </w:r>
    </w:p>
    <w:p>
      <w:pPr>
        <w:pStyle w:val="ListBullet"/>
      </w:pPr>
      <w:r>
        <w:t>OA-GW-02: etcd degraded blocca publication e produce stato operativo coerente con GW-A17..A20.</w:t>
      </w:r>
    </w:p>
    <w:p>
      <w:pPr>
        <w:pStyle w:val="ListBullet"/>
      </w:pPr>
      <w:r>
        <w:t>OA-GW-03: query operational-awareness non bypassa Authorization né NetworkPolicy.</w:t>
      </w:r>
    </w:p>
    <w:p>
      <w:pPr>
        <w:pStyle w:val="ListBullet"/>
      </w:pPr>
      <w:r>
        <w:t>OA-GW-04: modulo owner non raggiungibile produce PARTIAL/UNKNOWN, mai falso HEALTHY.</w:t>
      </w:r>
    </w:p>
    <w:p>
      <w:pPr>
        <w:pStyle w:val="ListBullet"/>
      </w:pPr>
      <w:r>
        <w:t>OA-GW-05: recovery correla e risolve l’incidente precedente.</w:t>
      </w:r>
    </w:p>
    <w:p>
      <w:r>
        <w:br w:type="page"/>
      </w:r>
    </w:p>
    <w:p>
      <w:pPr>
        <w:pStyle w:val="Heading1"/>
      </w:pPr>
      <w:r>
        <w:t>35. Channel-neutral Operational Awareness mediation</w:t>
      </w:r>
    </w:p>
    <w:p>
      <w:r>
        <w:t>Normative correction v1.5. Urban API Gateway is the common mediation boundary for human-facing Operational Awareness capabilities regardless of presentation channel. MCP, a future UI, CLI and approved automation clients consume the same governed capability identities; channel-specific adapters MUST NOT create alternate owner paths.</w:t>
      </w:r>
    </w:p>
    <w:p>
      <w:pPr>
        <w:pStyle w:val="Heading2"/>
      </w:pPr>
      <w:r>
        <w:t>35.1 MCP-owned capability routing</w:t>
      </w:r>
    </w:p>
    <w:p>
      <w:pPr>
        <w:pStyle w:val="ListBullet"/>
      </w:pPr>
      <w:r>
        <w:t>Gateway MUST register MCP Server as a normal backend owner for ouf.system.status through a private MCP owner API endpoint.</w:t>
      </w:r>
    </w:p>
    <w:p>
      <w:pPr>
        <w:pStyle w:val="ListBullet"/>
      </w:pPr>
      <w:r>
        <w:t>The backend route MUST target /api/internal/v1/mcp/operations/status (or versioned equivalent) and MUST NOT target the MCP protocol endpoint /mcp.</w:t>
      </w:r>
    </w:p>
    <w:p>
      <w:pPr>
        <w:pStyle w:val="ListBullet"/>
      </w:pPr>
      <w:r>
        <w:t>Allowed caller identities/scopes are governed by Authorization and route policy, not hard-coded to chatbot semantics. MCP Server is one allowed caller, not the capability owner/exposure monopoly.</w:t>
      </w:r>
    </w:p>
    <w:p>
      <w:pPr>
        <w:pStyle w:val="ListBullet"/>
      </w:pPr>
      <w:r>
        <w:t>Gateway MUST propagate correlation and verified identity/authorization context to the MCP owner endpoint.</w:t>
      </w:r>
    </w:p>
    <w:p>
      <w:pPr>
        <w:pStyle w:val="ListBullet"/>
      </w:pPr>
      <w:r>
        <w:t>NetworkPolicy and workload identity MUST prevent external/direct calls to the owner endpoint; the Gateway remains the public/internal northbound mediation boundary.</w:t>
      </w:r>
    </w:p>
    <w:p>
      <w:pPr>
        <w:pStyle w:val="Heading2"/>
      </w:pPr>
      <w:r>
        <w:t>35.2 Cross-channel acceptance criteria OA-GW-CN</w:t>
      </w:r>
    </w:p>
    <w:p>
      <w:pPr>
        <w:pStyle w:val="ListBullet"/>
      </w:pPr>
      <w:r>
        <w:t>OA-GW-CN-01: compiled Gateway config contains capability and route binding for ouf.system.status owned by MCP.</w:t>
      </w:r>
    </w:p>
    <w:p>
      <w:pPr>
        <w:pStyle w:val="ListBullet"/>
      </w:pPr>
      <w:r>
        <w:t>OA-GW-CN-02: MCP caller and a synthetic approved non-MCP caller resolve to the same capability/backend binding under different Authorization decisions.</w:t>
      </w:r>
    </w:p>
    <w:p>
      <w:pPr>
        <w:pStyle w:val="ListBullet"/>
      </w:pPr>
      <w:r>
        <w:t>OA-GW-CN-03: no route backend for ouf.system.status points to /mcp.</w:t>
      </w:r>
    </w:p>
    <w:p>
      <w:pPr>
        <w:pStyle w:val="ListBullet"/>
      </w:pPr>
      <w:r>
        <w:t>OA-GW-CN-04: unauthorized caller receives denial and cannot infer protected status.</w:t>
      </w:r>
    </w:p>
    <w:p>
      <w:pPr>
        <w:pStyle w:val="ListBullet"/>
      </w:pPr>
      <w:r>
        <w:t>OA-GW-CN-05: owner endpoint is not exposed as a standalone public route.</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6" w:h="16838"/>
      <w:pgMar w:top="1417" w:right="1417" w:bottom="1417" w:left="1417" w:header="312"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top w:val="single" w:sz="8" w:space="3" w:color="0B4F6C"/>
      </w:pBdr>
    </w:pPr>
    <w:r>
      <w:t>© Comune di Trieste — Open Urban Framework | Urban API Gateway | v1.5</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2381"/>
      <w:gridCol w:w="4309"/>
      <w:gridCol w:w="2381"/>
    </w:tblGrid>
    <w:tr>
      <w:tc>
        <w:tcPr>
          <w:tcW w:type="dxa" w:w="3024"/>
          <w:tcMar>
            <w:top w:w="0" w:type="dxa"/>
            <w:start w:w="0" w:type="dxa"/>
            <w:bottom w:w="0" w:type="dxa"/>
            <w:end w:w="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pPr>
            <w:jc w:val="left"/>
          </w:pPr>
          <w:r>
            <w:rPr>
              <w:rFonts w:ascii="Noto Sans" w:hAnsi="Noto Sans"/>
              <w:sz w:val="17"/>
            </w:rPr>
          </w:r>
        </w:p>
      </w:tc>
      <w:tc>
        <w:tcPr>
          <w:tcW w:type="dxa" w:w="3024"/>
          <w:tcMar>
            <w:top w:w="0" w:type="dxa"/>
            <w:start w:w="0" w:type="dxa"/>
            <w:bottom w:w="0" w:type="dxa"/>
            <w:end w:w="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t>URBAN API GATEWAY</w:t>
            <w:br/>
            <w:t>v1.5 — Settembre 2026</w:t>
          </w:r>
        </w:p>
      </w:tc>
      <w:tc>
        <w:tcPr>
          <w:tcW w:type="dxa" w:w="3024"/>
          <w:tcMar>
            <w:top w:w="0" w:type="dxa"/>
            <w:start w:w="0" w:type="dxa"/>
            <w:bottom w:w="0" w:type="dxa"/>
            <w:end w:w="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t>Versione:  1.5</w:t>
            <w:br/>
            <w:t>Data:  Settembre 2026</w:t>
            <w:br/>
            <w:t xml:space="preserve">Pagina:  </w:t>
          </w:r>
        </w:p>
      </w:tc>
    </w:tr>
  </w:tbl>
  <w:p>
    <w:pPr>
      <w:spacing w:before="40" w:after="0"/>
      <w:pBdr>
        <w:bottom w:val="single" w:sz="14" w:space="1" w:color="0B4F6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left"/>
    </w:pPr>
    <w:rPr>
      <w:rFonts w:ascii="Aptos" w:hAnsi="Aptos" w:eastAsia="Noto San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rPr>
  </w:style>
  <w:style w:type="character" w:customStyle="1" w:styleId="HeaderChar">
    <w:name w:val="Header Char"/>
    <w:basedOn w:val="DefaultParagraphFont"/>
    <w:link w:val="Header"/>
    <w:uiPriority w:val="99"/>
    <w:rsid w:val="00E618BF"/>
    <w:rPr>
      <w:rFonts w:ascii="Aptos" w:hAnsi="Apto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rPr>
  </w:style>
  <w:style w:type="character" w:customStyle="1" w:styleId="FooterChar">
    <w:name w:val="Footer Char"/>
    <w:basedOn w:val="DefaultParagraphFont"/>
    <w:link w:val="Footer"/>
    <w:uiPriority w:val="99"/>
    <w:rsid w:val="00E618BF"/>
    <w:rPr>
      <w:rFonts w:ascii="Aptos" w:hAnsi="Aptos"/>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eastAsia="Noto Sans"/>
      <w:b/>
      <w:bCs/>
      <w:color w:val="0B4F6C"/>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Noto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eastAsia="Noto San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i/>
      <w:iCs/>
      <w:color w:val="404040" w:themeColor="text1" w:themeTint="BF"/>
      <w:sz w:val="20"/>
      <w:szCs w:val="20"/>
    </w:rPr>
  </w:style>
  <w:style w:type="character" w:default="1" w:styleId="DefaultParagraphFont">
    <w:name w:val="Default Paragraph Font"/>
    <w:uiPriority w:val="1"/>
    <w:semiHidden/>
    <w:unhideWhenUsed/>
    <w:rPr>
      <w:rFonts w:ascii="Aptos" w:hAnsi="Aptos"/>
    </w:rPr>
  </w:style>
  <w:style w:type="table" w:default="1" w:styleId="TableNormal">
    <w:name w:val="Normal Table"/>
    <w:uiPriority w:val="99"/>
    <w:semiHidden/>
    <w:unhideWhenUsed/>
    <w:rPr>
      <w:rFonts w:ascii="Aptos" w:hAnsi="Apto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ptos" w:hAnsi="Apto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ptos" w:hAnsi="Apto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ptos" w:hAnsi="Aptos"/>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eastAsia="Noto Sans"/>
      <w:b/>
      <w:color w:val="0B4F6C"/>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ptos" w:hAnsi="Apto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ptos" w:hAnsi="Apto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rPr>
      <w:rFonts w:ascii="Aptos" w:hAnsi="Aptos"/>
    </w:rPr>
  </w:style>
  <w:style w:type="paragraph" w:styleId="BodyText2">
    <w:name w:val="Body Text 2"/>
    <w:basedOn w:val="Normal"/>
    <w:link w:val="BodyText2Char"/>
    <w:uiPriority w:val="99"/>
    <w:unhideWhenUsed/>
    <w:rsid w:val="00AA1D8D"/>
    <w:pPr>
      <w:spacing w:after="120" w:line="480" w:lineRule="auto"/>
    </w:pPr>
    <w:rPr>
      <w:rFonts w:ascii="Aptos" w:hAnsi="Aptos"/>
    </w:rPr>
  </w:style>
  <w:style w:type="character" w:customStyle="1" w:styleId="BodyText2Char">
    <w:name w:val="Body Text 2 Char"/>
    <w:basedOn w:val="DefaultParagraphFont"/>
    <w:link w:val="BodyText2"/>
    <w:uiPriority w:val="99"/>
    <w:rsid w:val="00AA1D8D"/>
    <w:rPr>
      <w:rFonts w:ascii="Aptos" w:hAnsi="Aptos"/>
    </w:rPr>
  </w:style>
  <w:style w:type="paragraph" w:styleId="BodyText3">
    <w:name w:val="Body Text 3"/>
    <w:basedOn w:val="Normal"/>
    <w:link w:val="BodyText3Char"/>
    <w:uiPriority w:val="99"/>
    <w:unhideWhenUsed/>
    <w:rsid w:val="00AA1D8D"/>
    <w:pPr>
      <w:spacing w:after="120"/>
    </w:pPr>
    <w:rPr>
      <w:rFonts w:ascii="Aptos" w:hAnsi="Aptos"/>
      <w:sz w:val="16"/>
      <w:szCs w:val="16"/>
    </w:rPr>
  </w:style>
  <w:style w:type="character" w:customStyle="1" w:styleId="BodyText3Char">
    <w:name w:val="Body Text 3 Char"/>
    <w:basedOn w:val="DefaultParagraphFont"/>
    <w:link w:val="BodyText3"/>
    <w:uiPriority w:val="99"/>
    <w:rsid w:val="00AA1D8D"/>
    <w:rPr>
      <w:rFonts w:ascii="Aptos" w:hAnsi="Aptos"/>
      <w:sz w:val="16"/>
      <w:szCs w:val="16"/>
    </w:rPr>
  </w:style>
  <w:style w:type="paragraph" w:styleId="List">
    <w:name w:val="List"/>
    <w:basedOn w:val="Normal"/>
    <w:uiPriority w:val="99"/>
    <w:unhideWhenUsed/>
    <w:rsid w:val="00AA1D8D"/>
    <w:pPr>
      <w:ind w:left="360" w:hanging="360"/>
      <w:contextualSpacing/>
    </w:pPr>
    <w:rPr>
      <w:rFonts w:ascii="Aptos" w:hAnsi="Aptos"/>
    </w:rPr>
  </w:style>
  <w:style w:type="paragraph" w:styleId="List2">
    <w:name w:val="List 2"/>
    <w:basedOn w:val="Normal"/>
    <w:uiPriority w:val="99"/>
    <w:unhideWhenUsed/>
    <w:rsid w:val="00326F90"/>
    <w:pPr>
      <w:ind w:left="720" w:hanging="360"/>
      <w:contextualSpacing/>
    </w:pPr>
    <w:rPr>
      <w:rFonts w:ascii="Aptos" w:hAnsi="Aptos"/>
    </w:rPr>
  </w:style>
  <w:style w:type="paragraph" w:styleId="List3">
    <w:name w:val="List 3"/>
    <w:basedOn w:val="Normal"/>
    <w:uiPriority w:val="99"/>
    <w:unhideWhenUsed/>
    <w:rsid w:val="00326F90"/>
    <w:pPr>
      <w:ind w:left="1080" w:hanging="360"/>
      <w:contextualSpacing/>
    </w:pPr>
    <w:rPr>
      <w:rFonts w:ascii="Aptos" w:hAnsi="Aptos"/>
    </w:rPr>
  </w:style>
  <w:style w:type="paragraph" w:styleId="ListBullet">
    <w:name w:val="List Bullet"/>
    <w:basedOn w:val="Normal"/>
    <w:uiPriority w:val="99"/>
    <w:unhideWhenUsed/>
    <w:rsid w:val="00326F90"/>
    <w:pPr>
      <w:numPr>
        <w:numId w:val="1"/>
      </w:numPr>
      <w:spacing w:after="60" w:line="276"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rPr>
  </w:style>
  <w:style w:type="paragraph" w:styleId="ListBullet3">
    <w:name w:val="List Bullet 3"/>
    <w:basedOn w:val="Normal"/>
    <w:uiPriority w:val="99"/>
    <w:unhideWhenUsed/>
    <w:rsid w:val="00326F90"/>
    <w:pPr>
      <w:numPr>
        <w:numId w:val="3"/>
      </w:numPr>
      <w:contextualSpacing/>
    </w:pPr>
    <w:rPr>
      <w:rFonts w:ascii="Aptos" w:hAnsi="Aptos"/>
    </w:rPr>
  </w:style>
  <w:style w:type="paragraph" w:styleId="ListNumber">
    <w:name w:val="List Number"/>
    <w:basedOn w:val="Normal"/>
    <w:uiPriority w:val="99"/>
    <w:unhideWhenUsed/>
    <w:rsid w:val="00326F90"/>
    <w:pPr>
      <w:numPr>
        <w:numId w:val="5"/>
      </w:numPr>
      <w:spacing w:after="60" w:line="276"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rPr>
      <w:rFonts w:ascii="Aptos" w:hAnsi="Aptos"/>
    </w:rPr>
  </w:style>
  <w:style w:type="paragraph" w:styleId="ListNumber3">
    <w:name w:val="List Number 3"/>
    <w:basedOn w:val="Normal"/>
    <w:uiPriority w:val="99"/>
    <w:unhideWhenUsed/>
    <w:rsid w:val="0029639D"/>
    <w:pPr>
      <w:numPr>
        <w:numId w:val="7"/>
      </w:numPr>
      <w:contextualSpacing/>
    </w:pPr>
    <w:rPr>
      <w:rFonts w:ascii="Aptos" w:hAnsi="Aptos"/>
    </w:rPr>
  </w:style>
  <w:style w:type="paragraph" w:styleId="ListContinue">
    <w:name w:val="List Continue"/>
    <w:basedOn w:val="Normal"/>
    <w:uiPriority w:val="99"/>
    <w:unhideWhenUsed/>
    <w:rsid w:val="0029639D"/>
    <w:pPr>
      <w:spacing w:after="120"/>
      <w:ind w:left="360"/>
      <w:contextualSpacing/>
    </w:pPr>
    <w:rPr>
      <w:rFonts w:ascii="Aptos" w:hAnsi="Aptos"/>
    </w:rPr>
  </w:style>
  <w:style w:type="paragraph" w:styleId="ListContinue2">
    <w:name w:val="List Continue 2"/>
    <w:basedOn w:val="Normal"/>
    <w:uiPriority w:val="99"/>
    <w:unhideWhenUsed/>
    <w:rsid w:val="0029639D"/>
    <w:pPr>
      <w:spacing w:after="120"/>
      <w:ind w:left="720"/>
      <w:contextualSpacing/>
    </w:pPr>
    <w:rPr>
      <w:rFonts w:ascii="Aptos" w:hAnsi="Aptos"/>
    </w:rPr>
  </w:style>
  <w:style w:type="paragraph" w:styleId="ListContinue3">
    <w:name w:val="List Continue 3"/>
    <w:basedOn w:val="Normal"/>
    <w:uiPriority w:val="99"/>
    <w:unhideWhenUsed/>
    <w:rsid w:val="0029639D"/>
    <w:pPr>
      <w:spacing w:after="120"/>
      <w:ind w:left="1080"/>
      <w:contextualSpacing/>
    </w:pPr>
    <w:rPr>
      <w:rFonts w:ascii="Aptos" w:hAnsi="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sz w:val="20"/>
      <w:szCs w:val="20"/>
    </w:rPr>
  </w:style>
  <w:style w:type="character" w:customStyle="1" w:styleId="MacroTextChar">
    <w:name w:val="Macro Text Char"/>
    <w:basedOn w:val="DefaultParagraphFont"/>
    <w:link w:val="MacroText"/>
    <w:uiPriority w:val="99"/>
    <w:rsid w:val="0029639D"/>
    <w:rPr>
      <w:rFonts w:ascii="Aptos" w:hAnsi="Aptos"/>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rFonts w:ascii="Aptos" w:hAnsi="Apto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ptos" w:hAnsi="Apto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ptos" w:hAnsi="Apto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ptos" w:hAnsi="Apto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ptos" w:hAnsi="Apto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ptos" w:hAnsi="Apto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ptos" w:hAnsi="Apto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val="0"/>
      <w:color w:val="000000"/>
      <w:sz w:val="16"/>
      <w:szCs w:val="18"/>
    </w:rPr>
  </w:style>
  <w:style w:type="character" w:styleId="Strong">
    <w:name w:val="Strong"/>
    <w:basedOn w:val="DefaultParagraphFont"/>
    <w:uiPriority w:val="22"/>
    <w:qFormat/>
    <w:rsid w:val="00FC693F"/>
    <w:rPr>
      <w:rFonts w:ascii="Aptos" w:hAnsi="Aptos"/>
      <w:b/>
      <w:bCs/>
    </w:rPr>
  </w:style>
  <w:style w:type="character" w:styleId="Emphasis">
    <w:name w:val="Emphasis"/>
    <w:basedOn w:val="DefaultParagraphFont"/>
    <w:uiPriority w:val="20"/>
    <w:qFormat/>
    <w:rsid w:val="00FC693F"/>
    <w:rPr>
      <w:rFonts w:ascii="Aptos" w:hAnsi="Apto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4F81BD" w:themeColor="accent1"/>
    </w:rPr>
  </w:style>
  <w:style w:type="character" w:customStyle="1" w:styleId="IntenseQuoteChar">
    <w:name w:val="Intense Quote Char"/>
    <w:basedOn w:val="DefaultParagraphFont"/>
    <w:link w:val="IntenseQuote"/>
    <w:uiPriority w:val="30"/>
    <w:rsid w:val="00FC693F"/>
    <w:rPr>
      <w:rFonts w:ascii="Aptos" w:hAnsi="Aptos"/>
      <w:b/>
      <w:bCs/>
      <w:i/>
      <w:iCs/>
      <w:color w:val="4F81BD" w:themeColor="accent1"/>
    </w:rPr>
  </w:style>
  <w:style w:type="character" w:styleId="SubtleEmphasis">
    <w:name w:val="Subtle Emphasis"/>
    <w:basedOn w:val="DefaultParagraphFont"/>
    <w:uiPriority w:val="19"/>
    <w:qFormat/>
    <w:rsid w:val="00FC693F"/>
    <w:rPr>
      <w:rFonts w:ascii="Aptos" w:hAnsi="Aptos"/>
      <w:i/>
      <w:iCs/>
      <w:color w:val="808080" w:themeColor="text1" w:themeTint="7F"/>
    </w:rPr>
  </w:style>
  <w:style w:type="character" w:styleId="IntenseEmphasis">
    <w:name w:val="Intense Emphasis"/>
    <w:basedOn w:val="DefaultParagraphFont"/>
    <w:uiPriority w:val="21"/>
    <w:qFormat/>
    <w:rsid w:val="00FC693F"/>
    <w:rPr>
      <w:rFonts w:ascii="Aptos" w:hAnsi="Aptos"/>
      <w:b/>
      <w:bCs/>
      <w:i/>
      <w:iCs/>
      <w:color w:val="4F81BD" w:themeColor="accent1"/>
    </w:rPr>
  </w:style>
  <w:style w:type="character" w:styleId="SubtleReference">
    <w:name w:val="Subtle Reference"/>
    <w:basedOn w:val="DefaultParagraphFont"/>
    <w:uiPriority w:val="31"/>
    <w:qFormat/>
    <w:rsid w:val="00FC693F"/>
    <w:rPr>
      <w:rFonts w:ascii="Aptos" w:hAnsi="Aptos"/>
      <w:smallCaps/>
      <w:color w:val="C0504D" w:themeColor="accent2"/>
      <w:u w:val="single"/>
    </w:rPr>
  </w:style>
  <w:style w:type="character" w:styleId="IntenseReference">
    <w:name w:val="Intense Reference"/>
    <w:basedOn w:val="DefaultParagraphFont"/>
    <w:uiPriority w:val="32"/>
    <w:qFormat/>
    <w:rsid w:val="00FC693F"/>
    <w:rPr>
      <w:rFonts w:ascii="Aptos" w:hAnsi="Aptos"/>
      <w:b/>
      <w:bCs/>
      <w:smallCaps/>
      <w:color w:val="C0504D" w:themeColor="accent2"/>
      <w:spacing w:val="5"/>
      <w:u w:val="single"/>
    </w:rPr>
  </w:style>
  <w:style w:type="character" w:styleId="BookTitle">
    <w:name w:val="Book Title"/>
    <w:basedOn w:val="DefaultParagraphFont"/>
    <w:uiPriority w:val="33"/>
    <w:qFormat/>
    <w:rsid w:val="00FC693F"/>
    <w:rPr>
      <w:rFonts w:ascii="Aptos" w:hAnsi="Aptos"/>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rPr>
  </w:style>
  <w:style w:type="table" w:styleId="TableGrid">
    <w:name w:val="Table Grid"/>
    <w:basedOn w:val="TableNormal"/>
    <w:uiPriority w:val="59"/>
    <w:rsid w:val="00FC693F"/>
    <w:pPr>
      <w:spacing w:after="0" w:line="240" w:lineRule="auto"/>
    </w:pPr>
    <w:rPr>
      <w:rFonts w:ascii="Aptos" w:hAnsi="Apto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ptos" w:hAnsi="Apto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ptos" w:hAnsi="Apto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ptos" w:hAnsi="Apto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ptos" w:hAnsi="Apto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ptos" w:hAnsi="Apto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ptos" w:hAnsi="Apto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ptos" w:hAnsi="Apto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ptos" w:hAnsi="Apto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ptos" w:hAnsi="Apto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ptos" w:hAnsi="Apto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ptos" w:hAnsi="Apto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ptos" w:hAnsi="Apto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ptos" w:hAnsi="Apto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ptos" w:hAnsi="Apto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OUF - Progetto Esecutivo Tecnologico - Urban API Gateway v1.1</dc:title>
  <dc:subject>Implementation readiness alignment using OUF Ingestion Runtime as gold standard</dc:subject>
  <dc:creator>Comune di Trieste — Open Urban Framework</dc:creator>
  <cp:keywords/>
  <dc:description>Baseline v1.1 allineata a Ingestion Runtime v1.1, Onboarding v1.2, Authorization v1.2 e Semantic Registry v1.1.</dc:description>
  <cp:lastModifiedBy/>
  <cp:revision>1</cp:revision>
  <dcterms:created xsi:type="dcterms:W3CDTF">2013-12-23T23:15:00Z</dcterms:created>
  <dcterms:modified xsi:type="dcterms:W3CDTF">2013-12-23T23:15:00Z</dcterms:modified>
  <cp:category/>
  <cp:version>0.4.2</cp:version>
</cp:coreProperties>
</file>