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keepNext w:val="true"/>
        <w:keepLines/>
        <w:spacing w:before="160" w:after="80"/>
        <w:rPr/>
      </w:pPr>
      <w:r>
        <w:rPr>
          <w:rFonts w:eastAsia="Noto Sans" w:ascii="Noto Sans" w:hAnsi="Noto Sans"/>
          <w:sz w:val="18"/>
        </w:rPr>
        <w:t>OPEN URBAN FRAMEWORK (OUF) — BLUE PAPER</w:t>
      </w:r>
    </w:p>
    <w:p>
      <w:pPr>
        <w:pStyle w:val="Title"/>
        <w:rPr>
          <w:sz w:val="40"/>
          <w:szCs w:val="40"/>
        </w:rPr>
      </w:pPr>
      <w:r>
        <w:rPr>
          <w:rFonts w:ascii="Noto Sans" w:hAnsi="Noto Sans"/>
        </w:rPr>
        <w:t>Documento di indirizzo per la progettazione delle Source API dei verticali OUF, con profili applicativi SUAP, SUO e SUE</w:t>
      </w:r>
    </w:p>
    <w:p>
      <w:pPr>
        <w:pStyle w:val="Subtitle"/>
        <w:rPr/>
      </w:pPr>
      <w:r>
        <w:rPr>
          <w:rFonts w:ascii="Noto Sans" w:hAnsi="Noto Sans"/>
        </w:rPr>
        <w:t>Source API read-only, PULL-first, incrementali, osservabili e semanticamente neutre</w:t>
      </w:r>
    </w:p>
    <w:p>
      <w:pPr>
        <w:pStyle w:val="Normal"/>
        <w:rPr/>
      </w:pPr>
      <w:r>
        <w:rPr>
          <w:rFonts w:eastAsia="Noto Sans" w:ascii="Noto Sans" w:hAnsi="Noto Sans"/>
          <w:sz w:val="18"/>
        </w:rPr>
        <w:t>Versione 2.3 — Settembre 2026</w:t>
      </w:r>
    </w:p>
    <w:p>
      <w:pPr>
        <w:pStyle w:val="BodyText"/>
        <w:rPr/>
      </w:pPr>
      <w:r>
        <w:rPr>
          <w:rFonts w:ascii="Noto Sans" w:hAnsi="Noto Sans"/>
        </w:rPr>
        <w:t>Documento di indirizzo tecnico-funzionale rivolto ai fornitori, gestori applicativi e responsabili di integrazione di qualunque sistema verticale destinato a essere acquisito dall'Open Urban Framework. SUAP, SUO e SUE costituiscono i profili applicativi iniziali e gli esempi di riferimento, ma i requisiti core sono generali e riusabili per verticali amministrativi, gestionali, territoriali/GIS, mobilità, ambiente, sensoristica/IoT e ulteriori domini urbani. Lo standard definisce come una sorgente deve esporre dati e metadati nativi affinché OUF possa acquisirli in PULL, governarli tramite Onboarding e trasformarli nel proprio modello informativo senza imporre semantica OUF alla sorgente.</w:t>
      </w:r>
    </w:p>
    <w:p>
      <w:pPr>
        <w:pStyle w:val="BodyText"/>
        <w:rPr/>
      </w:pPr>
      <w:r>
        <w:rPr>
          <w:rFonts w:ascii="Noto Sans" w:hAnsi="Noto Sans"/>
        </w:rPr>
        <w:t>Allineamento v2.3. La presente revisione recepisce le Executive Freeze OUF: Data Lake / UDP / Urban Object Registry v1.2, Ingestion Runtime v1.2, Source Onboarding &amp; Configuration v1.3, Authorization &amp; Access Control v1.3, Urban API Gateway v1.2 e Semantic Model / Registry v1.2. Rafforza Preflight Contract Check, schema surveillance, source-object identity, temporal mapping, change representation, minimizzazione, M2M, southbound governance, GIS/feature exposure e compatibilità con sorgenti ad alta frequenza, mantenendo invariati i principi read-only, PULL-first e semanticamente neutri.</w:t>
      </w:r>
    </w:p>
    <w:tbl>
      <w:tblPr>
        <w:tblStyle w:val="TableGrid"/>
        <w:tblW w:w="9638" w:type="dxa"/>
        <w:jc w:val="left"/>
        <w:tblInd w:w="-18" w:type="dxa"/>
        <w:tblLayout w:type="fixed"/>
        <w:tblCellMar>
          <w:top w:w="70" w:type="dxa"/>
          <w:left w:w="90" w:type="dxa"/>
          <w:bottom w:w="70" w:type="dxa"/>
          <w:right w:w="90" w:type="dxa"/>
        </w:tblCellMar>
        <w:tblLook w:firstRow="1" w:noVBand="1" w:lastRow="0" w:firstColumn="1" w:lastColumn="0" w:noHBand="0" w:val="04a0"/>
      </w:tblPr>
      <w:tblGrid>
        <w:gridCol w:w="9638"/>
      </w:tblGrid>
      <w:tr>
        <w:trPr/>
        <w:tc>
          <w:tcPr>
            <w:tcW w:w="963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pPr>
              <w:pStyle w:val="Normal"/>
              <w:widowControl/>
              <w:rPr>
                <w:rFonts w:cs=""/>
                <w:kern w:val="0"/>
                <w:szCs w:val="22"/>
                <w:lang w:val="en-US" w:eastAsia="en-US" w:bidi="ar-SA"/>
              </w:rPr>
            </w:pPr>
            <w:r>
              <w:rPr>
                <w:rFonts w:eastAsia="Noto Sans" w:cs="" w:ascii="Noto Sans" w:hAnsi="Noto Sans"/>
                <w:b/>
                <w:color w:val="FFFFFF"/>
                <w:kern w:val="0"/>
                <w:sz w:val="17"/>
                <w:szCs w:val="22"/>
                <w:lang w:val="en-US" w:eastAsia="en-US" w:bidi="ar-SA"/>
              </w:rPr>
              <w:t>Principio guida</w:t>
            </w:r>
          </w:p>
          <w:p>
            <w:pPr>
              <w:pStyle w:val="BodyText"/>
              <w:widowControl/>
              <w:spacing w:before="0" w:after="120"/>
              <w:rPr>
                <w:rFonts w:cs=""/>
                <w:kern w:val="0"/>
                <w:szCs w:val="22"/>
                <w:lang w:val="en-US" w:eastAsia="en-US" w:bidi="ar-SA"/>
              </w:rPr>
            </w:pPr>
            <w:r>
              <w:rPr>
                <w:rFonts w:eastAsia="Noto Sans" w:cs="" w:ascii="Noto Sans" w:hAnsi="Noto Sans"/>
                <w:b/>
                <w:color w:val="FFFFFF"/>
                <w:kern w:val="0"/>
                <w:sz w:val="17"/>
                <w:szCs w:val="22"/>
                <w:lang w:val="en-US" w:eastAsia="en-US" w:bidi="ar-SA"/>
              </w:rPr>
              <w:t>Il verticale non è un componente dell’OUF e non deve conoscerne modello canonico, ontologie, vocabolari, classificazioni o capability. Deve esporre in modo affidabile i propri dati nativi, i propri schemi e le variazioni incrementali. L’interpretazione del dato appartiene alla piattaforma Smart City.</w:t>
            </w:r>
          </w:p>
        </w:tc>
      </w:tr>
    </w:tbl>
    <w:p>
      <w:pPr>
        <w:pStyle w:val="Normal"/>
        <w:rPr/>
      </w:pPr>
      <w:r>
        <w:rPr>
          <w:rFonts w:ascii="Noto Sans" w:hAnsi="Noto Sans"/>
        </w:rPr>
      </w:r>
    </w:p>
    <w:p>
      <w:pPr>
        <w:pStyle w:val="Heading1"/>
        <w:rPr/>
      </w:pPr>
      <w:r>
        <w:rPr>
          <w:rFonts w:eastAsia="Noto Sans" w:ascii="Noto Sans" w:hAnsi="Noto Sans"/>
          <w:sz w:val="18"/>
        </w:rPr>
        <w:t>1. Scopo e decisione architetturale</w:t>
      </w:r>
    </w:p>
    <w:p>
      <w:pPr>
        <w:pStyle w:val="BodyText"/>
        <w:rPr/>
      </w:pPr>
      <w:r>
        <w:rPr>
          <w:rFonts w:ascii="Noto Sans" w:hAnsi="Noto Sans"/>
        </w:rPr>
        <w:t>Il presente indirizzo definisce il profilo standard OUF Source API, applicabile a qualunque verticale o sistema sorgente che debba rendere dati disponibili all'OUF. SUAP, SUO e SUE sono i primi profili applicativi, non il limite dello standard. Il pattern prevalente è PULL: la piattaforma determina quando interrogare la sorgente, quale intervallo/checkpoint usare, quali tipi o collezioni acquisire e quali campi nativi richiedere. Il verticale resta passivo rispetto a OUF e non deve essere obbligato a inviare webhook, messaggi o notifiche verso la piattaforma.</w:t>
      </w:r>
    </w:p>
    <w:p>
      <w:pPr>
        <w:pStyle w:val="BodyText"/>
        <w:rPr/>
      </w:pPr>
      <w:r>
        <w:rPr>
          <w:rFonts w:ascii="Noto Sans" w:hAnsi="Noto Sans"/>
        </w:rPr>
        <w:t>L'obiettivo operativo è supportare bootstrap, catch-up e sincronizzazione incrementale del perimetro configurato. Per SUAP/SUE/SUO il perimetro iniziale può essere costituito dalle istanze concluse secondo stati nativi approvati; per altri verticali può riguardare record attivi, osservazioni temporali, feature geografiche, asset o qualunque insieme definito dall'Extraction Profile. Lo standard richiede continuità e ripetibilità, non una specifica semantica di dominio.</w:t>
      </w:r>
    </w:p>
    <w:tbl>
      <w:tblPr>
        <w:tblStyle w:val="TableGrid"/>
        <w:tblW w:w="9638" w:type="dxa"/>
        <w:jc w:val="left"/>
        <w:tblInd w:w="-18" w:type="dxa"/>
        <w:tblLayout w:type="fixed"/>
        <w:tblCellMar>
          <w:top w:w="70" w:type="dxa"/>
          <w:left w:w="90" w:type="dxa"/>
          <w:bottom w:w="70" w:type="dxa"/>
          <w:right w:w="90" w:type="dxa"/>
        </w:tblCellMar>
        <w:tblLook w:firstRow="1" w:noVBand="1" w:lastRow="0" w:firstColumn="1" w:lastColumn="0" w:noHBand="0" w:val="04a0"/>
      </w:tblPr>
      <w:tblGrid>
        <w:gridCol w:w="9638"/>
      </w:tblGrid>
      <w:tr>
        <w:trPr/>
        <w:tc>
          <w:tcPr>
            <w:tcW w:w="963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pPr>
              <w:pStyle w:val="Normal"/>
              <w:widowControl/>
              <w:rPr>
                <w:rFonts w:cs=""/>
                <w:kern w:val="0"/>
                <w:szCs w:val="22"/>
                <w:lang w:val="en-US" w:eastAsia="en-US" w:bidi="ar-SA"/>
              </w:rPr>
            </w:pPr>
            <w:r>
              <w:rPr>
                <w:rFonts w:eastAsia="Noto Sans" w:cs="" w:ascii="Noto Sans" w:hAnsi="Noto Sans"/>
                <w:b/>
                <w:color w:val="FFFFFF"/>
                <w:kern w:val="0"/>
                <w:sz w:val="17"/>
                <w:szCs w:val="22"/>
                <w:lang w:val="en-US" w:eastAsia="en-US" w:bidi="ar-SA"/>
              </w:rPr>
              <w:t>Separazione delle responsabilità</w:t>
            </w:r>
          </w:p>
          <w:p>
            <w:pPr>
              <w:pStyle w:val="BodyText"/>
              <w:widowControl/>
              <w:spacing w:before="0" w:after="120"/>
              <w:rPr>
                <w:rFonts w:cs=""/>
                <w:kern w:val="0"/>
                <w:szCs w:val="22"/>
                <w:lang w:val="en-US" w:eastAsia="en-US" w:bidi="ar-SA"/>
              </w:rPr>
            </w:pPr>
            <w:r>
              <w:rPr>
                <w:rFonts w:eastAsia="Noto Sans" w:cs="" w:ascii="Noto Sans" w:hAnsi="Noto Sans"/>
                <w:b/>
                <w:color w:val="FFFFFF"/>
                <w:kern w:val="0"/>
                <w:sz w:val="17"/>
                <w:szCs w:val="22"/>
                <w:lang w:val="en-US" w:eastAsia="en-US" w:bidi="ar-SA"/>
              </w:rPr>
              <w:t>La Source API espone dati e metadati tecnici nativi. Il modulo Source Onboarding / Source Configuration della Smart City costruisce l’Extraction Profile e i mapping. Il Gateway applica solo la proiezione tecnica approvata. Adapter, ETL e Semantic Model trasformano e interpretano i dati dopo l’acquisizione.</w:t>
            </w:r>
          </w:p>
        </w:tc>
      </w:tr>
    </w:tbl>
    <w:p>
      <w:pPr>
        <w:pStyle w:val="Normal"/>
        <w:rPr/>
      </w:pPr>
      <w:r>
        <w:rPr>
          <w:rFonts w:ascii="Noto Sans" w:hAnsi="Noto Sans"/>
        </w:rPr>
      </w:r>
    </w:p>
    <w:p>
      <w:pPr/>
      <w:r>
        <w:rPr>
          <w:rFonts w:ascii="Noto Sans" w:hAnsi="Noto Sans"/>
        </w:rPr>
        <w:t>1.1 Ambito generale e profili di sorgente</w:t>
      </w:r>
    </w:p>
    <w:tbl>
      <w:tblPr>
        <w:tblStyle w:val="TableGrid"/>
        <w:tblW w:type="auto" w:w="0"/>
        <w:tblLook w:firstColumn="1" w:firstRow="1" w:lastColumn="0" w:lastRow="0" w:noHBand="0" w:noVBand="1" w:val="04A0"/>
      </w:tblPr>
      <w:tblGrid>
        <w:gridCol w:w="3213"/>
        <w:gridCol w:w="3213"/>
        <w:gridCol w:w="3213"/>
      </w:tblGrid>
      <w:tr>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Profilo di sorgente</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Esempi</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Applicazione del core standard</w:t>
            </w:r>
          </w:p>
        </w:tc>
      </w:tr>
      <w:tr>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Transactional / case-management</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SUAP, SUE, SUO, tributi, concessioni</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Catalogo tipi, stati, snapshot, delta, rettifiche, projection.</w:t>
            </w:r>
          </w:p>
        </w:tc>
      </w:tr>
      <w:tr>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Master-data / asset registry</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strade, impianti, edifici, inventari</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Identità stabile, snapshot + delta, cancellazioni, versioning.</w:t>
            </w:r>
          </w:p>
        </w:tc>
      </w:tr>
      <w:tr>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GIS feature source</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catasti tematici, layer tecnici</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OGC API - Features/WFS o REST feature API; CRS/geometry/schema osservabili.</w:t>
            </w:r>
          </w:p>
        </w:tc>
      </w:tr>
      <w:tr>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High-frequency telemetry</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IoT, illuminazione, sensori, mobilità</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PULL/catch-up, sequence/token, retention del change feed.</w:t>
            </w:r>
          </w:p>
        </w:tc>
      </w:tr>
      <w:tr>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Analytical/source aggregates</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indicatori o misure pre-calcolate</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Schema/versione, grain esplicito, temporalità, incrementalità ove applicabile.</w:t>
            </w:r>
          </w:p>
        </w:tc>
      </w:tr>
    </w:tbl>
    <w:p>
      <w:pPr/>
      <w:r>
        <w:rPr>
          <w:rFonts w:ascii="Noto Sans" w:hAnsi="Noto Sans"/>
        </w:rPr>
        <w:t>Una sorgente può combinare più profili. Le deroghe al core DEVE/DOVREBBE richiedono motivazione di dominio e non possono spostare nel verticale semantica, authority, DataAccessLabel, UrbanObjectId o logiche di Object Resolution.</w:t>
      </w:r>
    </w:p>
    <w:p>
      <w:pPr>
        <w:pStyle w:val="Heading1"/>
        <w:rPr/>
      </w:pPr>
      <w:r>
        <w:rPr>
          <w:rFonts w:eastAsia="Noto Sans" w:ascii="Noto Sans" w:hAnsi="Noto Sans"/>
          <w:sz w:val="18"/>
        </w:rPr>
        <w:t>2. Modello di responsabilità</w:t>
      </w:r>
    </w:p>
    <w:tbl>
      <w:tblPr>
        <w:tblStyle w:val="TableGrid"/>
        <w:tblW w:w="9639" w:type="dxa"/>
        <w:jc w:val="center"/>
        <w:tblInd w:w="0" w:type="dxa"/>
        <w:tblLayout w:type="fixed"/>
        <w:tblCellMar>
          <w:top w:w="70" w:type="dxa"/>
          <w:left w:w="90" w:type="dxa"/>
          <w:bottom w:w="70" w:type="dxa"/>
          <w:right w:w="90" w:type="dxa"/>
        </w:tblCellMar>
        <w:tblLook w:firstRow="1" w:noVBand="1" w:lastRow="0" w:firstColumn="1" w:lastColumn="0" w:noHBand="0" w:val="04a0"/>
      </w:tblPr>
      <w:tblGrid>
        <w:gridCol w:w="3213"/>
        <w:gridCol w:w="3213"/>
        <w:gridCol w:w="3213"/>
      </w:tblGrid>
      <w:tr>
        <w:trPr>
          <w:tblHeader w:val="true"/>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vAlign w:val="center"/>
          </w:tcPr>
          <w:p>
            <w:pPr>
              <w:pStyle w:val="Normal"/>
              <w:widowControl/>
              <w:spacing w:before="0" w:after="120"/>
              <w:jc w:val="center"/>
              <w:rPr>
                <w:rFonts w:cs=""/>
                <w:kern w:val="0"/>
                <w:szCs w:val="22"/>
                <w:lang w:val="en-US" w:eastAsia="en-US" w:bidi="ar-SA"/>
              </w:rPr>
            </w:pPr>
            <w:r>
              <w:rPr>
                <w:rFonts w:eastAsia="Noto Sans" w:cs="" w:ascii="Noto Sans" w:hAnsi="Noto Sans"/>
                <w:b/>
                <w:color w:val="FFFFFF"/>
                <w:kern w:val="0"/>
                <w:sz w:val="17"/>
                <w:szCs w:val="22"/>
                <w:lang w:val="en-US" w:eastAsia="en-US" w:bidi="ar-SA"/>
              </w:rPr>
              <w:t>Responsabilità</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vAlign w:val="center"/>
          </w:tcPr>
          <w:p>
            <w:r>
              <w:rPr>
                <w:rFonts w:ascii="Noto Sans" w:hAnsi="Noto Sans"/>
                <w:b/>
                <w:color w:val="FFFFFF"/>
                <w:sz w:val="17"/>
              </w:rPr>
              <w:t>Verticale / sistema sorgente</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vAlign w:val="center"/>
          </w:tcPr>
          <w:p>
            <w:pPr>
              <w:pStyle w:val="Normal"/>
              <w:widowControl/>
              <w:spacing w:before="0" w:after="120"/>
              <w:jc w:val="center"/>
              <w:rPr>
                <w:rFonts w:cs=""/>
                <w:kern w:val="0"/>
                <w:szCs w:val="22"/>
                <w:lang w:val="en-US" w:eastAsia="en-US" w:bidi="ar-SA"/>
              </w:rPr>
            </w:pPr>
            <w:r>
              <w:rPr>
                <w:rFonts w:eastAsia="Noto Sans" w:cs="" w:ascii="Noto Sans" w:hAnsi="Noto Sans"/>
                <w:b/>
                <w:color w:val="FFFFFF"/>
                <w:kern w:val="0"/>
                <w:sz w:val="17"/>
                <w:szCs w:val="22"/>
                <w:lang w:val="en-US" w:eastAsia="en-US" w:bidi="ar-SA"/>
              </w:rPr>
              <w:t>Piattaforma Smart City / OUF</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Catalogo tecnico</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Espone tipi di procedimento/oggetto, campi, schemi, codici e stati nativi.</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Registra e descrive la fonte durante onboarding.</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Dati</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Espone valori grezzi nel modello nativo.</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Decide quali dati acquisire e come interpretarli.</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r>
              <w:rPr>
                <w:rFonts w:ascii="Noto Sans" w:hAnsi="Noto Sans"/>
                <w:sz w:val="17"/>
              </w:rPr>
              <w:t>Stato / lifecycle</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r>
              <w:rPr>
                <w:rFonts w:ascii="Noto Sans" w:hAnsi="Noto Sans"/>
                <w:sz w:val="17"/>
              </w:rPr>
              <w:t>Espone i propri codici/stati/lifecycle nativi, quando applicabili.</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r>
              <w:rPr>
                <w:rFonts w:ascii="Noto Sans" w:hAnsi="Noto Sans"/>
                <w:sz w:val="17"/>
              </w:rPr>
              <w:t>Configura quali valori nativi rientrano nel perimetro operativo.</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Classificazione privacy</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Non deve conoscere la tassonomia OUF.</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L’operatore classifica ogni campo e definisce INCLUDE/EXCLUDE.</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Semantica</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Non assegna classi OUF, URI ontologiche o vocabolari OUF.</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Associa ontologie, vocabolari, classificazioni e regole durante onboarding.</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Incrementalità</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Espone snapshot e meccanismo delta/change token.</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Gestisce scheduler, checkpoint, retry, catch-up e stato della sincronizzazione.</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Extraction Profile</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Supporta tecnicamente la field projection richiesta.</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Lo produce, approva e versiona nel modulo di onboarding.</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Envelope OUF</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Non lo produce.</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Viene creato dall’Adapter dopo la risposta nativa.</w:t>
            </w:r>
          </w:p>
        </w:tc>
      </w:tr>
    </w:tbl>
    <w:p>
      <w:pPr>
        <w:pStyle w:val="Normal"/>
        <w:rPr/>
      </w:pPr>
      <w:r>
        <w:rPr>
          <w:rFonts w:ascii="Noto Sans" w:hAnsi="Noto Sans"/>
        </w:rPr>
      </w:r>
    </w:p>
    <w:p>
      <w:pPr/>
      <w:r>
        <w:rPr>
          <w:rFonts w:ascii="Noto Sans" w:hAnsi="Noto Sans"/>
        </w:rPr>
        <w:t>2.1 Confini normativi rispetto ai moduli OUF</w:t>
      </w:r>
    </w:p>
    <w:tbl>
      <w:tblPr>
        <w:tblStyle w:val="TableGrid"/>
        <w:tblW w:type="auto" w:w="0"/>
        <w:tblLook w:firstColumn="1" w:firstRow="1" w:lastColumn="0" w:lastRow="0" w:noHBand="0" w:noVBand="1" w:val="04A0"/>
      </w:tblPr>
      <w:tblGrid>
        <w:gridCol w:w="3213"/>
        <w:gridCol w:w="3213"/>
        <w:gridCol w:w="3213"/>
      </w:tblGrid>
      <w:tr>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Tema</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Verticale</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OUF</w:t>
            </w:r>
          </w:p>
        </w:tc>
      </w:tr>
      <w:tr>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Identità istanza</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Garantisce sourceObjectId/typeCode stabili.</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Costruisce source binding e UrbanObjectId dopo resolution.</w:t>
            </w:r>
          </w:p>
        </w:tc>
      </w:tr>
      <w:tr>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Semantica</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Espone nomi/codici/schema nativi.</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Onboarding + Semantic Registry associano classi, proprietà, vocabulari.</w:t>
            </w:r>
          </w:p>
        </w:tc>
      </w:tr>
      <w:tr>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Authority</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Espone provenienza e dati nativi.</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Onboarding configura policy; UDP materializza secondo authority.</w:t>
            </w:r>
          </w:p>
        </w:tc>
      </w:tr>
      <w:tr>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Access classification</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Non riceve DataAccessLabel OUF.</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Onboarding/Authorization/UDP classificano ed enforce.</w:t>
            </w:r>
          </w:p>
        </w:tc>
      </w:tr>
      <w:tr>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Change representation</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Espone le capacità reali: snapshot, patch o events.</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Onboarding abilita; Ingestion normalizza; UDP materializza.</w:t>
            </w:r>
          </w:p>
        </w:tc>
      </w:tr>
      <w:tr>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Durable ACK</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Non ne è responsabile.</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Contratto Ingestion-&gt;UDP; HTTP della Source API non equivale a Durable ACK.</w:t>
            </w:r>
          </w:p>
        </w:tc>
      </w:tr>
    </w:tbl>
    <w:p>
      <w:pPr>
        <w:pStyle w:val="Heading1"/>
        <w:rPr/>
      </w:pPr>
      <w:r>
        <w:rPr>
          <w:rFonts w:eastAsia="Noto Sans" w:ascii="Noto Sans" w:hAnsi="Noto Sans"/>
          <w:sz w:val="18"/>
        </w:rPr>
        <w:t>3. Onboarding come premessa all’acquisizione</w:t>
      </w:r>
    </w:p>
    <w:p>
      <w:pPr>
        <w:pStyle w:val="BodyText"/>
        <w:rPr/>
      </w:pPr>
      <w:r>
        <w:rPr>
          <w:rFonts w:ascii="Noto Sans" w:hAnsi="Noto Sans"/>
        </w:rPr>
        <w:t>Prima di attivare una sorgente, la piattaforma esegue una procedura di onboarding separata dal Gateway. In tale procedura vengono censiti la fonte, le tipologie/collezioni native, gli oggetti o record ricavabili, i campi nativi e i relativi schemi. Su questa base l’operatore associa classificazioni, ontologie, vocabolari controllati, regole di trasformazione e politiche di acquisizione.</w:t>
      </w:r>
    </w:p>
    <w:p>
      <w:pPr>
        <w:pStyle w:val="BodyText"/>
        <w:rPr/>
      </w:pPr>
      <w:r>
        <w:rPr>
          <w:rFonts w:eastAsia="Noto Sans" w:ascii="Noto Sans" w:hAnsi="Noto Sans"/>
          <w:sz w:val="18"/>
        </w:rPr>
        <w:t>Il verticale deve quindi fornire abbastanza metadati tecnici per rendere possibile l’onboarding, senza incorporare semantica OUF. In particolare devono essere disponibili codici stabili, etichette native, schema dei campi, tipi dato, cardinalità, codifiche native e versioni.</w:t>
      </w:r>
    </w:p>
    <w:tbl>
      <w:tblPr>
        <w:tblStyle w:val="TableGrid"/>
        <w:tblW w:w="9638" w:type="dxa"/>
        <w:jc w:val="left"/>
        <w:tblInd w:w="52" w:type="dxa"/>
        <w:tblLayout w:type="fixed"/>
        <w:tblCellMar>
          <w:top w:w="120" w:type="dxa"/>
          <w:left w:w="160" w:type="dxa"/>
          <w:bottom w:w="120" w:type="dxa"/>
          <w:right w:w="160" w:type="dxa"/>
        </w:tblCellMar>
        <w:tblLook w:firstRow="1" w:noVBand="1" w:lastRow="0" w:firstColumn="1" w:lastColumn="0" w:noHBand="0" w:val="04a0"/>
      </w:tblPr>
      <w:tblGrid>
        <w:gridCol w:w="9638"/>
      </w:tblGrid>
      <w:tr>
        <w:trPr/>
        <w:tc>
          <w:tcPr>
            <w:tcW w:w="963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pPr>
              <w:pStyle w:val="Normal"/>
              <w:widowControl/>
              <w:spacing w:before="0" w:after="0"/>
              <w:rPr>
                <w:rFonts w:cs=""/>
                <w:kern w:val="0"/>
                <w:szCs w:val="22"/>
                <w:lang w:val="en-US" w:eastAsia="en-US" w:bidi="ar-SA"/>
              </w:rPr>
            </w:pPr>
            <w:r>
              <w:rPr>
                <w:rFonts w:eastAsia="Consolas" w:cs="" w:ascii="Noto Sans" w:hAnsi="Noto Sans"/>
                <w:b/>
                <w:color w:val="FFFFFF"/>
                <w:kern w:val="0"/>
                <w:sz w:val="17"/>
                <w:szCs w:val="22"/>
                <w:lang w:val="en-US" w:eastAsia="en-US" w:bidi="ar-SA"/>
              </w:rPr>
              <w:t>Fonte SUAP</w:t>
              <w:br/>
              <w:t xml:space="preserve">  └─ Procedimento nativo: PROC_047</w:t>
              <w:br/>
              <w:t xml:space="preserve">      ├─ schema/versione</w:t>
              <w:br/>
              <w:t xml:space="preserve">      ├─ campi nativi</w:t>
              <w:br/>
              <w:t xml:space="preserve">      ├─ stati nativi</w:t>
              <w:br/>
              <w:t xml:space="preserve">      └─ sample tecnico opzionale</w:t>
              <w:br/>
              <w:br/>
              <w:t>Onboarding OUF</w:t>
              <w:br/>
              <w:t xml:space="preserve">  └─ classifica i campi</w:t>
              <w:br/>
              <w:t xml:space="preserve">  └─ decide INCLUDE / EXCLUDE</w:t>
              <w:br/>
              <w:t xml:space="preserve">  └─ associa ontologie e vocabolari</w:t>
              <w:br/>
              <w:t xml:space="preserve">  └─ definisce mapping e regole</w:t>
              <w:br/>
              <w:t xml:space="preserve">  └─ genera Extraction Profile APPROVED/ACTIVE</w:t>
            </w:r>
          </w:p>
        </w:tc>
      </w:tr>
    </w:tbl>
    <w:p>
      <w:pPr>
        <w:pStyle w:val="Normal"/>
        <w:rPr/>
      </w:pPr>
      <w:r>
        <w:rPr>
          <w:rFonts w:ascii="Noto Sans" w:hAnsi="Noto Sans"/>
        </w:rPr>
      </w:r>
    </w:p>
    <w:tbl>
      <w:tblPr>
        <w:tblStyle w:val="TableGrid"/>
        <w:tblW w:w="9638" w:type="dxa"/>
        <w:jc w:val="left"/>
        <w:tblInd w:w="-18" w:type="dxa"/>
        <w:tblLayout w:type="fixed"/>
        <w:tblCellMar>
          <w:top w:w="70" w:type="dxa"/>
          <w:left w:w="90" w:type="dxa"/>
          <w:bottom w:w="70" w:type="dxa"/>
          <w:right w:w="90" w:type="dxa"/>
        </w:tblCellMar>
        <w:tblLook w:firstRow="1" w:noVBand="1" w:lastRow="0" w:firstColumn="1" w:lastColumn="0" w:noHBand="0" w:val="04a0"/>
      </w:tblPr>
      <w:tblGrid>
        <w:gridCol w:w="9638"/>
      </w:tblGrid>
      <w:tr>
        <w:trPr>
          <w:cantSplit w:val="true"/>
        </w:trPr>
        <w:tc>
          <w:tcPr>
            <w:tcW w:w="963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pPr>
              <w:pStyle w:val="Normal"/>
              <w:widowControl/>
              <w:spacing w:before="0" w:after="120"/>
              <w:rPr>
                <w:rFonts w:cs=""/>
                <w:kern w:val="0"/>
                <w:szCs w:val="22"/>
                <w:lang w:val="en-US" w:eastAsia="en-US" w:bidi="ar-SA"/>
              </w:rPr>
            </w:pPr>
            <w:r>
              <w:rPr>
                <w:rFonts w:cs="" w:ascii="Noto Sans" w:hAnsi="Noto Sans"/>
                <w:b/>
                <w:color w:val="FFFFFF"/>
                <w:kern w:val="0"/>
                <w:sz w:val="17"/>
                <w:szCs w:val="22"/>
                <w:lang w:val="en-US" w:eastAsia="en-US" w:bidi="ar-SA"/>
              </w:rPr>
              <w:t>AI-ready e Human-in-the-loop</w:t>
              <w:br/>
              <w:t>Il modulo Source Onboarding &amp; Configuration può essere assistito da AI Agent tramite MCP per proporre classificazioni, mapping e analisi del drift. Il contratto del verticale non cambia: l’AI opera sulle capability governate della piattaforma e ogni modifica autoritativa resta soggetta a decisione umana verificata.</w:t>
            </w:r>
          </w:p>
        </w:tc>
      </w:tr>
    </w:tbl>
    <w:p>
      <w:pPr>
        <w:pStyle w:val="Normal"/>
        <w:rPr/>
      </w:pPr>
      <w:r>
        <w:rPr>
          <w:rFonts w:ascii="Noto Sans" w:hAnsi="Noto Sans"/>
        </w:rPr>
      </w:r>
    </w:p>
    <w:p>
      <w:pPr>
        <w:pStyle w:val="Heading1"/>
        <w:rPr/>
      </w:pPr>
      <w:r>
        <w:rPr>
          <w:rFonts w:eastAsia="Noto Sans" w:ascii="Noto Sans" w:hAnsi="Noto Sans"/>
          <w:sz w:val="18"/>
        </w:rPr>
        <w:t>4. Extraction Profile: contratto di minimizzazione tecnica</w:t>
      </w:r>
    </w:p>
    <w:p>
      <w:pPr>
        <w:pStyle w:val="BodyText"/>
        <w:rPr/>
      </w:pPr>
      <w:r>
        <w:rPr>
          <w:rFonts w:eastAsia="Noto Sans" w:ascii="Noto Sans" w:hAnsi="Noto Sans"/>
          <w:sz w:val="18"/>
        </w:rPr>
        <w:t>L’Extraction Profile è un artefatto della piattaforma, non del verticale. Deriva dall’onboarding e traduce decisioni di governance e semantica in istruzioni tecniche di acquisizione. Il verticale non riceve la motivazione semantica delle scelte; riceve esclusivamente parametri tecnici come tipi, stati, campi e finestra incrementale.</w:t>
      </w:r>
    </w:p>
    <w:tbl>
      <w:tblPr>
        <w:tblStyle w:val="TableGrid"/>
        <w:tblW w:w="9639" w:type="dxa"/>
        <w:jc w:val="center"/>
        <w:tblInd w:w="0" w:type="dxa"/>
        <w:tblLayout w:type="fixed"/>
        <w:tblCellMar>
          <w:top w:w="70" w:type="dxa"/>
          <w:left w:w="90" w:type="dxa"/>
          <w:bottom w:w="70" w:type="dxa"/>
          <w:right w:w="90" w:type="dxa"/>
        </w:tblCellMar>
        <w:tblLook w:firstRow="1" w:noVBand="1" w:lastRow="0" w:firstColumn="1" w:lastColumn="0" w:noHBand="0" w:val="04a0"/>
      </w:tblPr>
      <w:tblGrid>
        <w:gridCol w:w="3213"/>
        <w:gridCol w:w="3213"/>
        <w:gridCol w:w="3213"/>
      </w:tblGrid>
      <w:tr>
        <w:trPr>
          <w:tblHeader w:val="true"/>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vAlign w:val="center"/>
          </w:tcPr>
          <w:p>
            <w:pPr>
              <w:pStyle w:val="Normal"/>
              <w:widowControl/>
              <w:spacing w:before="0" w:after="120"/>
              <w:jc w:val="center"/>
              <w:rPr>
                <w:rFonts w:cs=""/>
                <w:kern w:val="0"/>
                <w:szCs w:val="22"/>
                <w:lang w:val="en-US" w:eastAsia="en-US" w:bidi="ar-SA"/>
              </w:rPr>
            </w:pPr>
            <w:r>
              <w:rPr>
                <w:rFonts w:eastAsia="Noto Sans" w:cs="" w:ascii="Noto Sans" w:hAnsi="Noto Sans"/>
                <w:b/>
                <w:color w:val="FFFFFF"/>
                <w:kern w:val="0"/>
                <w:sz w:val="17"/>
                <w:szCs w:val="22"/>
                <w:lang w:val="en-US" w:eastAsia="en-US" w:bidi="ar-SA"/>
              </w:rPr>
              <w:t>Elemento del profilo</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vAlign w:val="center"/>
          </w:tcPr>
          <w:p>
            <w:pPr>
              <w:pStyle w:val="Normal"/>
              <w:widowControl/>
              <w:spacing w:before="0" w:after="120"/>
              <w:jc w:val="center"/>
              <w:rPr>
                <w:rFonts w:cs=""/>
                <w:kern w:val="0"/>
                <w:szCs w:val="22"/>
                <w:lang w:val="en-US" w:eastAsia="en-US" w:bidi="ar-SA"/>
              </w:rPr>
            </w:pPr>
            <w:r>
              <w:rPr>
                <w:rFonts w:eastAsia="Noto Sans" w:cs="" w:ascii="Noto Sans" w:hAnsi="Noto Sans"/>
                <w:b/>
                <w:color w:val="FFFFFF"/>
                <w:kern w:val="0"/>
                <w:sz w:val="17"/>
                <w:szCs w:val="22"/>
                <w:lang w:val="en-US" w:eastAsia="en-US" w:bidi="ar-SA"/>
              </w:rPr>
              <w:t>Esempio</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vAlign w:val="center"/>
          </w:tcPr>
          <w:p>
            <w:pPr>
              <w:pStyle w:val="Normal"/>
              <w:widowControl/>
              <w:spacing w:before="0" w:after="120"/>
              <w:jc w:val="center"/>
              <w:rPr>
                <w:rFonts w:cs=""/>
                <w:kern w:val="0"/>
                <w:szCs w:val="22"/>
                <w:lang w:val="en-US" w:eastAsia="en-US" w:bidi="ar-SA"/>
              </w:rPr>
            </w:pPr>
            <w:r>
              <w:rPr>
                <w:rFonts w:eastAsia="Noto Sans" w:cs="" w:ascii="Noto Sans" w:hAnsi="Noto Sans"/>
                <w:b/>
                <w:color w:val="FFFFFF"/>
                <w:kern w:val="0"/>
                <w:sz w:val="17"/>
                <w:szCs w:val="22"/>
                <w:lang w:val="en-US" w:eastAsia="en-US" w:bidi="ar-SA"/>
              </w:rPr>
              <w:t>Uso verso la Source API</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sourceId</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suap-prod</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Selezione sorgente/configurazione tecnica.</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procedureTypes</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PROC_047, PROC_082</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Tipi/procedimenti da estrarre.</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eligibleStates</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CHIUSA_POS, ARCHIVIATA</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Stati nativi configurati come conclusi.</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fieldProjection</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id_pratica, indirizzo, categoria, data_fine</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Allowlist dei soli campi da richiedere.</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snapshotStrategy</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FULL_SNAPSHOT</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Bootstrap iniziale.</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deltaStrategy</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CHANGE_TOKEN</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Metodo incrementale preferito.</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pageSize</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500</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Dimensione pagina negoziata.</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schemaVersionPolicy</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compatible</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Controllo di compatibilità.</w:t>
            </w:r>
          </w:p>
        </w:tc>
      </w:tr>
    </w:tbl>
    <w:p>
      <w:pPr>
        <w:pStyle w:val="Normal"/>
        <w:rPr/>
      </w:pPr>
      <w:r>
        <w:rPr>
          <w:rFonts w:ascii="Noto Sans" w:hAnsi="Noto Sans"/>
        </w:rPr>
      </w:r>
    </w:p>
    <w:p>
      <w:pPr>
        <w:pStyle w:val="BodyText"/>
        <w:rPr/>
      </w:pPr>
      <w:r>
        <w:rPr>
          <w:rFonts w:eastAsia="Noto Sans" w:ascii="Noto Sans" w:hAnsi="Noto Sans"/>
          <w:sz w:val="18"/>
        </w:rPr>
        <w:t>La Source API DEVE supportare una forma di proiezione dei campi quando il modello nativo contiene dati che la piattaforma non deve acquisire. Sono accettabili: parametro fields/select, vista tecnica dedicata, projectionId concordato o endpoint equivalente. L’obiettivo è che i dati esclusi non attraversino il confine del verticale.</w:t>
      </w:r>
    </w:p>
    <w:tbl>
      <w:tblPr>
        <w:tblStyle w:val="TableGrid"/>
        <w:tblW w:w="9638" w:type="dxa"/>
        <w:jc w:val="left"/>
        <w:tblInd w:w="52" w:type="dxa"/>
        <w:tblLayout w:type="fixed"/>
        <w:tblCellMar>
          <w:top w:w="120" w:type="dxa"/>
          <w:left w:w="160" w:type="dxa"/>
          <w:bottom w:w="120" w:type="dxa"/>
          <w:right w:w="160" w:type="dxa"/>
        </w:tblCellMar>
        <w:tblLook w:firstRow="1" w:noVBand="1" w:lastRow="0" w:firstColumn="1" w:lastColumn="0" w:noHBand="0" w:val="04a0"/>
      </w:tblPr>
      <w:tblGrid>
        <w:gridCol w:w="9638"/>
      </w:tblGrid>
      <w:tr>
        <w:trPr/>
        <w:tc>
          <w:tcPr>
            <w:tcW w:w="963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pPr>
              <w:pStyle w:val="Normal"/>
              <w:widowControl/>
              <w:spacing w:before="0" w:after="0"/>
              <w:rPr>
                <w:rFonts w:cs=""/>
                <w:kern w:val="0"/>
                <w:szCs w:val="22"/>
                <w:lang w:val="en-US" w:eastAsia="en-US" w:bidi="ar-SA"/>
              </w:rPr>
            </w:pPr>
            <w:r>
              <w:rPr>
                <w:rFonts w:eastAsia="Consolas" w:cs="" w:ascii="Noto Sans" w:hAnsi="Noto Sans"/>
                <w:b/>
                <w:color w:val="FFFFFF"/>
                <w:kern w:val="0"/>
                <w:sz w:val="17"/>
                <w:szCs w:val="22"/>
                <w:lang w:val="en-US" w:eastAsia="en-US" w:bidi="ar-SA"/>
              </w:rPr>
              <w:t>GET /integration/v1/procedures?</w:t>
              <w:br/>
              <w:t xml:space="preserve">  type=PROC_047</w:t>
              <w:br/>
              <w:t xml:space="preserve">  &amp;status=CHIUSA_POS</w:t>
              <w:br/>
              <w:t xml:space="preserve">  &amp;fields=id_pratica,indirizzo,categoria,data_fine</w:t>
              <w:br/>
              <w:t xml:space="preserve">  &amp;cursor=...</w:t>
              <w:br/>
              <w:t xml:space="preserve">  &amp;pageSize=500</w:t>
            </w:r>
          </w:p>
        </w:tc>
      </w:tr>
    </w:tbl>
    <w:p>
      <w:pPr>
        <w:pStyle w:val="Normal"/>
        <w:rPr/>
      </w:pPr>
      <w:r>
        <w:rPr>
          <w:rFonts w:ascii="Noto Sans" w:hAnsi="Noto Sans"/>
        </w:rPr>
      </w:r>
    </w:p>
    <w:tbl>
      <w:tblPr>
        <w:tblStyle w:val="TableGrid"/>
        <w:tblW w:w="9638" w:type="dxa"/>
        <w:jc w:val="left"/>
        <w:tblInd w:w="-18" w:type="dxa"/>
        <w:tblLayout w:type="fixed"/>
        <w:tblCellMar>
          <w:top w:w="70" w:type="dxa"/>
          <w:left w:w="90" w:type="dxa"/>
          <w:bottom w:w="70" w:type="dxa"/>
          <w:right w:w="90" w:type="dxa"/>
        </w:tblCellMar>
        <w:tblLook w:firstRow="1" w:noVBand="1" w:lastRow="0" w:firstColumn="1" w:lastColumn="0" w:noHBand="0" w:val="04a0"/>
      </w:tblPr>
      <w:tblGrid>
        <w:gridCol w:w="9638"/>
      </w:tblGrid>
      <w:tr>
        <w:trPr/>
        <w:tc>
          <w:tcPr>
            <w:tcW w:w="963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pPr>
              <w:pStyle w:val="Normal"/>
              <w:widowControl/>
              <w:rPr>
                <w:rFonts w:cs=""/>
                <w:kern w:val="0"/>
                <w:szCs w:val="22"/>
                <w:lang w:val="en-US" w:eastAsia="en-US" w:bidi="ar-SA"/>
              </w:rPr>
            </w:pPr>
            <w:r>
              <w:rPr>
                <w:rFonts w:eastAsia="Noto Sans" w:cs="" w:ascii="Noto Sans" w:hAnsi="Noto Sans"/>
                <w:b/>
                <w:color w:val="FFFFFF"/>
                <w:kern w:val="0"/>
                <w:sz w:val="17"/>
                <w:szCs w:val="22"/>
                <w:lang w:val="en-US" w:eastAsia="en-US" w:bidi="ar-SA"/>
              </w:rPr>
              <w:t>Requisito di minimizzazione</w:t>
            </w:r>
          </w:p>
          <w:p>
            <w:pPr>
              <w:pStyle w:val="BodyText"/>
              <w:widowControl/>
              <w:spacing w:before="0" w:after="120"/>
              <w:rPr>
                <w:rFonts w:cs=""/>
                <w:kern w:val="0"/>
                <w:szCs w:val="22"/>
                <w:lang w:val="en-US" w:eastAsia="en-US" w:bidi="ar-SA"/>
              </w:rPr>
            </w:pPr>
            <w:r>
              <w:rPr>
                <w:rFonts w:eastAsia="Noto Sans" w:cs="" w:ascii="Noto Sans" w:hAnsi="Noto Sans"/>
                <w:b/>
                <w:color w:val="FFFFFF"/>
                <w:kern w:val="0"/>
                <w:sz w:val="17"/>
                <w:szCs w:val="22"/>
                <w:lang w:val="en-US" w:eastAsia="en-US" w:bidi="ar-SA"/>
              </w:rPr>
              <w:t>Il verticale NON deve ricevere classificazioni come PERSONAL, SENSITIVE o OUF ontology class. Deve soltanto applicare la proiezione tecnica richiesta. La decisione di escludere un campo è presa e auditata nel modulo di onboarding.</w:t>
            </w:r>
          </w:p>
        </w:tc>
      </w:tr>
    </w:tbl>
    <w:p>
      <w:pPr>
        <w:pStyle w:val="Normal"/>
        <w:rPr/>
      </w:pPr>
      <w:r>
        <w:rPr>
          <w:rFonts w:ascii="Noto Sans" w:hAnsi="Noto Sans"/>
        </w:rPr>
      </w:r>
    </w:p>
    <w:p>
      <w:pPr/>
      <w:r>
        <w:rPr>
          <w:rFonts w:ascii="Noto Sans" w:hAnsi="Noto Sans"/>
        </w:rPr>
        <w:t>4.1 PublishedConfigurationBundle: requisiti tecnicamente eseguibili dalla Source API</w:t>
      </w:r>
    </w:p>
    <w:tbl>
      <w:tblPr>
        <w:tblStyle w:val="TableGrid"/>
        <w:tblW w:type="auto" w:w="0"/>
        <w:tblLook w:firstColumn="1" w:firstRow="1" w:lastColumn="0" w:lastRow="0" w:noHBand="0" w:noVBand="1" w:val="04A0"/>
      </w:tblPr>
      <w:tblGrid>
        <w:gridCol w:w="3213"/>
        <w:gridCol w:w="3213"/>
        <w:gridCol w:w="3213"/>
      </w:tblGrid>
      <w:tr>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Elemento OUF</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Cosa vede la Source API</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Nota</w:t>
            </w:r>
          </w:p>
        </w:tc>
      </w:tr>
      <w:tr>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SourceObjectIdentityPolicy</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Campi/chiavi native richieste o incluse.</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Il verticale non genera UrbanObjectId.</w:t>
            </w:r>
          </w:p>
        </w:tc>
      </w:tr>
      <w:tr>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TemporalMapping</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Campi temporali nativi eventualmente proiettati.</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OUF decide l'interpretazione.</w:t>
            </w:r>
          </w:p>
        </w:tc>
      </w:tr>
      <w:tr>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ChangeRepresentationProfile</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Snapshot / patch / events realmente supportati.</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Il verticale non sceglie il profilo OUF.</w:t>
            </w:r>
          </w:p>
        </w:tc>
      </w:tr>
      <w:tr>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DeltaPatchContract</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Source path/field path stabili e documentati.</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Nessun dettaglio fisico UDP.</w:t>
            </w:r>
          </w:p>
        </w:tc>
      </w:tr>
      <w:tr>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DataAccess policy</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Solo projection tecnica INCLUDE.</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Mai etichette PERSONAL/SENSITIVE/RESTRICTED al verticale.</w:t>
            </w:r>
          </w:p>
        </w:tc>
      </w:tr>
      <w:tr>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Semantic references</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Nessuna.</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Restano interamente OUF.</w:t>
            </w:r>
          </w:p>
        </w:tc>
      </w:tr>
    </w:tbl>
    <w:p>
      <w:pPr/>
      <w:r>
        <w:rPr>
          <w:rFonts w:ascii="Noto Sans" w:hAnsi="Noto Sans"/>
        </w:rPr>
        <w:t>4.2 Regola generale di minimizzazione</w:t>
      </w:r>
    </w:p>
    <w:p>
      <w:pPr/>
      <w:r>
        <w:rPr>
          <w:rFonts w:ascii="Noto Sans" w:hAnsi="Noto Sans"/>
        </w:rPr>
        <w:t>La Source API DEVE poter evitare il transito di campi non inclusi nel profilo quando il modello nativo contiene dati non acquisibili. Per sorgenti che espongono record tecnicamente indivisibili la deroga deve essere esplicita, motivata e approvata; non è ammesso assumere come default 'scarica tutto e filtra in OUF'.</w:t>
      </w:r>
    </w:p>
    <w:p>
      <w:pPr>
        <w:pStyle w:val="Heading1"/>
        <w:rPr/>
      </w:pPr>
      <w:r>
        <w:rPr>
          <w:rFonts w:eastAsia="Noto Sans" w:ascii="Noto Sans" w:hAnsi="Noto Sans"/>
          <w:sz w:val="18"/>
        </w:rPr>
        <w:t>5. Contratto minimo della Source API</w:t>
      </w:r>
    </w:p>
    <w:p>
      <w:pPr>
        <w:pStyle w:val="BodyText"/>
        <w:rPr/>
      </w:pPr>
      <w:r>
        <w:rPr>
          <w:rFonts w:eastAsia="Noto Sans" w:ascii="Noto Sans" w:hAnsi="Noto Sans"/>
          <w:sz w:val="18"/>
        </w:rPr>
        <w:t>Le API possono differire internamente tra i verticali, ma devono offrire un nucleo comune di capacità. SUAP, SUO e SUE rappresentano i primi profili applicativi dello standard; i verticali futuri devono conformarsi allo stesso nucleo, salvo estensioni motivate dal dominio. Il prefisso dei path è indicativo; ciò che è vincolante è il comportamento.</w:t>
      </w:r>
    </w:p>
    <w:p>
      <w:pPr>
        <w:pStyle w:val="BodyText"/>
        <w:rPr/>
      </w:pPr>
      <w:r>
        <w:rPr>
          <w:rFonts w:eastAsia="Noto Sans" w:ascii="Noto Sans" w:hAnsi="Noto Sans"/>
          <w:sz w:val="18"/>
        </w:rPr>
        <w:t>Nel presente documento: DEVE identifica un requisito di conformità; DOVREBBE una raccomandazione forte; PUÒ una caratteristica opzionale. Lo standard prescrive le garanzie del contratto, non la tecnologia interna con cui il verticale le realizza.</w:t>
      </w:r>
    </w:p>
    <w:tbl>
      <w:tblPr>
        <w:tblStyle w:val="TableGrid"/>
        <w:tblW w:w="9639" w:type="dxa"/>
        <w:jc w:val="center"/>
        <w:tblInd w:w="0" w:type="dxa"/>
        <w:tblLayout w:type="fixed"/>
        <w:tblCellMar>
          <w:top w:w="70" w:type="dxa"/>
          <w:left w:w="90" w:type="dxa"/>
          <w:bottom w:w="70" w:type="dxa"/>
          <w:right w:w="90" w:type="dxa"/>
        </w:tblCellMar>
        <w:tblLook w:firstRow="1" w:noVBand="1" w:lastRow="0" w:firstColumn="1" w:lastColumn="0" w:noHBand="0" w:val="04a0"/>
      </w:tblPr>
      <w:tblGrid>
        <w:gridCol w:w="3213"/>
        <w:gridCol w:w="3213"/>
        <w:gridCol w:w="3213"/>
      </w:tblGrid>
      <w:tr>
        <w:trPr>
          <w:tblHeader w:val="true"/>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vAlign w:val="center"/>
          </w:tcPr>
          <w:p>
            <w:pPr>
              <w:pStyle w:val="Normal"/>
              <w:widowControl/>
              <w:spacing w:before="0" w:after="120"/>
              <w:jc w:val="center"/>
              <w:rPr>
                <w:rFonts w:cs=""/>
                <w:kern w:val="0"/>
                <w:szCs w:val="22"/>
                <w:lang w:val="en-US" w:eastAsia="en-US" w:bidi="ar-SA"/>
              </w:rPr>
            </w:pPr>
            <w:r>
              <w:rPr>
                <w:rFonts w:eastAsia="Noto Sans" w:cs="" w:ascii="Noto Sans" w:hAnsi="Noto Sans"/>
                <w:b/>
                <w:color w:val="FFFFFF"/>
                <w:kern w:val="0"/>
                <w:sz w:val="17"/>
                <w:szCs w:val="22"/>
                <w:lang w:val="en-US" w:eastAsia="en-US" w:bidi="ar-SA"/>
              </w:rPr>
              <w:t>Capability tecnica</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vAlign w:val="center"/>
          </w:tcPr>
          <w:p>
            <w:pPr>
              <w:pStyle w:val="Normal"/>
              <w:widowControl/>
              <w:spacing w:before="0" w:after="120"/>
              <w:jc w:val="center"/>
              <w:rPr>
                <w:rFonts w:cs=""/>
                <w:kern w:val="0"/>
                <w:szCs w:val="22"/>
                <w:lang w:val="en-US" w:eastAsia="en-US" w:bidi="ar-SA"/>
              </w:rPr>
            </w:pPr>
            <w:r>
              <w:rPr>
                <w:rFonts w:eastAsia="Noto Sans" w:cs="" w:ascii="Noto Sans" w:hAnsi="Noto Sans"/>
                <w:b/>
                <w:color w:val="FFFFFF"/>
                <w:kern w:val="0"/>
                <w:sz w:val="17"/>
                <w:szCs w:val="22"/>
                <w:lang w:val="en-US" w:eastAsia="en-US" w:bidi="ar-SA"/>
              </w:rPr>
              <w:t>Obbligo</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vAlign w:val="center"/>
          </w:tcPr>
          <w:p>
            <w:pPr>
              <w:pStyle w:val="Normal"/>
              <w:widowControl/>
              <w:spacing w:before="0" w:after="120"/>
              <w:jc w:val="center"/>
              <w:rPr>
                <w:rFonts w:cs=""/>
                <w:kern w:val="0"/>
                <w:szCs w:val="22"/>
                <w:lang w:val="en-US" w:eastAsia="en-US" w:bidi="ar-SA"/>
              </w:rPr>
            </w:pPr>
            <w:r>
              <w:rPr>
                <w:rFonts w:eastAsia="Noto Sans" w:cs="" w:ascii="Noto Sans" w:hAnsi="Noto Sans"/>
                <w:b/>
                <w:color w:val="FFFFFF"/>
                <w:kern w:val="0"/>
                <w:sz w:val="17"/>
                <w:szCs w:val="22"/>
                <w:lang w:val="en-US" w:eastAsia="en-US" w:bidi="ar-SA"/>
              </w:rPr>
              <w:t>Finalità</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Health</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DOVREBBE</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Verifica disponibilità tecnica.</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r>
              <w:rPr>
                <w:rFonts w:ascii="Noto Sans" w:hAnsi="Noto Sans"/>
                <w:sz w:val="17"/>
              </w:rPr>
              <w:t>Catalogo tipi/collezioni</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DEVE</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r>
              <w:rPr>
                <w:rFonts w:ascii="Noto Sans" w:hAnsi="Noto Sans"/>
                <w:sz w:val="17"/>
              </w:rPr>
              <w:t>Scoprire tutte le tipologie/collezioni estraibili.</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Schema per tipo</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DEVE</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Conoscere campi, tipi e versione.</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Elenco stati/codifiche</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DEVE</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Permettere all’onboarding di configurare i filtri.</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Snapshot paginato</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DEVE</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r>
              <w:rPr>
                <w:rFonts w:ascii="Noto Sans" w:hAnsi="Noto Sans"/>
                <w:sz w:val="17"/>
              </w:rPr>
              <w:t>Bootstrap iniziale del perimetro configurabile.</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Dettaglio per ID</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DOVREBBE</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Replay/diagnostica puntuale.</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Delta/change feed</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DEVE</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Sincronizzazione incrementale.</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Cancellazioni/rettifiche</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DEVE</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Mantenere coerenza nel tempo.</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Field projection</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DEVE se esistono campi non acquisibili</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Applicare l’Extraction Profile senza transito di campi esclusi.</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Versioning</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DEVE</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Evolvere senza ambiguità contrattuale.</w:t>
            </w:r>
          </w:p>
        </w:tc>
      </w:tr>
    </w:tbl>
    <w:p>
      <w:pPr>
        <w:pStyle w:val="Normal"/>
        <w:rPr/>
      </w:pPr>
      <w:r>
        <w:rPr>
          <w:rFonts w:ascii="Noto Sans" w:hAnsi="Noto Sans"/>
        </w:rPr>
      </w:r>
    </w:p>
    <w:p>
      <w:pPr>
        <w:pStyle w:val="Heading1"/>
        <w:rPr/>
      </w:pPr>
      <w:r>
        <w:rPr>
          <w:rFonts w:eastAsia="Noto Sans" w:ascii="Noto Sans" w:hAnsi="Noto Sans"/>
          <w:sz w:val="18"/>
        </w:rPr>
        <w:t>6. Endpoint di discovery tecnico</w:t>
      </w:r>
    </w:p>
    <w:tbl>
      <w:tblPr>
        <w:tblStyle w:val="TableGrid"/>
        <w:tblW w:w="9638" w:type="dxa"/>
        <w:jc w:val="left"/>
        <w:tblInd w:w="52" w:type="dxa"/>
        <w:tblLayout w:type="fixed"/>
        <w:tblCellMar>
          <w:top w:w="120" w:type="dxa"/>
          <w:left w:w="160" w:type="dxa"/>
          <w:bottom w:w="120" w:type="dxa"/>
          <w:right w:w="160" w:type="dxa"/>
        </w:tblCellMar>
        <w:tblLook w:firstRow="1" w:noVBand="1" w:lastRow="0" w:firstColumn="1" w:lastColumn="0" w:noHBand="0" w:val="04a0"/>
      </w:tblPr>
      <w:tblGrid>
        <w:gridCol w:w="9638"/>
      </w:tblGrid>
      <w:tr>
        <w:trPr/>
        <w:tc>
          <w:tcPr>
            <w:tcW w:w="963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pPr>
              <w:pStyle w:val="Normal"/>
              <w:widowControl/>
              <w:spacing w:before="0" w:after="0"/>
              <w:rPr>
                <w:rFonts w:cs=""/>
                <w:kern w:val="0"/>
                <w:szCs w:val="22"/>
                <w:lang w:val="en-US" w:eastAsia="en-US" w:bidi="ar-SA"/>
              </w:rPr>
            </w:pPr>
            <w:r>
              <w:rPr>
                <w:rFonts w:eastAsia="Consolas" w:cs="" w:ascii="Noto Sans" w:hAnsi="Noto Sans"/>
                <w:b/>
                <w:color w:val="FFFFFF"/>
                <w:kern w:val="0"/>
                <w:sz w:val="17"/>
                <w:szCs w:val="22"/>
                <w:lang w:val="en-US" w:eastAsia="en-US" w:bidi="ar-SA"/>
              </w:rPr>
              <w:t>GET /integration/v1/procedure-types</w:t>
              <w:br/>
              <w:t>GET /integration/v1/procedure-types/{typeCode}</w:t>
              <w:br/>
              <w:t>GET /integration/v1/procedure-types/{typeCode}/schema</w:t>
              <w:br/>
              <w:t>GET /integration/v1/procedure-types/{typeCode}/states</w:t>
              <w:br/>
              <w:t>GET /integration/v1/code-lists/{codeListId}</w:t>
              <w:br/>
              <w:t>GET /integration/v1/capabilities</w:t>
              <w:br/>
              <w:t>GET /integration/v1/catalog-version                 # DOVREBBE</w:t>
              <w:br/>
              <w:t>GET /integration/v1/schema-changes?after=&lt;token&gt;    # PUÒ</w:t>
            </w:r>
          </w:p>
        </w:tc>
      </w:tr>
    </w:tbl>
    <w:p>
      <w:pPr>
        <w:pStyle w:val="Normal"/>
        <w:rPr/>
      </w:pPr>
      <w:r>
        <w:rPr>
          <w:rFonts w:ascii="Noto Sans" w:hAnsi="Noto Sans"/>
        </w:rPr>
      </w:r>
    </w:p>
    <w:p>
      <w:pPr>
        <w:pStyle w:val="BodyText"/>
        <w:rPr/>
      </w:pPr>
      <w:r>
        <w:rPr>
          <w:rFonts w:eastAsia="Noto Sans" w:ascii="Noto Sans" w:hAnsi="Noto Sans"/>
          <w:sz w:val="18"/>
        </w:rPr>
        <w:t>Il catalogo deve essere completo rispetto al perimetro esposto al sistema di integrazione. Per ogni tipo devono essere disponibili almeno: codice stabile, denominazione nativa, descrizione tecnica, schemaId, schemaVersion, stato attivo/deprecato e data di validità della versione. La Source API DEVE consentire alla piattaforma di rilevare una variazione del contratto anche quando i nuovi campi non appartengono alla fieldProjection ACTIVE. A tale scopo DEVE essere osservabile almeno una nuova schemaVersion o un fingerprint/checksum equivalente dello schema completo. Un endpoint catalog-version o schema-changes è raccomandato per ridurre il costo del polling, ma non è obbligatorio se il catalogo completo è interrogabile in modo efficiente.</w:t>
      </w:r>
    </w:p>
    <w:tbl>
      <w:tblPr>
        <w:tblStyle w:val="TableGrid"/>
        <w:tblW w:w="9639" w:type="dxa"/>
        <w:jc w:val="center"/>
        <w:tblInd w:w="0" w:type="dxa"/>
        <w:tblLayout w:type="fixed"/>
        <w:tblCellMar>
          <w:top w:w="70" w:type="dxa"/>
          <w:left w:w="90" w:type="dxa"/>
          <w:bottom w:w="70" w:type="dxa"/>
          <w:right w:w="90" w:type="dxa"/>
        </w:tblCellMar>
        <w:tblLook w:firstRow="1" w:noVBand="1" w:lastRow="0" w:firstColumn="1" w:lastColumn="0" w:noHBand="0" w:val="04a0"/>
      </w:tblPr>
      <w:tblGrid>
        <w:gridCol w:w="3213"/>
        <w:gridCol w:w="3213"/>
        <w:gridCol w:w="3213"/>
      </w:tblGrid>
      <w:tr>
        <w:trPr>
          <w:tblHeader w:val="true"/>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vAlign w:val="center"/>
          </w:tcPr>
          <w:p>
            <w:pPr>
              <w:pStyle w:val="Normal"/>
              <w:widowControl/>
              <w:spacing w:before="0" w:after="120"/>
              <w:jc w:val="center"/>
              <w:rPr>
                <w:rFonts w:cs=""/>
                <w:kern w:val="0"/>
                <w:szCs w:val="22"/>
                <w:lang w:val="en-US" w:eastAsia="en-US" w:bidi="ar-SA"/>
              </w:rPr>
            </w:pPr>
            <w:r>
              <w:rPr>
                <w:rFonts w:eastAsia="Noto Sans" w:cs="" w:ascii="Noto Sans" w:hAnsi="Noto Sans"/>
                <w:b/>
                <w:color w:val="FFFFFF"/>
                <w:kern w:val="0"/>
                <w:sz w:val="17"/>
                <w:szCs w:val="22"/>
                <w:lang w:val="en-US" w:eastAsia="en-US" w:bidi="ar-SA"/>
              </w:rPr>
              <w:t>Dato di discovery</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vAlign w:val="center"/>
          </w:tcPr>
          <w:p>
            <w:pPr>
              <w:pStyle w:val="Normal"/>
              <w:widowControl/>
              <w:spacing w:before="0" w:after="120"/>
              <w:jc w:val="center"/>
              <w:rPr>
                <w:rFonts w:cs=""/>
                <w:kern w:val="0"/>
                <w:szCs w:val="22"/>
                <w:lang w:val="en-US" w:eastAsia="en-US" w:bidi="ar-SA"/>
              </w:rPr>
            </w:pPr>
            <w:r>
              <w:rPr>
                <w:rFonts w:eastAsia="Noto Sans" w:cs="" w:ascii="Noto Sans" w:hAnsi="Noto Sans"/>
                <w:b/>
                <w:color w:val="FFFFFF"/>
                <w:kern w:val="0"/>
                <w:sz w:val="17"/>
                <w:szCs w:val="22"/>
                <w:lang w:val="en-US" w:eastAsia="en-US" w:bidi="ar-SA"/>
              </w:rPr>
              <w:t>Esempio</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vAlign w:val="center"/>
          </w:tcPr>
          <w:p>
            <w:pPr>
              <w:pStyle w:val="Normal"/>
              <w:widowControl/>
              <w:spacing w:before="0" w:after="120"/>
              <w:jc w:val="center"/>
              <w:rPr>
                <w:rFonts w:cs=""/>
                <w:kern w:val="0"/>
                <w:szCs w:val="22"/>
                <w:lang w:val="en-US" w:eastAsia="en-US" w:bidi="ar-SA"/>
              </w:rPr>
            </w:pPr>
            <w:r>
              <w:rPr>
                <w:rFonts w:eastAsia="Noto Sans" w:cs="" w:ascii="Noto Sans" w:hAnsi="Noto Sans"/>
                <w:b/>
                <w:color w:val="FFFFFF"/>
                <w:kern w:val="0"/>
                <w:sz w:val="17"/>
                <w:szCs w:val="22"/>
                <w:lang w:val="en-US" w:eastAsia="en-US" w:bidi="ar-SA"/>
              </w:rPr>
              <w:t>Nota</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typeCode</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PROC_047</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Codice nativo stabile.</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nativeLabel</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Apertura esercizio ...</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Etichetta del verticale, non concetto OUF.</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schemaId</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suap.proc047</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Identifica lo schema sorgente.</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schemaVersion</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3.2</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Versione indipendente dalla versione API.</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stateCode</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CHIUSA_POS</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Codice nativo dello stato.</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fieldName</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categoria_attivita</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Nome/cammino nativo del campo.</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dataType</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string</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Tipo tecnico.</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codeListId</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ATECO_NATIVE</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Eventuale codifica nativa, non vocabolario OUF.</w:t>
            </w:r>
          </w:p>
        </w:tc>
      </w:tr>
      <w:tr>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schemaFingerprint</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sha256:8f4c…</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Fingerprint stabile del contenuto dello schema; cambia quando cambia il contratto osservabile.</w:t>
            </w:r>
          </w:p>
        </w:tc>
      </w:tr>
      <w:tr>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validFrom / compatibilityUntil</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2026-09-01 / 2026-10-15</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Finestra temporale della versione quando disponibile; utile per transizioni breaking governate.</w:t>
            </w:r>
          </w:p>
        </w:tc>
      </w:tr>
    </w:tbl>
    <w:p>
      <w:pPr>
        <w:pStyle w:val="Normal"/>
        <w:rPr/>
      </w:pPr>
      <w:r>
        <w:rPr>
          <w:rFonts w:ascii="Noto Sans" w:hAnsi="Noto Sans"/>
        </w:rPr>
      </w:r>
    </w:p>
    <w:p>
      <w:pPr/>
      <w:r>
        <w:rPr>
          <w:rFonts w:ascii="Noto Sans" w:hAnsi="Noto Sans"/>
        </w:rPr>
        <w:t>6.1 Preflight Contract Check: contratto leggero obbligatorio</w:t>
      </w:r>
    </w:p>
    <w:p>
      <w:pPr/>
      <w:r>
        <w:rPr>
          <w:rFonts w:ascii="Noto Sans" w:hAnsi="Noto Sans"/>
        </w:rPr>
        <w:t>Prima di ogni run schedulata OUF esegue un Preflight Contract Check leggero. La Source API DEVE consentire di verificare esistenza/attività del type/collection, schemaVersion o schemaFingerprint e, quando disponibili, catalogVersion, ETag o Last-Modified senza obbligare a scaricare lo schema completo. Se il contratto è invariato, OUF procede all'acquisizione; la full discovery è richiesta solo per scope cambiati.</w:t>
      </w:r>
    </w:p>
    <w:tbl>
      <w:tblPr>
        <w:tblStyle w:val="TableGrid"/>
        <w:tblW w:type="auto" w:w="0"/>
        <w:tblLook w:firstColumn="1" w:firstRow="1" w:lastColumn="0" w:lastRow="0" w:noHBand="0" w:noVBand="1" w:val="04A0"/>
      </w:tblPr>
      <w:tblGrid>
        <w:gridCol w:w="3213"/>
        <w:gridCol w:w="3213"/>
        <w:gridCol w:w="3213"/>
      </w:tblGrid>
      <w:tr>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Segnale</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Obbligo</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Uso</w:t>
            </w:r>
          </w:p>
        </w:tc>
      </w:tr>
      <w:tr>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schemaVersion o schemaFingerprint</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DEVE</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Rilevare qualunque cambio osservabile del contratto.</w:t>
            </w:r>
          </w:p>
        </w:tc>
      </w:tr>
      <w:tr>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catalogVersion</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DOVREBBE</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Rilevare cambi di catalogo con una sola call.</w:t>
            </w:r>
          </w:p>
        </w:tc>
      </w:tr>
      <w:tr>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ETag / Last-Modified</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DOVREBBE</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Conditional GET / preflight economico.</w:t>
            </w:r>
          </w:p>
        </w:tc>
      </w:tr>
      <w:tr>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type/collection status</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DEVE</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ACTIVE/DEPRECATED/REMOVED o equivalente nativo.</w:t>
            </w:r>
          </w:p>
        </w:tc>
      </w:tr>
      <w:tr>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schema change token/feed</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PUÒ</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Ottimizzare il discovery dei soli scope cambiati.</w:t>
            </w:r>
          </w:p>
        </w:tc>
      </w:tr>
    </w:tbl>
    <w:p>
      <w:pPr/>
      <w:r>
        <w:rPr>
          <w:rFonts w:ascii="Noto Sans" w:hAnsi="Noto Sans"/>
        </w:rPr>
        <w:t>Il verticale non classifica il cambiamento come COMPATIBLE/BREAKING e non conosce RE_ONBOARDING_REQUIRED. Queste decisioni appartengono a OUF. Una breaking change di un tipo non deve obbligare il verticale a rendere indisponibili gli altri tipi indipendenti.</w:t>
      </w:r>
    </w:p>
    <w:p>
      <w:pPr>
        <w:pStyle w:val="Heading1"/>
        <w:rPr/>
      </w:pPr>
      <w:r>
        <w:rPr>
          <w:rFonts w:eastAsia="Noto Sans" w:ascii="Noto Sans" w:hAnsi="Noto Sans"/>
          <w:sz w:val="18"/>
        </w:rPr>
        <w:t>7. Modello dei dati restituiti</w:t>
      </w:r>
    </w:p>
    <w:p>
      <w:pPr>
        <w:pStyle w:val="BodyText"/>
        <w:rPr/>
      </w:pPr>
      <w:r>
        <w:rPr>
          <w:rFonts w:eastAsia="Noto Sans" w:ascii="Noto Sans" w:hAnsi="Noto Sans"/>
          <w:sz w:val="18"/>
        </w:rPr>
        <w:t>La piattaforma deve poter distinguere con certezza ogni istanza, la sua tipologia e la versione dello schema usato per interpretarla. Non è richiesto che tutti i procedimenti condividano un unico schema. Al contrario, le differenze native devono restare osservabili. Ogni record deve dichiarare schemaId/schemaVersion o un riferimento tecnico equivalente: una finestra snapshot/delta può contenere record di versioni differenti solo se ciascun elemento resta auto-descrivibile e la transizione è rilevabile senza ambiguità.</w:t>
      </w:r>
    </w:p>
    <w:tbl>
      <w:tblPr>
        <w:tblStyle w:val="TableGrid"/>
        <w:tblW w:w="9639" w:type="dxa"/>
        <w:jc w:val="center"/>
        <w:tblInd w:w="0" w:type="dxa"/>
        <w:tblLayout w:type="fixed"/>
        <w:tblCellMar>
          <w:top w:w="70" w:type="dxa"/>
          <w:left w:w="90" w:type="dxa"/>
          <w:bottom w:w="70" w:type="dxa"/>
          <w:right w:w="90" w:type="dxa"/>
        </w:tblCellMar>
        <w:tblLook w:firstRow="1" w:noVBand="1" w:lastRow="0" w:firstColumn="1" w:lastColumn="0" w:noHBand="0" w:val="04a0"/>
      </w:tblPr>
      <w:tblGrid>
        <w:gridCol w:w="3213"/>
        <w:gridCol w:w="3213"/>
        <w:gridCol w:w="3213"/>
      </w:tblGrid>
      <w:tr>
        <w:trPr>
          <w:tblHeader w:val="true"/>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vAlign w:val="center"/>
          </w:tcPr>
          <w:p>
            <w:pPr>
              <w:pStyle w:val="Normal"/>
              <w:widowControl/>
              <w:spacing w:before="0" w:after="120"/>
              <w:jc w:val="center"/>
              <w:rPr>
                <w:rFonts w:cs=""/>
                <w:kern w:val="0"/>
                <w:szCs w:val="22"/>
                <w:lang w:val="en-US" w:eastAsia="en-US" w:bidi="ar-SA"/>
              </w:rPr>
            </w:pPr>
            <w:r>
              <w:rPr>
                <w:rFonts w:eastAsia="Noto Sans" w:cs="" w:ascii="Noto Sans" w:hAnsi="Noto Sans"/>
                <w:b/>
                <w:color w:val="FFFFFF"/>
                <w:kern w:val="0"/>
                <w:sz w:val="17"/>
                <w:szCs w:val="22"/>
                <w:lang w:val="en-US" w:eastAsia="en-US" w:bidi="ar-SA"/>
              </w:rPr>
              <w:t>Campo tecnico</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vAlign w:val="center"/>
          </w:tcPr>
          <w:p>
            <w:pPr>
              <w:pStyle w:val="Normal"/>
              <w:widowControl/>
              <w:spacing w:before="0" w:after="120"/>
              <w:jc w:val="center"/>
              <w:rPr>
                <w:rFonts w:cs=""/>
                <w:kern w:val="0"/>
                <w:szCs w:val="22"/>
                <w:lang w:val="en-US" w:eastAsia="en-US" w:bidi="ar-SA"/>
              </w:rPr>
            </w:pPr>
            <w:r>
              <w:rPr>
                <w:rFonts w:eastAsia="Noto Sans" w:cs="" w:ascii="Noto Sans" w:hAnsi="Noto Sans"/>
                <w:b/>
                <w:color w:val="FFFFFF"/>
                <w:kern w:val="0"/>
                <w:sz w:val="17"/>
                <w:szCs w:val="22"/>
                <w:lang w:val="en-US" w:eastAsia="en-US" w:bidi="ar-SA"/>
              </w:rPr>
              <w:t>Obbligo</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vAlign w:val="center"/>
          </w:tcPr>
          <w:p>
            <w:pPr>
              <w:pStyle w:val="Normal"/>
              <w:widowControl/>
              <w:spacing w:before="0" w:after="120"/>
              <w:jc w:val="center"/>
              <w:rPr>
                <w:rFonts w:cs=""/>
                <w:kern w:val="0"/>
                <w:szCs w:val="22"/>
                <w:lang w:val="en-US" w:eastAsia="en-US" w:bidi="ar-SA"/>
              </w:rPr>
            </w:pPr>
            <w:r>
              <w:rPr>
                <w:rFonts w:eastAsia="Noto Sans" w:cs="" w:ascii="Noto Sans" w:hAnsi="Noto Sans"/>
                <w:b/>
                <w:color w:val="FFFFFF"/>
                <w:kern w:val="0"/>
                <w:sz w:val="17"/>
                <w:szCs w:val="22"/>
                <w:lang w:val="en-US" w:eastAsia="en-US" w:bidi="ar-SA"/>
              </w:rPr>
              <w:t>Significato</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sourceObjectId</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DEVE</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Identificativo stabile dell’istanza nel relativo typeCode; non deve essere riciclato.</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typeCode / procedureCode</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DEVE</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Tipologia/procedimento nativo.</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schemaId</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DEVE</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Schema applicabile al payload.</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schemaVersion</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DEVE</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Versione dello schema.</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nativeStatus</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DEVE</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Stato nativo dell’istanza.</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createdAt</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DOVREBBE</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Creazione nel verticale.</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lastModified</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DEVE</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Ultima modifica rilevante per sincronizzazione.</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revision</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DOVREBBE</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Versione monotona della singola istanza, se disponibile.</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data</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DEVE per UPSERT</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Payload nativo limitato ai campi richiesti.</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operation</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DEVE nel delta</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UPSERT, DELETE/TOMBSTONE o equivalente.</w:t>
            </w:r>
          </w:p>
        </w:tc>
      </w:tr>
    </w:tbl>
    <w:p>
      <w:pPr>
        <w:pStyle w:val="BodyText"/>
        <w:rPr/>
      </w:pPr>
      <w:r>
        <w:rPr>
          <w:rFonts w:eastAsia="Noto Sans" w:ascii="Noto Sans" w:hAnsi="Noto Sans"/>
          <w:sz w:val="18"/>
        </w:rPr>
        <w:t>Ai fini della piattaforma, la chiave tecnica di provenienza è la tupla (sourceId, typeCode, sourceObjectId). Il verticale non deve produrre una chiave OUF: deve soltanto garantire stabilità e non riuso dei propri identificativi nel relativo tipo.</w:t>
      </w:r>
    </w:p>
    <w:p>
      <w:pPr>
        <w:pStyle w:val="Normal"/>
        <w:rPr/>
      </w:pPr>
      <w:r>
        <w:rPr>
          <w:rFonts w:ascii="Noto Sans" w:hAnsi="Noto Sans"/>
        </w:rPr>
      </w:r>
    </w:p>
    <w:tbl>
      <w:tblPr>
        <w:tblStyle w:val="TableGrid"/>
        <w:tblW w:w="9638" w:type="dxa"/>
        <w:jc w:val="left"/>
        <w:tblInd w:w="-18" w:type="dxa"/>
        <w:tblLayout w:type="fixed"/>
        <w:tblCellMar>
          <w:top w:w="70" w:type="dxa"/>
          <w:left w:w="90" w:type="dxa"/>
          <w:bottom w:w="70" w:type="dxa"/>
          <w:right w:w="90" w:type="dxa"/>
        </w:tblCellMar>
        <w:tblLook w:firstRow="1" w:noVBand="1" w:lastRow="0" w:firstColumn="1" w:lastColumn="0" w:noHBand="0" w:val="04a0"/>
      </w:tblPr>
      <w:tblGrid>
        <w:gridCol w:w="9638"/>
      </w:tblGrid>
      <w:tr>
        <w:trPr>
          <w:cantSplit w:val="true"/>
        </w:trPr>
        <w:tc>
          <w:tcPr>
            <w:tcW w:w="963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pPr>
              <w:pStyle w:val="Normal"/>
              <w:widowControl/>
              <w:rPr>
                <w:rFonts w:cs=""/>
                <w:kern w:val="0"/>
                <w:szCs w:val="22"/>
                <w:lang w:val="en-US" w:eastAsia="en-US" w:bidi="ar-SA"/>
              </w:rPr>
            </w:pPr>
            <w:r>
              <w:rPr>
                <w:rFonts w:eastAsia="Noto Sans" w:cs="" w:ascii="Noto Sans" w:hAnsi="Noto Sans"/>
                <w:b/>
                <w:color w:val="FFFFFF"/>
                <w:kern w:val="0"/>
                <w:sz w:val="17"/>
                <w:szCs w:val="22"/>
                <w:lang w:val="en-US" w:eastAsia="en-US" w:bidi="ar-SA"/>
              </w:rPr>
              <w:t>Nessun Canonical Envelope</w:t>
            </w:r>
          </w:p>
          <w:p>
            <w:pPr>
              <w:pStyle w:val="BodyText"/>
              <w:widowControl/>
              <w:spacing w:before="0" w:after="120"/>
              <w:rPr>
                <w:rFonts w:cs=""/>
                <w:kern w:val="0"/>
                <w:szCs w:val="22"/>
                <w:lang w:val="en-US" w:eastAsia="en-US" w:bidi="ar-SA"/>
              </w:rPr>
            </w:pPr>
            <w:r>
              <w:rPr>
                <w:rFonts w:eastAsia="Noto Sans" w:cs="" w:ascii="Noto Sans" w:hAnsi="Noto Sans"/>
                <w:b/>
                <w:color w:val="FFFFFF"/>
                <w:kern w:val="0"/>
                <w:sz w:val="17"/>
                <w:szCs w:val="22"/>
                <w:lang w:val="en-US" w:eastAsia="en-US" w:bidi="ar-SA"/>
              </w:rPr>
              <w:t>Il payload restituito dalla Source API è ancora sorgente. L’OUF Canonical Data Envelope viene costruito dall’Adapter/Connector dopo il passaggio attraverso il Gateway southbound.</w:t>
            </w:r>
          </w:p>
        </w:tc>
      </w:tr>
    </w:tbl>
    <w:p>
      <w:pPr>
        <w:pStyle w:val="Normal"/>
        <w:rPr/>
      </w:pPr>
      <w:r>
        <w:rPr>
          <w:rFonts w:ascii="Noto Sans" w:hAnsi="Noto Sans"/>
        </w:rPr>
      </w:r>
    </w:p>
    <w:p>
      <w:pPr/>
      <w:r>
        <w:rPr>
          <w:rFonts w:ascii="Noto Sans" w:hAnsi="Noto Sans"/>
        </w:rPr>
        <w:t>7.1 Identità source-object e sotto-entità</w:t>
      </w:r>
    </w:p>
    <w:p>
      <w:pPr/>
      <w:r>
        <w:rPr>
          <w:rFonts w:ascii="Noto Sans" w:hAnsi="Noto Sans"/>
        </w:rPr>
        <w:t>La chiave di provenienza OUF è (sourceId, typeCode, sourceObjectId). sourceObjectId identifica il singolo record/feature/asset/observazione nel relativo typeCode e NON il dataset nel suo complesso. Se un payload contiene sotto-entità che devono essere sincronizzabili o referenziabili autonomamente, il verticale DOVREBBE esporre identificatori stabili anche per esse. L'OUF decide se una o più istanze native generano zero, uno o più Candidate Urban Object.</w:t>
      </w:r>
    </w:p>
    <w:p>
      <w:pPr/>
      <w:r>
        <w:rPr>
          <w:rFonts w:ascii="Noto Sans" w:hAnsi="Noto Sans"/>
        </w:rPr>
        <w:t>7.2 Temporalità nativa</w:t>
      </w:r>
    </w:p>
    <w:tbl>
      <w:tblPr>
        <w:tblStyle w:val="TableGrid"/>
        <w:tblW w:type="auto" w:w="0"/>
        <w:tblLook w:firstColumn="1" w:firstRow="1" w:lastColumn="0" w:lastRow="0" w:noHBand="0" w:noVBand="1" w:val="04A0"/>
      </w:tblPr>
      <w:tblGrid>
        <w:gridCol w:w="3213"/>
        <w:gridCol w:w="3213"/>
        <w:gridCol w:w="3213"/>
      </w:tblGrid>
      <w:tr>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Campo/capacità</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Obbligo</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Regola</w:t>
            </w:r>
          </w:p>
        </w:tc>
      </w:tr>
      <w:tr>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lastModified o sequence</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DEVE per delta</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Tempo/ordine tecnico della modifica.</w:t>
            </w:r>
          </w:p>
        </w:tc>
      </w:tr>
      <w:tr>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createdAt</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DOVREBBE</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Creazione nel verticale se affidabile.</w:t>
            </w:r>
          </w:p>
        </w:tc>
      </w:tr>
      <w:tr>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validFrom / validTo</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DOVREBBE se esistono nel dominio</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Validità di dominio; OUF non pretende campi inventati.</w:t>
            </w:r>
          </w:p>
        </w:tc>
      </w:tr>
      <w:tr>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observedAt</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DEVE per osservazioni/sensori</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Istante dell'osservazione o misura.</w:t>
            </w:r>
          </w:p>
        </w:tc>
      </w:tr>
      <w:tr>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revision</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DOVREBBE</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Versione monotona della singola istanza, se disponibile.</w:t>
            </w:r>
          </w:p>
        </w:tc>
      </w:tr>
    </w:tbl>
    <w:p>
      <w:pPr/>
      <w:r>
        <w:rPr>
          <w:rFonts w:ascii="Noto Sans" w:hAnsi="Noto Sans"/>
        </w:rPr>
        <w:t>Il verticale non deve sintetizzare validTo o altre temporalità per soddisfare OUF. Se la fonte non possiede valid time di dominio, OUF userà OBSERVATION_ONLY; eventuali regole derivate vengono governate nell'Onboarding.</w:t>
      </w:r>
    </w:p>
    <w:p>
      <w:pPr>
        <w:pStyle w:val="Heading1"/>
        <w:rPr/>
      </w:pPr>
      <w:r>
        <w:rPr>
          <w:rFonts w:ascii="Noto Sans" w:hAnsi="Noto Sans"/>
        </w:rPr>
        <w:t>8. Perimetro di acquisizione e stati eleggibili</w:t>
      </w:r>
    </w:p>
    <w:p>
      <w:pPr>
        <w:pStyle w:val="BodyText"/>
        <w:rPr/>
      </w:pPr>
      <w:r>
        <w:rPr>
          <w:rFonts w:ascii="Noto Sans" w:hAnsi="Noto Sans"/>
        </w:rPr>
        <w:t>La Source API deve permettere a OUF di esprimere il perimetro tecnico di estrazione tramite tipi/collezioni, stati, date, partizioni o filtri nativi documentati. Nei profili SUAP/SUE/SUO il bootstrap e il delta ordinario possono essere limitati alle istanze che l'Onboarding classifica operativamente come concluse. Per verticali generici il perimetro può invece includere record attivi, feature correnti, asset o osservazioni. Il verticale espone valori nativi; OUF decide quali siano eleggibili.</w:t>
      </w:r>
    </w:p>
    <w:tbl>
      <w:tblPr>
        <w:tblStyle w:val="TableGrid"/>
        <w:tblW w:w="9638" w:type="dxa"/>
        <w:jc w:val="left"/>
        <w:tblInd w:w="52" w:type="dxa"/>
        <w:tblLayout w:type="fixed"/>
        <w:tblCellMar>
          <w:top w:w="120" w:type="dxa"/>
          <w:left w:w="160" w:type="dxa"/>
          <w:bottom w:w="120" w:type="dxa"/>
          <w:right w:w="160" w:type="dxa"/>
        </w:tblCellMar>
        <w:tblLook w:firstRow="1" w:noVBand="1" w:lastRow="0" w:firstColumn="1" w:lastColumn="0" w:noHBand="0" w:val="04a0"/>
      </w:tblPr>
      <w:tblGrid>
        <w:gridCol w:w="9638"/>
      </w:tblGrid>
      <w:tr>
        <w:trPr/>
        <w:tc>
          <w:tcPr>
            <w:tcW w:w="963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pPr>
              <w:pStyle w:val="Normal"/>
              <w:widowControl/>
              <w:spacing w:before="0" w:after="0"/>
              <w:rPr>
                <w:rFonts w:cs=""/>
                <w:kern w:val="0"/>
                <w:szCs w:val="22"/>
                <w:lang w:val="en-US" w:eastAsia="en-US" w:bidi="ar-SA"/>
              </w:rPr>
            </w:pPr>
            <w:r>
              <w:rPr>
                <w:rFonts w:eastAsia="Consolas" w:cs="" w:ascii="Noto Sans" w:hAnsi="Noto Sans"/>
                <w:b/>
                <w:color w:val="FFFFFF"/>
                <w:kern w:val="0"/>
                <w:sz w:val="17"/>
                <w:szCs w:val="22"/>
                <w:lang w:val="en-US" w:eastAsia="en-US" w:bidi="ar-SA"/>
              </w:rPr>
              <w:t>Verticale espone stati nativi:</w:t>
              <w:br/>
              <w:t xml:space="preserve">  CHIUSA_POS</w:t>
              <w:br/>
              <w:t xml:space="preserve">  CHIUSA_NEG</w:t>
              <w:br/>
              <w:t xml:space="preserve">  ARCHIVIATA</w:t>
              <w:br/>
              <w:t xml:space="preserve">  IN_CORSO</w:t>
              <w:br/>
              <w:t xml:space="preserve">  SOSPESA</w:t>
              <w:br/>
              <w:br/>
              <w:t>Onboarding configura:</w:t>
              <w:br/>
              <w:t xml:space="preserve">  eligibleStates = [CHIUSA_POS, CHIUSA_NEG, ARCHIVIATA]</w:t>
              <w:br/>
              <w:br/>
              <w:t>Runtime PULL:</w:t>
              <w:br/>
              <w:t xml:space="preserve">  GET /procedures?status=CHIUSA_POS,CHIUSA_NEG,ARCHIVIATA&amp;...</w:t>
            </w:r>
          </w:p>
        </w:tc>
      </w:tr>
    </w:tbl>
    <w:p>
      <w:pPr>
        <w:pStyle w:val="Normal"/>
        <w:rPr/>
      </w:pPr>
      <w:r>
        <w:rPr>
          <w:rFonts w:ascii="Noto Sans" w:hAnsi="Noto Sans"/>
        </w:rPr>
      </w:r>
    </w:p>
    <w:p>
      <w:pPr>
        <w:pStyle w:val="BodyText"/>
        <w:rPr/>
      </w:pPr>
      <w:r>
        <w:rPr>
          <w:rFonts w:eastAsia="Noto Sans" w:ascii="Noto Sans" w:hAnsi="Noto Sans"/>
          <w:sz w:val="18"/>
        </w:rPr>
        <w:t>Se il verticale possiede già un attributo tecnico affidabile come terminal=true o finalState=true, esso può essere utilizzato, ma non deve sostituire la disponibilità dei codici di stato nativi necessari all’onboarding e all’audit.</w:t>
      </w:r>
    </w:p>
    <w:p>
      <w:pPr>
        <w:pStyle w:val="Heading1"/>
        <w:rPr/>
      </w:pPr>
      <w:r>
        <w:rPr>
          <w:rFonts w:eastAsia="Noto Sans" w:ascii="Noto Sans" w:hAnsi="Noto Sans"/>
          <w:sz w:val="18"/>
        </w:rPr>
        <w:t>9. Bootstrap iniziale</w:t>
      </w:r>
    </w:p>
    <w:p>
      <w:pPr>
        <w:pStyle w:val="BodyText"/>
        <w:rPr/>
      </w:pPr>
      <w:r>
        <w:rPr>
          <w:rFonts w:ascii="Noto Sans" w:hAnsi="Noto Sans"/>
        </w:rPr>
        <w:t>Alla prima attivazione della sorgente la piattaforma deve poter acquisire tutte le istanze del perimetro definito dall'Extraction Profile. Nei profili SUAP/SUE/SUO il perimetro può coincidere con le istanze concluse; per verticali generici può comprendere record attivi, asset, feature o osservazioni. Il bootstrap deve essere ripetibile, paginato, restartable e compatibile con il fatto che il verticale continui a modificarsi durante l'estrazione.</w:t>
      </w:r>
    </w:p>
    <w:tbl>
      <w:tblPr>
        <w:tblStyle w:val="TableGrid"/>
        <w:tblW w:w="9638" w:type="dxa"/>
        <w:jc w:val="center"/>
        <w:tblInd w:w="0" w:type="dxa"/>
        <w:tblLayout w:type="fixed"/>
        <w:tblCellMar>
          <w:top w:w="70" w:type="dxa"/>
          <w:left w:w="90" w:type="dxa"/>
          <w:bottom w:w="70" w:type="dxa"/>
          <w:right w:w="90" w:type="dxa"/>
        </w:tblCellMar>
        <w:tblLook w:firstRow="1" w:noVBand="1" w:lastRow="0" w:firstColumn="1" w:lastColumn="0" w:noHBand="0" w:val="04a0"/>
      </w:tblPr>
      <w:tblGrid>
        <w:gridCol w:w="4819"/>
        <w:gridCol w:w="4818"/>
      </w:tblGrid>
      <w:tr>
        <w:trPr>
          <w:tblHeader w:val="true"/>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vAlign w:val="center"/>
          </w:tcPr>
          <w:p>
            <w:pPr>
              <w:pStyle w:val="Normal"/>
              <w:widowControl/>
              <w:spacing w:before="0" w:after="120"/>
              <w:jc w:val="center"/>
              <w:rPr>
                <w:rFonts w:cs=""/>
                <w:kern w:val="0"/>
                <w:szCs w:val="22"/>
                <w:lang w:val="en-US" w:eastAsia="en-US" w:bidi="ar-SA"/>
              </w:rPr>
            </w:pPr>
            <w:r>
              <w:rPr>
                <w:rFonts w:eastAsia="Noto Sans" w:cs="" w:ascii="Noto Sans" w:hAnsi="Noto Sans"/>
                <w:b/>
                <w:color w:val="FFFFFF"/>
                <w:kern w:val="0"/>
                <w:sz w:val="17"/>
                <w:szCs w:val="22"/>
                <w:lang w:val="en-US" w:eastAsia="en-US" w:bidi="ar-SA"/>
              </w:rPr>
              <w:t>Fase</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vAlign w:val="center"/>
          </w:tcPr>
          <w:p>
            <w:pPr>
              <w:pStyle w:val="Normal"/>
              <w:widowControl/>
              <w:spacing w:before="0" w:after="120"/>
              <w:jc w:val="center"/>
              <w:rPr>
                <w:rFonts w:cs=""/>
                <w:kern w:val="0"/>
                <w:szCs w:val="22"/>
                <w:lang w:val="en-US" w:eastAsia="en-US" w:bidi="ar-SA"/>
              </w:rPr>
            </w:pPr>
            <w:r>
              <w:rPr>
                <w:rFonts w:eastAsia="Noto Sans" w:cs="" w:ascii="Noto Sans" w:hAnsi="Noto Sans"/>
                <w:b/>
                <w:color w:val="FFFFFF"/>
                <w:kern w:val="0"/>
                <w:sz w:val="17"/>
                <w:szCs w:val="22"/>
                <w:lang w:val="en-US" w:eastAsia="en-US" w:bidi="ar-SA"/>
              </w:rPr>
              <w:t>Comportamento richiesto</w:t>
            </w:r>
          </w:p>
        </w:tc>
      </w:tr>
      <w:tr>
        <w:trPr>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1. Punto di coerenza</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Prima dello snapshot la piattaforma acquisisce T0, un high-water mark, snapshot point o meccanismo equivalente. La Source API DEVE garantire che snapshot e successivo catch-up possano essere concatenati senza perdita di modifiche avvenute durante l’estrazione.</w:t>
            </w:r>
          </w:p>
        </w:tc>
      </w:tr>
      <w:tr>
        <w:trPr>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2. Snapshot</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r>
              <w:rPr>
                <w:rFonts w:ascii="Noto Sans" w:hAnsi="Noto Sans"/>
                <w:sz w:val="17"/>
              </w:rPr>
              <w:t>Scarica tutte le istanze del perimetro secondo tipi/collezioni, filtri nativi e field projection del profilo.</w:t>
            </w:r>
          </w:p>
        </w:tc>
      </w:tr>
      <w:tr>
        <w:trPr>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3. Checkpoint</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Conserva cursor/pagina e progress per permettere il resume.</w:t>
            </w:r>
          </w:p>
        </w:tc>
      </w:tr>
      <w:tr>
        <w:trPr>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4. Catch-up</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Terminato lo snapshot, richiede tutte le variazioni successive a T0.</w:t>
            </w:r>
          </w:p>
        </w:tc>
      </w:tr>
      <w:tr>
        <w:trPr>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5. Validazione</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Confronta conteggi, errori e quarantene.</w:t>
            </w:r>
          </w:p>
        </w:tc>
      </w:tr>
      <w:tr>
        <w:trPr>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6. Attivazione</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Solo dopo il catch-up salva il watermark operativo e passa al delta ordinario.</w:t>
            </w:r>
          </w:p>
        </w:tc>
      </w:tr>
    </w:tbl>
    <w:p>
      <w:pPr>
        <w:pStyle w:val="BodyText"/>
        <w:rPr/>
      </w:pPr>
      <w:r>
        <w:rPr>
          <w:rFonts w:eastAsia="Noto Sans" w:ascii="Noto Sans" w:hAnsi="Noto Sans"/>
          <w:sz w:val="18"/>
        </w:rPr>
        <w:t>Garanzia di continuità runtime: lo standard non impone asOf, snapshotId, CDC o altra tecnologia specifica. Impone però che esista almeno un meccanismo documentato che renda completa la sequenza snapshot → catch-up → delta, senza buchi tra i dati letti nello snapshot e le modifiche recuperate successivamente.</w:t>
      </w:r>
    </w:p>
    <w:p>
      <w:pPr>
        <w:pStyle w:val="Normal"/>
        <w:rPr/>
      </w:pPr>
      <w:r>
        <w:rPr>
          <w:rFonts w:ascii="Noto Sans" w:hAnsi="Noto Sans"/>
        </w:rPr>
      </w:r>
    </w:p>
    <w:tbl>
      <w:tblPr>
        <w:tblStyle w:val="TableGrid"/>
        <w:tblW w:w="9638" w:type="dxa"/>
        <w:jc w:val="left"/>
        <w:tblInd w:w="52" w:type="dxa"/>
        <w:tblLayout w:type="fixed"/>
        <w:tblCellMar>
          <w:top w:w="120" w:type="dxa"/>
          <w:left w:w="160" w:type="dxa"/>
          <w:bottom w:w="120" w:type="dxa"/>
          <w:right w:w="160" w:type="dxa"/>
        </w:tblCellMar>
        <w:tblLook w:firstRow="1" w:noVBand="1" w:lastRow="0" w:firstColumn="1" w:lastColumn="0" w:noHBand="0" w:val="04a0"/>
      </w:tblPr>
      <w:tblGrid>
        <w:gridCol w:w="9638"/>
      </w:tblGrid>
      <w:tr>
        <w:trPr/>
        <w:tc>
          <w:tcPr>
            <w:tcW w:w="963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pPr>
              <w:pStyle w:val="Normal"/>
              <w:widowControl/>
              <w:spacing w:before="0" w:after="0"/>
              <w:rPr>
                <w:rFonts w:cs=""/>
                <w:kern w:val="0"/>
                <w:szCs w:val="22"/>
                <w:lang w:val="en-US" w:eastAsia="en-US" w:bidi="ar-SA"/>
              </w:rPr>
            </w:pPr>
            <w:r>
              <w:rPr>
                <w:rFonts w:eastAsia="Consolas" w:cs="" w:ascii="Noto Sans" w:hAnsi="Noto Sans"/>
                <w:b/>
                <w:color w:val="FFFFFF"/>
                <w:kern w:val="0"/>
                <w:sz w:val="17"/>
                <w:szCs w:val="22"/>
                <w:lang w:val="en-US" w:eastAsia="en-US" w:bidi="ar-SA"/>
              </w:rPr>
              <w:t>FULL SNAPSHOT</w:t>
              <w:br/>
              <w:t xml:space="preserve">      ↓</w:t>
              <w:br/>
              <w:t>catch-up da T0</w:t>
              <w:br/>
              <w:t xml:space="preserve">      ↓</w:t>
              <w:br/>
              <w:t>VALIDATION</w:t>
              <w:br/>
              <w:t xml:space="preserve">      ↓</w:t>
              <w:br/>
              <w:t>watermark confermato</w:t>
              <w:br/>
              <w:t xml:space="preserve">      ↓</w:t>
              <w:br/>
              <w:t>INCREMENTAL SYNC</w:t>
            </w:r>
          </w:p>
        </w:tc>
      </w:tr>
    </w:tbl>
    <w:p>
      <w:pPr>
        <w:pStyle w:val="Normal"/>
        <w:rPr/>
      </w:pPr>
      <w:r>
        <w:rPr>
          <w:rFonts w:ascii="Noto Sans" w:hAnsi="Noto Sans"/>
        </w:rPr>
      </w:r>
    </w:p>
    <w:p>
      <w:pPr>
        <w:pStyle w:val="Heading1"/>
        <w:rPr/>
      </w:pPr>
      <w:r>
        <w:rPr>
          <w:rFonts w:eastAsia="Noto Sans" w:ascii="Noto Sans" w:hAnsi="Noto Sans"/>
          <w:sz w:val="18"/>
        </w:rPr>
        <w:t>10. Sincronizzazione incrementale</w:t>
      </w:r>
    </w:p>
    <w:p>
      <w:pPr>
        <w:pStyle w:val="BodyText"/>
        <w:rPr/>
      </w:pPr>
      <w:r>
        <w:rPr>
          <w:rFonts w:eastAsia="Noto Sans" w:ascii="Noto Sans" w:hAnsi="Noto Sans"/>
          <w:sz w:val="18"/>
        </w:rPr>
        <w:t>A regime la piattaforma deve chiedere esclusivamente ciò che è nuovo o modificato dopo l’ultimo checkpoint confermato. L’API deve supportare una strategia di delta deterministica e documentata.</w:t>
      </w:r>
    </w:p>
    <w:tbl>
      <w:tblPr>
        <w:tblStyle w:val="TableGrid"/>
        <w:tblW w:w="9639" w:type="dxa"/>
        <w:jc w:val="center"/>
        <w:tblInd w:w="0" w:type="dxa"/>
        <w:tblLayout w:type="fixed"/>
        <w:tblCellMar>
          <w:top w:w="70" w:type="dxa"/>
          <w:left w:w="90" w:type="dxa"/>
          <w:bottom w:w="70" w:type="dxa"/>
          <w:right w:w="90" w:type="dxa"/>
        </w:tblCellMar>
        <w:tblLook w:firstRow="1" w:noVBand="1" w:lastRow="0" w:firstColumn="1" w:lastColumn="0" w:noHBand="0" w:val="04a0"/>
      </w:tblPr>
      <w:tblGrid>
        <w:gridCol w:w="3213"/>
        <w:gridCol w:w="3213"/>
        <w:gridCol w:w="3213"/>
      </w:tblGrid>
      <w:tr>
        <w:trPr>
          <w:tblHeader w:val="true"/>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vAlign w:val="center"/>
          </w:tcPr>
          <w:p>
            <w:pPr>
              <w:pStyle w:val="Normal"/>
              <w:widowControl/>
              <w:spacing w:before="0" w:after="120"/>
              <w:jc w:val="center"/>
              <w:rPr>
                <w:rFonts w:cs=""/>
                <w:kern w:val="0"/>
                <w:szCs w:val="22"/>
                <w:lang w:val="en-US" w:eastAsia="en-US" w:bidi="ar-SA"/>
              </w:rPr>
            </w:pPr>
            <w:r>
              <w:rPr>
                <w:rFonts w:eastAsia="Noto Sans" w:cs="" w:ascii="Noto Sans" w:hAnsi="Noto Sans"/>
                <w:b/>
                <w:color w:val="FFFFFF"/>
                <w:kern w:val="0"/>
                <w:sz w:val="17"/>
                <w:szCs w:val="22"/>
                <w:lang w:val="en-US" w:eastAsia="en-US" w:bidi="ar-SA"/>
              </w:rPr>
              <w:t>Priorità</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vAlign w:val="center"/>
          </w:tcPr>
          <w:p>
            <w:pPr>
              <w:pStyle w:val="Normal"/>
              <w:widowControl/>
              <w:spacing w:before="0" w:after="120"/>
              <w:jc w:val="center"/>
              <w:rPr>
                <w:rFonts w:cs=""/>
                <w:kern w:val="0"/>
                <w:szCs w:val="22"/>
                <w:lang w:val="en-US" w:eastAsia="en-US" w:bidi="ar-SA"/>
              </w:rPr>
            </w:pPr>
            <w:r>
              <w:rPr>
                <w:rFonts w:eastAsia="Noto Sans" w:cs="" w:ascii="Noto Sans" w:hAnsi="Noto Sans"/>
                <w:b/>
                <w:color w:val="FFFFFF"/>
                <w:kern w:val="0"/>
                <w:sz w:val="17"/>
                <w:szCs w:val="22"/>
                <w:lang w:val="en-US" w:eastAsia="en-US" w:bidi="ar-SA"/>
              </w:rPr>
              <w:t>Strategia</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vAlign w:val="center"/>
          </w:tcPr>
          <w:p>
            <w:pPr>
              <w:pStyle w:val="Normal"/>
              <w:widowControl/>
              <w:spacing w:before="0" w:after="120"/>
              <w:jc w:val="center"/>
              <w:rPr>
                <w:rFonts w:cs=""/>
                <w:kern w:val="0"/>
                <w:szCs w:val="22"/>
                <w:lang w:val="en-US" w:eastAsia="en-US" w:bidi="ar-SA"/>
              </w:rPr>
            </w:pPr>
            <w:r>
              <w:rPr>
                <w:rFonts w:eastAsia="Noto Sans" w:cs="" w:ascii="Noto Sans" w:hAnsi="Noto Sans"/>
                <w:b/>
                <w:color w:val="FFFFFF"/>
                <w:kern w:val="0"/>
                <w:sz w:val="17"/>
                <w:szCs w:val="22"/>
                <w:lang w:val="en-US" w:eastAsia="en-US" w:bidi="ar-SA"/>
              </w:rPr>
              <w:t>Valutazione</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1</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Change token / change feed</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Preferita: token opaco e monotono, indipendente dall’orologio.</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2</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Revision/sequence monotona</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Ottima se globale e ordinata.</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3</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lastModified + tie breaker</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Accettabile con upper bound e ordinamento stabile.</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4</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Snapshot diff</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Fallback; costoso e meno affidabile per grandi volumi.</w:t>
            </w:r>
          </w:p>
        </w:tc>
      </w:tr>
    </w:tbl>
    <w:p>
      <w:pPr>
        <w:pStyle w:val="Normal"/>
        <w:rPr/>
      </w:pPr>
      <w:r>
        <w:rPr>
          <w:rFonts w:ascii="Noto Sans" w:hAnsi="Noto Sans"/>
        </w:rPr>
      </w:r>
    </w:p>
    <w:tbl>
      <w:tblPr>
        <w:tblStyle w:val="TableGrid"/>
        <w:tblW w:w="9638" w:type="dxa"/>
        <w:jc w:val="left"/>
        <w:tblInd w:w="52" w:type="dxa"/>
        <w:tblLayout w:type="fixed"/>
        <w:tblCellMar>
          <w:top w:w="120" w:type="dxa"/>
          <w:left w:w="160" w:type="dxa"/>
          <w:bottom w:w="120" w:type="dxa"/>
          <w:right w:w="160" w:type="dxa"/>
        </w:tblCellMar>
        <w:tblLook w:firstRow="1" w:noVBand="1" w:lastRow="0" w:firstColumn="1" w:lastColumn="0" w:noHBand="0" w:val="04a0"/>
      </w:tblPr>
      <w:tblGrid>
        <w:gridCol w:w="9638"/>
      </w:tblGrid>
      <w:tr>
        <w:trPr/>
        <w:tc>
          <w:tcPr>
            <w:tcW w:w="963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pPr>
              <w:pStyle w:val="Normal"/>
              <w:widowControl/>
              <w:spacing w:before="0" w:after="0"/>
              <w:rPr>
                <w:rFonts w:cs=""/>
                <w:kern w:val="0"/>
                <w:szCs w:val="22"/>
                <w:lang w:val="en-US" w:eastAsia="en-US" w:bidi="ar-SA"/>
              </w:rPr>
            </w:pPr>
            <w:r>
              <w:rPr>
                <w:rFonts w:eastAsia="Consolas" w:cs="" w:ascii="Noto Sans" w:hAnsi="Noto Sans"/>
                <w:b/>
                <w:color w:val="FFFFFF"/>
                <w:kern w:val="0"/>
                <w:sz w:val="17"/>
                <w:szCs w:val="22"/>
                <w:lang w:val="en-US" w:eastAsia="en-US" w:bidi="ar-SA"/>
              </w:rPr>
              <w:t>GET /integration/v1/changes?after=chg-982731&amp;pageSize=500&amp;fields=...</w:t>
              <w:br/>
              <w:br/>
              <w:t>{</w:t>
              <w:br/>
              <w:t xml:space="preserve">  "fromToken": "chg-982731",</w:t>
              <w:br/>
              <w:t xml:space="preserve">  "toToken": "chg-983104",</w:t>
              <w:br/>
              <w:t xml:space="preserve">  "hasMore": false,</w:t>
              <w:br/>
              <w:t xml:space="preserve">  "items": [ ... ]</w:t>
              <w:br/>
              <w:t>}</w:t>
            </w:r>
          </w:p>
        </w:tc>
      </w:tr>
    </w:tbl>
    <w:p>
      <w:pPr>
        <w:pStyle w:val="Normal"/>
        <w:rPr/>
      </w:pPr>
      <w:r>
        <w:rPr>
          <w:rFonts w:ascii="Noto Sans" w:hAnsi="Noto Sans"/>
        </w:rPr>
      </w:r>
    </w:p>
    <w:p>
      <w:pPr>
        <w:pStyle w:val="BodyText"/>
        <w:rPr/>
      </w:pPr>
      <w:r>
        <w:rPr>
          <w:rFonts w:eastAsia="Noto Sans" w:ascii="Noto Sans" w:hAnsi="Noto Sans"/>
          <w:sz w:val="18"/>
        </w:rPr>
        <w:t>Il token o checkpoint successivo deve diventare operativo solo dopo che la piattaforma ha completato con successo l’elaborazione della finestra corrispondente. In caso di errore la stessa finestra DEVE poter essere riletta senza perdita di dati. La Source API non deve promettere exactly-once: eventuali riletture o duplicazioni tecniche devono essere riconoscibili tramite identificativo stabile, revisione e/o checkpoint e gestibili idempotentemente dalla piattaforma.</w:t>
      </w:r>
    </w:p>
    <w:p>
      <w:pPr>
        <w:pStyle w:val="BodyText"/>
        <w:rPr/>
      </w:pPr>
      <w:r>
        <w:rPr>
          <w:rFonts w:eastAsia="Noto Sans" w:ascii="Noto Sans" w:hAnsi="Noto Sans"/>
          <w:sz w:val="18"/>
        </w:rPr>
        <w:t>Visibilità dell’uscita dal perimetro: una variazione di un record già precedentemente estraibile DEVE restare osservabile nel flusso incrementale anche quando la modifica lo rende non più conforme ai filtri correnti dell’Extraction Profile (ad esempio una pratica conclusa che viene riaperta). Il verticale è libero di rappresentare tale variazione come aggiornamento, tombstone o meccanismo equivalente, purché la piattaforma possa rilevarla.</w:t>
      </w:r>
    </w:p>
    <w:p>
      <w:pPr/>
      <w:r>
        <w:rPr>
          <w:rFonts w:ascii="Noto Sans" w:hAnsi="Noto Sans"/>
        </w:rPr>
        <w:t>10.1 ChangeRepresentationProfile e contratti delta</w:t>
      </w:r>
    </w:p>
    <w:tbl>
      <w:tblPr>
        <w:tblStyle w:val="TableGrid"/>
        <w:tblW w:type="auto" w:w="0"/>
        <w:tblLook w:firstColumn="1" w:firstRow="1" w:lastColumn="0" w:lastRow="0" w:noHBand="0" w:noVBand="1" w:val="04A0"/>
      </w:tblPr>
      <w:tblGrid>
        <w:gridCol w:w="3213"/>
        <w:gridCol w:w="3213"/>
        <w:gridCol w:w="3213"/>
      </w:tblGrid>
      <w:tr>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Profilo OUF</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Capacità sorgente richiesta</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Regola</w:t>
            </w:r>
          </w:p>
        </w:tc>
      </w:tr>
      <w:tr>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FULL_SNAPSHOT</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Record completo nello snapshot/change feed.</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Baseline universale e fallback.</w:t>
            </w:r>
          </w:p>
        </w:tc>
      </w:tr>
      <w:tr>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DELTA_PATCH</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Patch tipizzata + base revision/token/hash + source path stabili.</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Opzionale; solo se deterministica.</w:t>
            </w:r>
          </w:p>
        </w:tc>
      </w:tr>
      <w:tr>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PROPERTY_EVENTS</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Eventi puntuali ordinabili/idempotenti con sequence e retention.</w:t>
            </w:r>
          </w:p>
        </w:tc>
        <w:tc>
          <w:tcPr>
            <w:tcW w:type="dxa" w:w="321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Solo sorgenti che lo supportano affidabilmente.</w:t>
            </w:r>
          </w:p>
        </w:tc>
      </w:tr>
    </w:tbl>
    <w:p>
      <w:pPr/>
      <w:r>
        <w:rPr>
          <w:rFonts w:ascii="Noto Sans" w:hAnsi="Noto Sans"/>
        </w:rPr>
        <w:t>Una Source API NON è obbligata a implementare DELTA_PATCH o PROPERTY_EVENTS. FULL_SNAPSHOT nel change feed è conforme se il delta identifica in modo affidabile quali record sono cambiati.</w:t>
      </w:r>
    </w:p>
    <w:p>
      <w:pPr/>
      <w:r>
        <w:rPr>
          <w:rFonts w:ascii="Noto Sans" w:hAnsi="Noto Sans"/>
        </w:rPr>
        <w:t>Se DELTA_PATCH è supportato, ogni operazione deve identificare sourceObjectId, base revision/token/hash, operation (SET/REMOVE o equivalente), sourcePath stabile e nuova revisione/sequence. Il verticale non conosce targetProperty OUF.</w:t>
      </w:r>
    </w:p>
    <w:p>
      <w:pPr/>
      <w:r>
        <w:rPr>
          <w:rFonts w:ascii="Noto Sans" w:hAnsi="Noto Sans"/>
        </w:rPr>
        <w:t>Se PROPERTY_EVENTS è supportato, il contratto deve dichiarare ordering scope, eventId/sequence, deduplication key, retention e procedura di catch-up dopo consumer downtime.</w:t>
      </w:r>
    </w:p>
    <w:p>
      <w:pPr/>
      <w:r>
        <w:rPr>
          <w:rFonts w:ascii="Noto Sans" w:hAnsi="Noto Sans"/>
        </w:rPr>
        <w:t>Un cambio della semantica di patch path, event ordering o base reference è una breaking contract change anche se il JSON resta sintatticamente valido.</w:t>
      </w:r>
    </w:p>
    <w:p>
      <w:pPr>
        <w:pStyle w:val="Heading1"/>
        <w:rPr/>
      </w:pPr>
      <w:r>
        <w:rPr>
          <w:rFonts w:ascii="Noto Sans" w:hAnsi="Noto Sans"/>
        </w:rPr>
        <w:t>11. Cancellazioni, rettifiche e cambi di perimetro</w:t>
      </w:r>
    </w:p>
    <w:p>
      <w:pPr>
        <w:pStyle w:val="BodyText"/>
        <w:rPr/>
      </w:pPr>
      <w:r>
        <w:rPr>
          <w:rFonts w:ascii="Noto Sans" w:hAnsi="Noto Sans"/>
        </w:rPr>
        <w:t>Una replica incrementale è corretta solo se rende osservabili anche variazioni che non corrispondono a un semplice aggiornamento. Il verticale deve rappresentare cancellazioni logiche o fisiche, annullamenti/rettifiche e, quando applicabile, transizioni che fanno entrare o uscire un record dal perimetro configurato. Nei profili amministrativi ciò include anche riaperture di pratiche precedentemente concluse.</w:t>
      </w:r>
    </w:p>
    <w:tbl>
      <w:tblPr>
        <w:tblStyle w:val="TableGrid"/>
        <w:tblW w:w="9638" w:type="dxa"/>
        <w:jc w:val="center"/>
        <w:tblInd w:w="0" w:type="dxa"/>
        <w:tblLayout w:type="fixed"/>
        <w:tblCellMar>
          <w:top w:w="70" w:type="dxa"/>
          <w:left w:w="90" w:type="dxa"/>
          <w:bottom w:w="70" w:type="dxa"/>
          <w:right w:w="90" w:type="dxa"/>
        </w:tblCellMar>
        <w:tblLook w:firstRow="1" w:noVBand="1" w:lastRow="0" w:firstColumn="1" w:lastColumn="0" w:noHBand="0" w:val="04a0"/>
      </w:tblPr>
      <w:tblGrid>
        <w:gridCol w:w="4819"/>
        <w:gridCol w:w="4818"/>
      </w:tblGrid>
      <w:tr>
        <w:trPr>
          <w:tblHeader w:val="true"/>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vAlign w:val="center"/>
          </w:tcPr>
          <w:p>
            <w:pPr>
              <w:pStyle w:val="Normal"/>
              <w:widowControl/>
              <w:spacing w:before="0" w:after="120"/>
              <w:jc w:val="center"/>
              <w:rPr>
                <w:rFonts w:cs=""/>
                <w:kern w:val="0"/>
                <w:szCs w:val="22"/>
                <w:lang w:val="en-US" w:eastAsia="en-US" w:bidi="ar-SA"/>
              </w:rPr>
            </w:pPr>
            <w:r>
              <w:rPr>
                <w:rFonts w:eastAsia="Noto Sans" w:cs="" w:ascii="Noto Sans" w:hAnsi="Noto Sans"/>
                <w:b/>
                <w:color w:val="FFFFFF"/>
                <w:kern w:val="0"/>
                <w:sz w:val="17"/>
                <w:szCs w:val="22"/>
                <w:lang w:val="en-US" w:eastAsia="en-US" w:bidi="ar-SA"/>
              </w:rPr>
              <w:t>Caso</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vAlign w:val="center"/>
          </w:tcPr>
          <w:p>
            <w:pPr>
              <w:pStyle w:val="Normal"/>
              <w:widowControl/>
              <w:spacing w:before="0" w:after="120"/>
              <w:jc w:val="center"/>
              <w:rPr>
                <w:rFonts w:cs=""/>
                <w:kern w:val="0"/>
                <w:szCs w:val="22"/>
                <w:lang w:val="en-US" w:eastAsia="en-US" w:bidi="ar-SA"/>
              </w:rPr>
            </w:pPr>
            <w:r>
              <w:rPr>
                <w:rFonts w:eastAsia="Noto Sans" w:cs="" w:ascii="Noto Sans" w:hAnsi="Noto Sans"/>
                <w:b/>
                <w:color w:val="FFFFFF"/>
                <w:kern w:val="0"/>
                <w:sz w:val="17"/>
                <w:szCs w:val="22"/>
                <w:lang w:val="en-US" w:eastAsia="en-US" w:bidi="ar-SA"/>
              </w:rPr>
              <w:t>Comportamento raccomandato</w:t>
            </w:r>
          </w:p>
        </w:tc>
      </w:tr>
      <w:tr>
        <w:trPr>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DELETE fisico</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Tombstone nel change feed con sourceObjectId, typeCode, timestamp e revision.</w:t>
            </w:r>
          </w:p>
        </w:tc>
      </w:tr>
      <w:tr>
        <w:trPr>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Cancellazione logica</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UPSERT con stato/flag nativo aggiornato, oppure tombstone equivalente.</w:t>
            </w:r>
          </w:p>
        </w:tc>
      </w:tr>
      <w:tr>
        <w:trPr>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Rettifica</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Nuova revisione dell’istanza con lastModified/revision aggiornati.</w:t>
            </w:r>
          </w:p>
        </w:tc>
      </w:tr>
      <w:tr>
        <w:trPr>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Riapertura</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Evento di modifica che rende visibile il nuovo stato nativo; la piattaforma decide il trattamento.</w:t>
            </w:r>
          </w:p>
        </w:tc>
      </w:tr>
      <w:tr>
        <w:trPr>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ID cancellato</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Non deve essere riutilizzato per una nuova istanza.</w:t>
            </w:r>
          </w:p>
        </w:tc>
      </w:tr>
    </w:tbl>
    <w:p>
      <w:pPr>
        <w:pStyle w:val="Normal"/>
        <w:rPr/>
      </w:pPr>
      <w:r>
        <w:rPr>
          <w:rFonts w:ascii="Noto Sans" w:hAnsi="Noto Sans"/>
        </w:rPr>
      </w:r>
    </w:p>
    <w:p>
      <w:pPr>
        <w:pStyle w:val="Heading1"/>
        <w:rPr/>
      </w:pPr>
      <w:r>
        <w:rPr>
          <w:rFonts w:eastAsia="Noto Sans" w:ascii="Noto Sans" w:hAnsi="Noto Sans"/>
          <w:sz w:val="18"/>
        </w:rPr>
        <w:t>12. Field projection e privacy by minimization</w:t>
      </w:r>
    </w:p>
    <w:p>
      <w:pPr>
        <w:pStyle w:val="BodyText"/>
        <w:rPr/>
      </w:pPr>
      <w:r>
        <w:rPr>
          <w:rFonts w:eastAsia="Noto Sans" w:ascii="Noto Sans" w:hAnsi="Noto Sans"/>
          <w:sz w:val="18"/>
        </w:rPr>
        <w:t>La piattaforma può conoscere, durante onboarding, campi personali, privati, sensibili o comunque non ammessi al profilo operativo. Tali classificazioni non devono essere imposte al verticale. Tuttavia la Source API deve consentire alla piattaforma di evitare il transito di quei campi.</w:t>
      </w:r>
    </w:p>
    <w:tbl>
      <w:tblPr>
        <w:tblStyle w:val="TableGrid"/>
        <w:tblW w:w="9639" w:type="dxa"/>
        <w:jc w:val="center"/>
        <w:tblInd w:w="0" w:type="dxa"/>
        <w:tblLayout w:type="fixed"/>
        <w:tblCellMar>
          <w:top w:w="70" w:type="dxa"/>
          <w:left w:w="90" w:type="dxa"/>
          <w:bottom w:w="70" w:type="dxa"/>
          <w:right w:w="90" w:type="dxa"/>
        </w:tblCellMar>
        <w:tblLook w:firstRow="1" w:noVBand="1" w:lastRow="0" w:firstColumn="1" w:lastColumn="0" w:noHBand="0" w:val="04a0"/>
      </w:tblPr>
      <w:tblGrid>
        <w:gridCol w:w="3213"/>
        <w:gridCol w:w="3213"/>
        <w:gridCol w:w="3213"/>
      </w:tblGrid>
      <w:tr>
        <w:trPr>
          <w:tblHeader w:val="true"/>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vAlign w:val="center"/>
          </w:tcPr>
          <w:p>
            <w:pPr>
              <w:pStyle w:val="Normal"/>
              <w:widowControl/>
              <w:spacing w:before="0" w:after="120"/>
              <w:jc w:val="center"/>
              <w:rPr>
                <w:rFonts w:cs=""/>
                <w:kern w:val="0"/>
                <w:szCs w:val="22"/>
                <w:lang w:val="en-US" w:eastAsia="en-US" w:bidi="ar-SA"/>
              </w:rPr>
            </w:pPr>
            <w:r>
              <w:rPr>
                <w:rFonts w:eastAsia="Noto Sans" w:cs="" w:ascii="Noto Sans" w:hAnsi="Noto Sans"/>
                <w:b/>
                <w:color w:val="FFFFFF"/>
                <w:kern w:val="0"/>
                <w:sz w:val="17"/>
                <w:szCs w:val="22"/>
                <w:lang w:val="en-US" w:eastAsia="en-US" w:bidi="ar-SA"/>
              </w:rPr>
              <w:t>Meccanismo</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vAlign w:val="center"/>
          </w:tcPr>
          <w:p>
            <w:pPr>
              <w:pStyle w:val="Normal"/>
              <w:widowControl/>
              <w:spacing w:before="0" w:after="120"/>
              <w:jc w:val="center"/>
              <w:rPr>
                <w:rFonts w:cs=""/>
                <w:kern w:val="0"/>
                <w:szCs w:val="22"/>
                <w:lang w:val="en-US" w:eastAsia="en-US" w:bidi="ar-SA"/>
              </w:rPr>
            </w:pPr>
            <w:r>
              <w:rPr>
                <w:rFonts w:eastAsia="Noto Sans" w:cs="" w:ascii="Noto Sans" w:hAnsi="Noto Sans"/>
                <w:b/>
                <w:color w:val="FFFFFF"/>
                <w:kern w:val="0"/>
                <w:sz w:val="17"/>
                <w:szCs w:val="22"/>
                <w:lang w:val="en-US" w:eastAsia="en-US" w:bidi="ar-SA"/>
              </w:rPr>
              <w:t>Idoneità</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vAlign w:val="center"/>
          </w:tcPr>
          <w:p>
            <w:pPr>
              <w:pStyle w:val="Normal"/>
              <w:widowControl/>
              <w:spacing w:before="0" w:after="120"/>
              <w:jc w:val="center"/>
              <w:rPr>
                <w:rFonts w:cs=""/>
                <w:kern w:val="0"/>
                <w:szCs w:val="22"/>
                <w:lang w:val="en-US" w:eastAsia="en-US" w:bidi="ar-SA"/>
              </w:rPr>
            </w:pPr>
            <w:r>
              <w:rPr>
                <w:rFonts w:eastAsia="Noto Sans" w:cs="" w:ascii="Noto Sans" w:hAnsi="Noto Sans"/>
                <w:b/>
                <w:color w:val="FFFFFF"/>
                <w:kern w:val="0"/>
                <w:sz w:val="17"/>
                <w:szCs w:val="22"/>
                <w:lang w:val="en-US" w:eastAsia="en-US" w:bidi="ar-SA"/>
              </w:rPr>
              <w:t>Esempio</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fields/select</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Preferito</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?fields=id_pratica,indirizzo,data_fine</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projectionId tecnico</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Idoneo</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?projection=smartcity-v3, se il verticale gestisce viste tecniche concordate.</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endpoint/view dedicata</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Idoneo</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/integration/v1/smartcity/procedures, purché resti semanticamente neutro.</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scarico completo + filtro OUF</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NON idoneo come default</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Porterebbe dati esclusi nel perimetro OUF.</w:t>
            </w:r>
          </w:p>
        </w:tc>
      </w:tr>
    </w:tbl>
    <w:p>
      <w:pPr>
        <w:pStyle w:val="Normal"/>
        <w:rPr/>
      </w:pPr>
      <w:r>
        <w:rPr>
          <w:rFonts w:ascii="Noto Sans" w:hAnsi="Noto Sans"/>
        </w:rPr>
      </w:r>
    </w:p>
    <w:p>
      <w:pPr>
        <w:pStyle w:val="BodyText"/>
        <w:rPr/>
      </w:pPr>
      <w:r>
        <w:rPr>
          <w:rFonts w:eastAsia="Noto Sans" w:ascii="Noto Sans" w:hAnsi="Noto Sans"/>
          <w:sz w:val="18"/>
        </w:rPr>
        <w:t>La projection deve funzionare anche nel bootstrap e nel change feed. Il Gateway/Connector applica l’Extraction Profile costruendo la richiesta con i filtri e la proiezione tecnica approvati; è la Source API del verticale che DEVE eseguire materialmente la projection prima di produrre la risposta, così che i campi esclusi non attraversino il confine della sorgente. Se un campo necessario al controllo tecnico del record non è incluso nel payload data, può essere esposto come metadato tecnico comune purché documentato e ammesso.</w:t>
      </w:r>
    </w:p>
    <w:p>
      <w:pPr>
        <w:pStyle w:val="Heading1"/>
        <w:rPr/>
      </w:pPr>
      <w:r>
        <w:rPr>
          <w:rFonts w:eastAsia="Noto Sans" w:ascii="Noto Sans" w:hAnsi="Noto Sans"/>
          <w:sz w:val="18"/>
        </w:rPr>
        <w:t>13. Paging, cursor, ordinamento e coerenza</w:t>
      </w:r>
    </w:p>
    <w:p>
      <w:pPr>
        <w:pStyle w:val="ListBullet"/>
        <w:numPr>
          <w:ilvl w:val="0"/>
          <w:numId w:val="1"/>
        </w:numPr>
        <w:rPr/>
      </w:pPr>
      <w:r>
        <w:rPr>
          <w:rFonts w:eastAsia="Noto Sans" w:ascii="Noto Sans" w:hAnsi="Noto Sans"/>
          <w:sz w:val="18"/>
        </w:rPr>
        <w:t>Il cursor DOVREBBE essere opaco e stabile per la durata della lettura.</w:t>
      </w:r>
    </w:p>
    <w:p>
      <w:pPr>
        <w:pStyle w:val="ListBullet"/>
        <w:numPr>
          <w:ilvl w:val="0"/>
          <w:numId w:val="1"/>
        </w:numPr>
        <w:rPr/>
      </w:pPr>
      <w:r>
        <w:rPr>
          <w:rFonts w:eastAsia="Noto Sans" w:ascii="Noto Sans" w:hAnsi="Noto Sans"/>
          <w:sz w:val="18"/>
        </w:rPr>
        <w:t>L’ordinamento DEVE essere deterministico e documentato.</w:t>
      </w:r>
    </w:p>
    <w:p>
      <w:pPr>
        <w:pStyle w:val="ListBullet"/>
        <w:numPr>
          <w:ilvl w:val="0"/>
          <w:numId w:val="1"/>
        </w:numPr>
        <w:rPr/>
      </w:pPr>
      <w:r>
        <w:rPr>
          <w:rFonts w:eastAsia="Noto Sans" w:ascii="Noto Sans" w:hAnsi="Noto Sans"/>
          <w:sz w:val="18"/>
        </w:rPr>
        <w:t>La pagina successiva non deve perdere o duplicare elementi a causa di inserimenti concorrenti.</w:t>
      </w:r>
    </w:p>
    <w:p>
      <w:pPr>
        <w:pStyle w:val="ListBullet"/>
        <w:numPr>
          <w:ilvl w:val="0"/>
          <w:numId w:val="1"/>
        </w:numPr>
        <w:rPr/>
      </w:pPr>
      <w:r>
        <w:rPr>
          <w:rFonts w:eastAsia="Noto Sans" w:ascii="Noto Sans" w:hAnsi="Noto Sans"/>
          <w:sz w:val="18"/>
        </w:rPr>
        <w:t>L’API DOVREBBE supportare snapshotAt/asOf, high-water mark o meccanismo equivalente; in ogni caso DEVE essere garantita la continuità tra snapshot e successivo delta come definita nella sezione 9.</w:t>
      </w:r>
    </w:p>
    <w:p>
      <w:pPr>
        <w:pStyle w:val="ListBullet"/>
        <w:numPr>
          <w:ilvl w:val="0"/>
          <w:numId w:val="1"/>
        </w:numPr>
        <w:rPr/>
      </w:pPr>
      <w:r>
        <w:rPr>
          <w:rFonts w:eastAsia="Noto Sans" w:ascii="Noto Sans" w:hAnsi="Noto Sans"/>
          <w:sz w:val="18"/>
        </w:rPr>
        <w:t>pageSize massimo e default DEVONO essere dichiarati.</w:t>
      </w:r>
    </w:p>
    <w:p>
      <w:pPr>
        <w:pStyle w:val="Heading2"/>
        <w:rPr/>
      </w:pPr>
      <w:r>
        <w:rPr>
          <w:rFonts w:eastAsia="Noto Sans" w:ascii="Noto Sans" w:hAnsi="Noto Sans"/>
          <w:sz w:val="18"/>
        </w:rPr>
        <w:t>13.1 Concorrenza delle letture e isolamento dei flussi</w:t>
      </w:r>
    </w:p>
    <w:p>
      <w:pPr>
        <w:pStyle w:val="BodyText"/>
        <w:rPr/>
      </w:pPr>
      <w:r>
        <w:rPr>
          <w:rFonts w:eastAsia="Noto Sans" w:ascii="Noto Sans" w:hAnsi="Noto Sans"/>
          <w:sz w:val="18"/>
        </w:rPr>
        <w:t xml:space="preserve">La Source API deve essere progettata assumendo che OUF possa eseguire più letture concorrenti: discovery tecnico, schema surveillance, snapshot, delta, dettaglio diagnostico e verifiche di health possono sovrapporsi. </w:t>
      </w:r>
      <w:r>
        <w:rPr>
          <w:rFonts w:eastAsia="Noto Sans" w:ascii="Noto Sans" w:hAnsi="Noto Sans"/>
          <w:b/>
          <w:sz w:val="18"/>
        </w:rPr>
        <w:t>La concorrenza non deve alterare la coerenza dei cursor, la continuità snapshot→delta o la visibilità delle modifiche.</w:t>
      </w:r>
    </w:p>
    <w:p>
      <w:pPr>
        <w:pStyle w:val="ListBullet"/>
        <w:numPr>
          <w:ilvl w:val="0"/>
          <w:numId w:val="1"/>
        </w:numPr>
        <w:rPr/>
      </w:pPr>
      <w:r>
        <w:rPr>
          <w:rFonts w:eastAsia="Noto Sans" w:ascii="Noto Sans" w:hAnsi="Noto Sans"/>
          <w:sz w:val="18"/>
        </w:rPr>
        <w:t>Il verticale DEVE documentare rate limit e limiti di concorrenza per client/route.</w:t>
      </w:r>
    </w:p>
    <w:p>
      <w:pPr>
        <w:pStyle w:val="ListBullet"/>
        <w:numPr>
          <w:ilvl w:val="0"/>
          <w:numId w:val="1"/>
        </w:numPr>
        <w:rPr/>
      </w:pPr>
      <w:r>
        <w:rPr>
          <w:rFonts w:eastAsia="Noto Sans" w:ascii="Noto Sans" w:hAnsi="Noto Sans"/>
          <w:sz w:val="18"/>
        </w:rPr>
        <w:t>Cursor e snapshot context non devono dipendere da una sessione HTTP esclusiva o da un singolo consumer.</w:t>
      </w:r>
    </w:p>
    <w:p>
      <w:pPr>
        <w:pStyle w:val="ListBullet"/>
        <w:numPr>
          <w:ilvl w:val="0"/>
          <w:numId w:val="1"/>
        </w:numPr>
        <w:rPr/>
      </w:pPr>
      <w:r>
        <w:rPr>
          <w:rFonts w:eastAsia="Noto Sans" w:ascii="Noto Sans" w:hAnsi="Noto Sans"/>
          <w:sz w:val="18"/>
        </w:rPr>
        <w:t>Richieste di discovery/schema check non devono invalidare una scansione dati in corso.</w:t>
      </w:r>
    </w:p>
    <w:p>
      <w:pPr>
        <w:pStyle w:val="ListBullet"/>
        <w:numPr>
          <w:ilvl w:val="0"/>
          <w:numId w:val="1"/>
        </w:numPr>
        <w:rPr/>
      </w:pPr>
      <w:r>
        <w:rPr>
          <w:rFonts w:eastAsia="Noto Sans" w:ascii="Noto Sans" w:hAnsi="Noto Sans"/>
          <w:sz w:val="18"/>
        </w:rPr>
        <w:t>Se il verticale applica throttling, DEVE usare 429/503 e Retry-After senza introdurre perdita di stato.</w:t>
      </w:r>
    </w:p>
    <w:p>
      <w:pPr>
        <w:pStyle w:val="ListBullet"/>
        <w:numPr>
          <w:ilvl w:val="0"/>
          <w:numId w:val="1"/>
        </w:numPr>
        <w:rPr/>
      </w:pPr>
      <w:r>
        <w:rPr>
          <w:rFonts w:eastAsia="Noto Sans" w:ascii="Noto Sans" w:hAnsi="Noto Sans"/>
          <w:sz w:val="18"/>
        </w:rPr>
        <w:t>Il client deve poter ripetere una pagina o una finestra senza effetti collaterali.</w:t>
      </w:r>
    </w:p>
    <w:p>
      <w:pPr>
        <w:pStyle w:val="Heading1"/>
        <w:rPr/>
      </w:pPr>
      <w:r>
        <w:rPr>
          <w:rFonts w:eastAsia="Noto Sans" w:ascii="Noto Sans" w:hAnsi="Noto Sans"/>
          <w:sz w:val="18"/>
        </w:rPr>
        <w:t>14. Schemi, codifiche e compatibilità</w:t>
      </w:r>
    </w:p>
    <w:p>
      <w:pPr>
        <w:pStyle w:val="BodyText"/>
        <w:rPr/>
      </w:pPr>
      <w:r>
        <w:rPr>
          <w:rFonts w:eastAsia="Noto Sans" w:ascii="Noto Sans" w:hAnsi="Noto Sans"/>
          <w:sz w:val="18"/>
        </w:rPr>
        <w:t>Ogni tipologia esposta deve avere uno schema versionato. JSON Schema è raccomandato per JSON; XSD è ammesso per XML legacy. Le codifiche native devono essere documentate con codici, descrizioni e stato di validità. Queste codifiche rimangono sorgente e saranno eventualmente mappate a vocabolari controllati OUF durante onboarding.</w:t>
      </w:r>
    </w:p>
    <w:tbl>
      <w:tblPr>
        <w:tblStyle w:val="TableGrid"/>
        <w:tblW w:w="9638" w:type="dxa"/>
        <w:jc w:val="center"/>
        <w:tblInd w:w="0" w:type="dxa"/>
        <w:tblLayout w:type="fixed"/>
        <w:tblCellMar>
          <w:top w:w="70" w:type="dxa"/>
          <w:left w:w="90" w:type="dxa"/>
          <w:bottom w:w="70" w:type="dxa"/>
          <w:right w:w="90" w:type="dxa"/>
        </w:tblCellMar>
        <w:tblLook w:firstRow="1" w:noVBand="1" w:lastRow="0" w:firstColumn="1" w:lastColumn="0" w:noHBand="0" w:val="04a0"/>
      </w:tblPr>
      <w:tblGrid>
        <w:gridCol w:w="4819"/>
        <w:gridCol w:w="4818"/>
      </w:tblGrid>
      <w:tr>
        <w:trPr>
          <w:tblHeader w:val="true"/>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vAlign w:val="center"/>
          </w:tcPr>
          <w:p>
            <w:pPr>
              <w:pStyle w:val="Normal"/>
              <w:widowControl/>
              <w:spacing w:before="0" w:after="120"/>
              <w:jc w:val="center"/>
              <w:rPr>
                <w:rFonts w:cs=""/>
                <w:kern w:val="0"/>
                <w:szCs w:val="22"/>
                <w:lang w:val="en-US" w:eastAsia="en-US" w:bidi="ar-SA"/>
              </w:rPr>
            </w:pPr>
            <w:r>
              <w:rPr>
                <w:rFonts w:eastAsia="Noto Sans" w:cs="" w:ascii="Noto Sans" w:hAnsi="Noto Sans"/>
                <w:b/>
                <w:color w:val="FFFFFF"/>
                <w:kern w:val="0"/>
                <w:sz w:val="17"/>
                <w:szCs w:val="22"/>
                <w:lang w:val="en-US" w:eastAsia="en-US" w:bidi="ar-SA"/>
              </w:rPr>
              <w:t>Modifica</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vAlign w:val="center"/>
          </w:tcPr>
          <w:p>
            <w:pPr>
              <w:pStyle w:val="Normal"/>
              <w:widowControl/>
              <w:spacing w:before="0" w:after="120"/>
              <w:jc w:val="center"/>
              <w:rPr>
                <w:rFonts w:cs=""/>
                <w:kern w:val="0"/>
                <w:szCs w:val="22"/>
                <w:lang w:val="en-US" w:eastAsia="en-US" w:bidi="ar-SA"/>
              </w:rPr>
            </w:pPr>
            <w:r>
              <w:rPr>
                <w:rFonts w:eastAsia="Noto Sans" w:cs="" w:ascii="Noto Sans" w:hAnsi="Noto Sans"/>
                <w:b/>
                <w:color w:val="FFFFFF"/>
                <w:kern w:val="0"/>
                <w:sz w:val="17"/>
                <w:szCs w:val="22"/>
                <w:lang w:val="en-US" w:eastAsia="en-US" w:bidi="ar-SA"/>
              </w:rPr>
              <w:t>Compatibilità</w:t>
            </w:r>
          </w:p>
        </w:tc>
      </w:tr>
      <w:tr>
        <w:trPr>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Aggiunta di campo opzionale</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Compatibile, ma DEVE essere osservabile tramite nuova schemaVersion/fingerprint o equivalente; non deve restare un cambiamento silenzioso.</w:t>
            </w:r>
          </w:p>
        </w:tc>
      </w:tr>
      <w:tr>
        <w:trPr>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Cambio tipo di un campo</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Breaking: richiede nuova schemaVersion e finestra di transizione quando tecnicamente possibile.</w:t>
            </w:r>
          </w:p>
        </w:tc>
      </w:tr>
      <w:tr>
        <w:trPr>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Rimozione/rename campo</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Breaking: nuova schemaVersion; DOVREBBE prevedere deprecazione/compatibility window.</w:t>
            </w:r>
          </w:p>
        </w:tc>
      </w:tr>
      <w:tr>
        <w:trPr>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Nuovo codice enum</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Deve essere documentato; la piattaforma può richiedere revisione onboarding.</w:t>
            </w:r>
          </w:p>
        </w:tc>
      </w:tr>
      <w:tr>
        <w:trPr>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Nuovo procedimento/tipo</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Deve apparire nel catalogo tecnico; non è automaticamente attivo in OUF.</w:t>
            </w:r>
          </w:p>
        </w:tc>
      </w:tr>
      <w:tr>
        <w:trPr>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Cambio semantico senza cambio struttura</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Deve comunque produrre nuova versione/documentazione.</w:t>
            </w:r>
          </w:p>
        </w:tc>
      </w:tr>
    </w:tbl>
    <w:p>
      <w:pPr>
        <w:pStyle w:val="Normal"/>
        <w:rPr/>
      </w:pPr>
      <w:r>
        <w:rPr>
          <w:rFonts w:ascii="Noto Sans" w:hAnsi="Noto Sans"/>
        </w:rPr>
      </w:r>
    </w:p>
    <w:p>
      <w:pPr>
        <w:pStyle w:val="Heading2"/>
        <w:rPr/>
      </w:pPr>
      <w:r>
        <w:rPr>
          <w:rFonts w:eastAsia="Noto Sans" w:ascii="Noto Sans" w:hAnsi="Noto Sans"/>
          <w:sz w:val="18"/>
        </w:rPr>
        <w:t>14.1 Schema Surveillance e rilevazione del drift</w:t>
      </w:r>
    </w:p>
    <w:p>
      <w:pPr>
        <w:pStyle w:val="BodyText"/>
        <w:rPr/>
      </w:pPr>
      <w:r>
        <w:rPr>
          <w:rFonts w:eastAsia="Noto Sans" w:ascii="Noto Sans" w:hAnsi="Noto Sans"/>
          <w:sz w:val="18"/>
        </w:rPr>
        <w:t>OUF esegue schema surveillance in modalità PULL confrontando il contratto tecnico ACTIVE con il catalogo/schema osservato. Il verticale non deve inviare webhook né conoscere lo stato interno OUF, ma deve rendere rilevabili anche le variazioni compatibili, inclusa l’aggiunta di un campo non richiesto dall’attuale fieldProjection.</w:t>
      </w:r>
    </w:p>
    <w:tbl>
      <w:tblPr>
        <w:tblStyle w:val="TableGrid"/>
        <w:tblW w:w="9638" w:type="dxa"/>
        <w:jc w:val="left"/>
        <w:tblInd w:w="52" w:type="dxa"/>
        <w:tblLayout w:type="fixed"/>
        <w:tblCellMar>
          <w:top w:w="120" w:type="dxa"/>
          <w:left w:w="160" w:type="dxa"/>
          <w:bottom w:w="120" w:type="dxa"/>
          <w:right w:w="160" w:type="dxa"/>
        </w:tblCellMar>
        <w:tblLook w:firstRow="1" w:noVBand="1" w:lastRow="0" w:firstColumn="1" w:lastColumn="0" w:noHBand="0" w:val="04a0"/>
      </w:tblPr>
      <w:tblGrid>
        <w:gridCol w:w="9638"/>
      </w:tblGrid>
      <w:tr>
        <w:trPr/>
        <w:tc>
          <w:tcPr>
            <w:tcW w:w="963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pPr>
              <w:pStyle w:val="Normal"/>
              <w:widowControl/>
              <w:spacing w:before="0" w:after="0"/>
              <w:rPr>
                <w:rFonts w:cs=""/>
                <w:kern w:val="0"/>
                <w:szCs w:val="22"/>
                <w:lang w:val="en-US" w:eastAsia="en-US" w:bidi="ar-SA"/>
              </w:rPr>
            </w:pPr>
            <w:r>
              <w:rPr>
                <w:rFonts w:eastAsia="Consolas" w:cs="" w:ascii="Noto Sans" w:hAnsi="Noto Sans"/>
                <w:b/>
                <w:color w:val="FFFFFF"/>
                <w:kern w:val="0"/>
                <w:sz w:val="17"/>
                <w:szCs w:val="22"/>
                <w:lang w:val="en-US" w:eastAsia="en-US" w:bidi="ar-SA"/>
              </w:rPr>
              <w:t>OUF Schema Surveillance</w:t>
              <w:br/>
              <w:t xml:space="preserve">        | periodic PULL</w:t>
              <w:br/>
              <w:t xml:space="preserve">        v</w:t>
              <w:br/>
              <w:t>Source API discovery / catalog-version</w:t>
              <w:br/>
              <w:t xml:space="preserve">        | schemaVersion + schemaFingerprint</w:t>
              <w:br/>
              <w:t xml:space="preserve">        v</w:t>
              <w:br/>
              <w:t>COMPARE with ACTIVE SourceSchema</w:t>
              <w:br/>
              <w:t xml:space="preserve">        |</w:t>
              <w:br/>
              <w:t xml:space="preserve">        +--&gt; compatible change  -&gt; review / optional re-onboarding</w:t>
              <w:br/>
              <w:t xml:space="preserve">        +--&gt; breaking change    -&gt; RuntimeIssue / RE_ONBOARDING_REQUIRED</w:t>
            </w:r>
          </w:p>
        </w:tc>
      </w:tr>
    </w:tbl>
    <w:p>
      <w:pPr>
        <w:pStyle w:val="BodyText"/>
        <w:rPr/>
      </w:pPr>
      <w:r>
        <w:rPr>
          <w:rFonts w:eastAsia="Noto Sans" w:ascii="Noto Sans" w:hAnsi="Noto Sans"/>
          <w:sz w:val="18"/>
        </w:rPr>
        <w:t>La classificazione operativa del drift appartiene a OUF. Il verticale deve soltanto rendere il cambiamento osservabile e continuare a descrivere in modo non ambiguo la versione applicabile. Una nuova schemaVersion non viene automaticamente attivata in OUF: può richiedere una nuova OnboardingVersion e un nuovo PublishedConfigurationBundle.</w:t>
      </w:r>
    </w:p>
    <w:p>
      <w:pPr>
        <w:pStyle w:val="Heading2"/>
        <w:rPr/>
      </w:pPr>
      <w:r>
        <w:rPr>
          <w:rFonts w:eastAsia="Noto Sans" w:ascii="Noto Sans" w:hAnsi="Noto Sans"/>
          <w:sz w:val="18"/>
        </w:rPr>
        <w:t>14.2 Compatibility window e cambio contratto governato</w:t>
      </w:r>
    </w:p>
    <w:p>
      <w:pPr>
        <w:pStyle w:val="BodyText"/>
        <w:rPr/>
      </w:pPr>
      <w:r>
        <w:rPr>
          <w:rFonts w:eastAsia="Noto Sans" w:ascii="Noto Sans" w:hAnsi="Noto Sans"/>
          <w:sz w:val="18"/>
        </w:rPr>
        <w:t>Per modifiche breaking, il verticale DOVREBBE mantenere per un periodo dichiarato il contratto precedente o un meccanismo equivalente che consenta la transizione governata. Non è richiesto conservare indefinitamente le versioni storiche: tale responsabilità di audit/replay appartiene alla piattaforma OUF. È invece vietata, salvo emergenza documentata, la sostituzione silenziosa e immediata di un contratto ACTIVE con uno incompatibile.</w:t>
      </w:r>
    </w:p>
    <w:tbl>
      <w:tblPr>
        <w:tblStyle w:val="TableGrid"/>
        <w:tblW w:w="9638" w:type="dxa"/>
        <w:jc w:val="left"/>
        <w:tblInd w:w="52" w:type="dxa"/>
        <w:tblLayout w:type="fixed"/>
        <w:tblCellMar>
          <w:top w:w="120" w:type="dxa"/>
          <w:left w:w="160" w:type="dxa"/>
          <w:bottom w:w="120" w:type="dxa"/>
          <w:right w:w="160" w:type="dxa"/>
        </w:tblCellMar>
        <w:tblLook w:firstRow="1" w:noVBand="1" w:lastRow="0" w:firstColumn="1" w:lastColumn="0" w:noHBand="0" w:val="04a0"/>
      </w:tblPr>
      <w:tblGrid>
        <w:gridCol w:w="9638"/>
      </w:tblGrid>
      <w:tr>
        <w:trPr/>
        <w:tc>
          <w:tcPr>
            <w:tcW w:w="963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pPr>
              <w:pStyle w:val="Normal"/>
              <w:widowControl/>
              <w:spacing w:before="0" w:after="0"/>
              <w:rPr>
                <w:rFonts w:cs=""/>
                <w:kern w:val="0"/>
                <w:szCs w:val="22"/>
                <w:lang w:val="en-US" w:eastAsia="en-US" w:bidi="ar-SA"/>
              </w:rPr>
            </w:pPr>
            <w:r>
              <w:rPr>
                <w:rFonts w:eastAsia="Consolas" w:cs="" w:ascii="Noto Sans" w:hAnsi="Noto Sans"/>
                <w:b/>
                <w:color w:val="FFFFFF"/>
                <w:kern w:val="0"/>
                <w:sz w:val="17"/>
                <w:szCs w:val="22"/>
                <w:lang w:val="en-US" w:eastAsia="en-US" w:bidi="ar-SA"/>
              </w:rPr>
              <w:t>schema 3.2 ACTIVE</w:t>
              <w:br/>
              <w:t xml:space="preserve">      |</w:t>
              <w:br/>
              <w:t xml:space="preserve">      +--&gt; schema 4.0 AVAILABLE (BREAKING)</w:t>
              <w:br/>
              <w:t xml:space="preserve">              |</w:t>
              <w:br/>
              <w:t xml:space="preserve">              v</w:t>
              <w:br/>
              <w:t xml:space="preserve">      OUF detects drift -&gt; new onboarding -&gt; new bundle ACTIVE</w:t>
              <w:br/>
              <w:t xml:space="preserve">              |</w:t>
              <w:br/>
              <w:t xml:space="preserve">              v</w:t>
              <w:br/>
              <w:t xml:space="preserve">      runtime switches on a new synchronization cycle</w:t>
            </w:r>
          </w:p>
        </w:tc>
      </w:tr>
    </w:tbl>
    <w:p>
      <w:pPr/>
      <w:r>
        <w:rPr>
          <w:rFonts w:ascii="Noto Sans" w:hAnsi="Noto Sans"/>
        </w:rPr>
        <w:t>14.3 Isolamento dello scope su schema drift</w:t>
      </w:r>
    </w:p>
    <w:p>
      <w:pPr/>
      <w:r>
        <w:rPr>
          <w:rFonts w:ascii="Noto Sans" w:hAnsi="Noto Sans"/>
        </w:rPr>
        <w:t>Quando catalogo e API sono strutturati per type/collection indipendenti, una modifica breaking DEVE essere identificabile sullo scope minimo interessato. È fortemente raccomandato che schema/version/fingerprint siano per type/collection, così OUF possa sospendere o ri-onboardare solo lo scope incompatibile senza fermare l'intero verticale.</w:t>
      </w:r>
    </w:p>
    <w:p>
      <w:pPr>
        <w:pStyle w:val="Heading1"/>
        <w:rPr/>
      </w:pPr>
      <w:r>
        <w:rPr>
          <w:rFonts w:eastAsia="Noto Sans" w:ascii="Noto Sans" w:hAnsi="Noto Sans"/>
          <w:sz w:val="18"/>
        </w:rPr>
        <w:t>15. Sample e supporto all’onboarding</w:t>
      </w:r>
    </w:p>
    <w:p>
      <w:pPr>
        <w:pStyle w:val="BodyText"/>
        <w:rPr/>
      </w:pPr>
      <w:r>
        <w:rPr>
          <w:rFonts w:eastAsia="Noto Sans" w:ascii="Noto Sans" w:hAnsi="Noto Sans"/>
          <w:sz w:val="18"/>
        </w:rPr>
        <w:t>Per facilitare la comprensione dei modelli sorgente è utile offrire esempi tecnici per ciascun tipo. Poiché l’onboarding può coinvolgere operatori e, in futuro, AI Agent governati dalla piattaforma, i sample devono essere utilizzabili senza introdurre dati non ammessi.</w:t>
      </w:r>
    </w:p>
    <w:tbl>
      <w:tblPr>
        <w:tblStyle w:val="TableGrid"/>
        <w:tblW w:w="9638" w:type="dxa"/>
        <w:jc w:val="center"/>
        <w:tblInd w:w="0" w:type="dxa"/>
        <w:tblLayout w:type="fixed"/>
        <w:tblCellMar>
          <w:top w:w="70" w:type="dxa"/>
          <w:left w:w="90" w:type="dxa"/>
          <w:bottom w:w="70" w:type="dxa"/>
          <w:right w:w="90" w:type="dxa"/>
        </w:tblCellMar>
        <w:tblLook w:firstRow="1" w:noVBand="1" w:lastRow="0" w:firstColumn="1" w:lastColumn="0" w:noHBand="0" w:val="04a0"/>
      </w:tblPr>
      <w:tblGrid>
        <w:gridCol w:w="4819"/>
        <w:gridCol w:w="4818"/>
      </w:tblGrid>
      <w:tr>
        <w:trPr>
          <w:tblHeader w:val="true"/>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vAlign w:val="center"/>
          </w:tcPr>
          <w:p>
            <w:pPr>
              <w:pStyle w:val="Normal"/>
              <w:widowControl/>
              <w:spacing w:before="0" w:after="120"/>
              <w:jc w:val="center"/>
              <w:rPr>
                <w:rFonts w:cs=""/>
                <w:kern w:val="0"/>
                <w:szCs w:val="22"/>
                <w:lang w:val="en-US" w:eastAsia="en-US" w:bidi="ar-SA"/>
              </w:rPr>
            </w:pPr>
            <w:r>
              <w:rPr>
                <w:rFonts w:eastAsia="Noto Sans" w:cs="" w:ascii="Noto Sans" w:hAnsi="Noto Sans"/>
                <w:b/>
                <w:color w:val="FFFFFF"/>
                <w:kern w:val="0"/>
                <w:sz w:val="17"/>
                <w:szCs w:val="22"/>
                <w:lang w:val="en-US" w:eastAsia="en-US" w:bidi="ar-SA"/>
              </w:rPr>
              <w:t>Opzione</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vAlign w:val="center"/>
          </w:tcPr>
          <w:p>
            <w:pPr>
              <w:pStyle w:val="Normal"/>
              <w:widowControl/>
              <w:spacing w:before="0" w:after="120"/>
              <w:jc w:val="center"/>
              <w:rPr>
                <w:rFonts w:cs=""/>
                <w:kern w:val="0"/>
                <w:szCs w:val="22"/>
                <w:lang w:val="en-US" w:eastAsia="en-US" w:bidi="ar-SA"/>
              </w:rPr>
            </w:pPr>
            <w:r>
              <w:rPr>
                <w:rFonts w:eastAsia="Noto Sans" w:cs="" w:ascii="Noto Sans" w:hAnsi="Noto Sans"/>
                <w:b/>
                <w:color w:val="FFFFFF"/>
                <w:kern w:val="0"/>
                <w:sz w:val="17"/>
                <w:szCs w:val="22"/>
                <w:lang w:val="en-US" w:eastAsia="en-US" w:bidi="ar-SA"/>
              </w:rPr>
              <w:t>Raccomandazione</w:t>
            </w:r>
          </w:p>
        </w:tc>
      </w:tr>
      <w:tr>
        <w:trPr>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Esempi sintetici</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Preferiti: casi rappresentativi senza dati reali.</w:t>
            </w:r>
          </w:p>
        </w:tc>
      </w:tr>
      <w:tr>
        <w:trPr>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Sample reali</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Solo se già anonimizzati/minimizzati e autorizzati.</w:t>
            </w:r>
          </w:p>
        </w:tc>
      </w:tr>
      <w:tr>
        <w:trPr>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Schema + descrizione campo</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Sempre disponibile; è la base primaria dell’onboarding.</w:t>
            </w:r>
          </w:p>
        </w:tc>
      </w:tr>
      <w:tr>
        <w:trPr>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AI Agent</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Non chiama direttamente il verticale: opera tramite capability del modulo di onboarding/MCP.</w:t>
            </w:r>
          </w:p>
        </w:tc>
      </w:tr>
    </w:tbl>
    <w:p>
      <w:pPr>
        <w:pStyle w:val="Normal"/>
        <w:rPr/>
      </w:pPr>
      <w:r>
        <w:rPr>
          <w:rFonts w:ascii="Noto Sans" w:hAnsi="Noto Sans"/>
        </w:rPr>
      </w:r>
    </w:p>
    <w:p>
      <w:pPr>
        <w:pStyle w:val="Heading1"/>
        <w:rPr/>
      </w:pPr>
      <w:r>
        <w:rPr>
          <w:rFonts w:eastAsia="Noto Sans" w:ascii="Noto Sans" w:hAnsi="Noto Sans"/>
          <w:sz w:val="18"/>
        </w:rPr>
        <w:t>16. Sicurezza machine-to-machine</w:t>
      </w:r>
    </w:p>
    <w:p>
      <w:pPr>
        <w:pStyle w:val="BodyText"/>
        <w:rPr/>
      </w:pPr>
      <w:r>
        <w:rPr>
          <w:rFonts w:eastAsia="Noto Sans" w:ascii="Noto Sans" w:hAnsi="Noto Sans"/>
          <w:sz w:val="18"/>
        </w:rPr>
        <w:t>Le Source API sono API di integrazione, non API utente. Devono essere esposte esclusivamente su TLS e protette con una service identity OUF riconosciuta tramite un meccanismo M2M approvato dall’Ente. OAuth2 Client Credentials costituisce il profilo di riferimento quando disponibile; workload identity, mTLS o meccanismi equivalenti sono ammessi se coerenti con l’Identity Authority adottata. Le credenziali non devono essere codificate nei manifest dell’Extraction Profile. Il verticale non deve dipendere da uno specifico scenario IAM interno a OUF.</w:t>
      </w:r>
    </w:p>
    <w:tbl>
      <w:tblPr>
        <w:tblStyle w:val="TableGrid"/>
        <w:tblW w:w="9638" w:type="dxa"/>
        <w:jc w:val="center"/>
        <w:tblInd w:w="0" w:type="dxa"/>
        <w:tblLayout w:type="fixed"/>
        <w:tblCellMar>
          <w:top w:w="70" w:type="dxa"/>
          <w:left w:w="90" w:type="dxa"/>
          <w:bottom w:w="70" w:type="dxa"/>
          <w:right w:w="90" w:type="dxa"/>
        </w:tblCellMar>
        <w:tblLook w:firstRow="1" w:noVBand="1" w:lastRow="0" w:firstColumn="1" w:lastColumn="0" w:noHBand="0" w:val="04a0"/>
      </w:tblPr>
      <w:tblGrid>
        <w:gridCol w:w="4819"/>
        <w:gridCol w:w="4818"/>
      </w:tblGrid>
      <w:tr>
        <w:trPr>
          <w:tblHeader w:val="true"/>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vAlign w:val="center"/>
          </w:tcPr>
          <w:p>
            <w:pPr>
              <w:pStyle w:val="Normal"/>
              <w:widowControl/>
              <w:spacing w:before="0" w:after="120"/>
              <w:jc w:val="center"/>
              <w:rPr>
                <w:rFonts w:cs=""/>
                <w:kern w:val="0"/>
                <w:szCs w:val="22"/>
                <w:lang w:val="en-US" w:eastAsia="en-US" w:bidi="ar-SA"/>
              </w:rPr>
            </w:pPr>
            <w:r>
              <w:rPr>
                <w:rFonts w:eastAsia="Noto Sans" w:cs="" w:ascii="Noto Sans" w:hAnsi="Noto Sans"/>
                <w:b/>
                <w:color w:val="FFFFFF"/>
                <w:kern w:val="0"/>
                <w:sz w:val="17"/>
                <w:szCs w:val="22"/>
                <w:lang w:val="en-US" w:eastAsia="en-US" w:bidi="ar-SA"/>
              </w:rPr>
              <w:t>Controllo</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vAlign w:val="center"/>
          </w:tcPr>
          <w:p>
            <w:pPr>
              <w:pStyle w:val="Normal"/>
              <w:widowControl/>
              <w:spacing w:before="0" w:after="120"/>
              <w:jc w:val="center"/>
              <w:rPr>
                <w:rFonts w:cs=""/>
                <w:kern w:val="0"/>
                <w:szCs w:val="22"/>
                <w:lang w:val="en-US" w:eastAsia="en-US" w:bidi="ar-SA"/>
              </w:rPr>
            </w:pPr>
            <w:r>
              <w:rPr>
                <w:rFonts w:eastAsia="Noto Sans" w:cs="" w:ascii="Noto Sans" w:hAnsi="Noto Sans"/>
                <w:b/>
                <w:color w:val="FFFFFF"/>
                <w:kern w:val="0"/>
                <w:sz w:val="17"/>
                <w:szCs w:val="22"/>
                <w:lang w:val="en-US" w:eastAsia="en-US" w:bidi="ar-SA"/>
              </w:rPr>
              <w:t>Requisito</w:t>
            </w:r>
          </w:p>
        </w:tc>
      </w:tr>
      <w:tr>
        <w:trPr>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TLS</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Obbligatorio.</w:t>
            </w:r>
          </w:p>
        </w:tc>
      </w:tr>
      <w:tr>
        <w:trPr>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OAuth2 Client Credentials</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Profilo di riferimento quando disponibile; non unico meccanismo ammesso.</w:t>
            </w:r>
          </w:p>
        </w:tc>
      </w:tr>
      <w:tr>
        <w:trPr>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mTLS</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Ammesso come autenticazione o controllo aggiuntivo, secondo il profilo di integrazione.</w:t>
            </w:r>
          </w:p>
        </w:tc>
      </w:tr>
      <w:tr>
        <w:trPr>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Scope</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Read-only e limitato alle API di estrazione.</w:t>
            </w:r>
          </w:p>
        </w:tc>
      </w:tr>
      <w:tr>
        <w:trPr>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IP/network allowlist</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Opzionale come controllo aggiuntivo, non sostitutivo dell’identità.</w:t>
            </w:r>
          </w:p>
        </w:tc>
      </w:tr>
      <w:tr>
        <w:trPr>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Audit</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Log di chiamata, esito, client, route e request/correlation ID; evitare payload sensibili nei log.</w:t>
            </w:r>
          </w:p>
        </w:tc>
      </w:tr>
      <w:tr>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Workload identity</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Ammessa quando supportata dall’infrastruttura/IAM; nessun secret statico obbligatorio.</w:t>
            </w:r>
          </w:p>
        </w:tc>
      </w:tr>
      <w:tr>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Portabilità Identity Authority</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Il contratto del verticale resta invariato nei tre scenari OUF: IAM unico, perimetro tecnico separato o Technical IAM dedicato.</w:t>
            </w:r>
          </w:p>
        </w:tc>
      </w:tr>
    </w:tbl>
    <w:p>
      <w:pPr>
        <w:pStyle w:val="Normal"/>
        <w:rPr/>
      </w:pPr>
      <w:r>
        <w:rPr>
          <w:rFonts w:ascii="Noto Sans" w:hAnsi="Noto Sans"/>
        </w:rPr>
      </w:r>
    </w:p>
    <w:p>
      <w:pPr/>
      <w:r>
        <w:rPr>
          <w:rFonts w:ascii="Noto Sans" w:hAnsi="Noto Sans"/>
        </w:rPr>
        <w:t>16.1 Gateway southbound e network boundary</w:t>
      </w:r>
    </w:p>
    <w:p>
      <w:pPr/>
      <w:r>
        <w:rPr>
          <w:rFonts w:ascii="Noto Sans" w:hAnsi="Noto Sans"/>
        </w:rPr>
        <w:t>OUF accede ai verticali esterni attraverso Urban API Gateway southbound salvo eccezioni di architettura formalmente approvate. Il verticale non deve offrire URL dinamici scelti dal client per raggiungere risorse arbitrarie.</w:t>
      </w:r>
    </w:p>
    <w:p>
      <w:pPr/>
      <w:r>
        <w:rPr>
          <w:rFonts w:ascii="Noto Sans" w:hAnsi="Noto Sans"/>
        </w:rPr>
        <w:t>Endpoint, host e porte sono censiti come configurazione governata. Redirect verso host differenti DOVREBBERO essere evitati; se necessari devono essere documentati e compatibili con l'allowlist di rete.</w:t>
      </w:r>
    </w:p>
    <w:p>
      <w:pPr/>
      <w:r>
        <w:rPr>
          <w:rFonts w:ascii="Noto Sans" w:hAnsi="Noto Sans"/>
        </w:rPr>
        <w:t>IP/network allowlist è controllo aggiuntivo e non sostituisce service identity. La piattaforma applica inoltre egress default-deny sul southbound; il verticale non deve richiedere accesso Internet generico dal Gateway.</w:t>
      </w:r>
    </w:p>
    <w:p>
      <w:pPr/>
      <w:r>
        <w:rPr>
          <w:rFonts w:ascii="Noto Sans" w:hAnsi="Noto Sans"/>
        </w:rPr>
        <w:t>HTTP 200/202 restituito dalla Source API indica solo l'esito della richiesta sorgente. Non rappresenta il Durable ACK usato internamente da Ingestion/UDP e non deve essere interpretato come commit del watermark OUF.</w:t>
      </w:r>
    </w:p>
    <w:p>
      <w:pPr>
        <w:pStyle w:val="Heading1"/>
        <w:rPr/>
      </w:pPr>
      <w:r>
        <w:rPr>
          <w:rFonts w:eastAsia="Noto Sans" w:ascii="Noto Sans" w:hAnsi="Noto Sans"/>
          <w:sz w:val="18"/>
        </w:rPr>
        <w:t>17. Error model, retry e idempotenza di lettura</w:t>
      </w:r>
    </w:p>
    <w:p>
      <w:pPr>
        <w:pStyle w:val="BodyText"/>
        <w:rPr/>
      </w:pPr>
      <w:r>
        <w:rPr>
          <w:rFonts w:eastAsia="Noto Sans" w:ascii="Noto Sans" w:hAnsi="Noto Sans"/>
          <w:sz w:val="18"/>
        </w:rPr>
        <w:t>Gli errori devono essere machine-readable e distinguere condizioni permanenti da condizioni transitorie. È raccomandato Problem Details. Le richieste GET devono essere ripetibili senza effetti collaterali.</w:t>
      </w:r>
    </w:p>
    <w:tbl>
      <w:tblPr>
        <w:tblStyle w:val="TableGrid"/>
        <w:tblW w:w="9638" w:type="dxa"/>
        <w:jc w:val="center"/>
        <w:tblInd w:w="0" w:type="dxa"/>
        <w:tblLayout w:type="fixed"/>
        <w:tblCellMar>
          <w:top w:w="70" w:type="dxa"/>
          <w:left w:w="90" w:type="dxa"/>
          <w:bottom w:w="70" w:type="dxa"/>
          <w:right w:w="90" w:type="dxa"/>
        </w:tblCellMar>
        <w:tblLook w:firstRow="1" w:noVBand="1" w:lastRow="0" w:firstColumn="1" w:lastColumn="0" w:noHBand="0" w:val="04a0"/>
      </w:tblPr>
      <w:tblGrid>
        <w:gridCol w:w="4819"/>
        <w:gridCol w:w="4818"/>
      </w:tblGrid>
      <w:tr>
        <w:trPr>
          <w:tblHeader w:val="true"/>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vAlign w:val="center"/>
          </w:tcPr>
          <w:p>
            <w:pPr>
              <w:pStyle w:val="Normal"/>
              <w:widowControl/>
              <w:spacing w:before="0" w:after="120"/>
              <w:jc w:val="center"/>
              <w:rPr>
                <w:rFonts w:cs=""/>
                <w:kern w:val="0"/>
                <w:szCs w:val="22"/>
                <w:lang w:val="en-US" w:eastAsia="en-US" w:bidi="ar-SA"/>
              </w:rPr>
            </w:pPr>
            <w:r>
              <w:rPr>
                <w:rFonts w:eastAsia="Noto Sans" w:cs="" w:ascii="Noto Sans" w:hAnsi="Noto Sans"/>
                <w:b/>
                <w:color w:val="FFFFFF"/>
                <w:kern w:val="0"/>
                <w:sz w:val="17"/>
                <w:szCs w:val="22"/>
                <w:lang w:val="en-US" w:eastAsia="en-US" w:bidi="ar-SA"/>
              </w:rPr>
              <w:t>HTTP</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vAlign w:val="center"/>
          </w:tcPr>
          <w:p>
            <w:pPr>
              <w:pStyle w:val="Normal"/>
              <w:widowControl/>
              <w:spacing w:before="0" w:after="120"/>
              <w:jc w:val="center"/>
              <w:rPr>
                <w:rFonts w:cs=""/>
                <w:kern w:val="0"/>
                <w:szCs w:val="22"/>
                <w:lang w:val="en-US" w:eastAsia="en-US" w:bidi="ar-SA"/>
              </w:rPr>
            </w:pPr>
            <w:r>
              <w:rPr>
                <w:rFonts w:eastAsia="Noto Sans" w:cs="" w:ascii="Noto Sans" w:hAnsi="Noto Sans"/>
                <w:b/>
                <w:color w:val="FFFFFF"/>
                <w:kern w:val="0"/>
                <w:sz w:val="17"/>
                <w:szCs w:val="22"/>
                <w:lang w:val="en-US" w:eastAsia="en-US" w:bidi="ar-SA"/>
              </w:rPr>
              <w:t>Uso atteso</w:t>
            </w:r>
          </w:p>
        </w:tc>
      </w:tr>
      <w:tr>
        <w:trPr>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200</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Risposta completa.</w:t>
            </w:r>
          </w:p>
        </w:tc>
      </w:tr>
      <w:tr>
        <w:trPr>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206</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Solo se esplicitamente adottato per partial content binario; non per paging ordinario.</w:t>
            </w:r>
          </w:p>
        </w:tc>
      </w:tr>
      <w:tr>
        <w:trPr>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400</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Parametri non validi.</w:t>
            </w:r>
          </w:p>
        </w:tc>
      </w:tr>
      <w:tr>
        <w:trPr>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401/403</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Identità o autorizzazione.</w:t>
            </w:r>
          </w:p>
        </w:tc>
      </w:tr>
      <w:tr>
        <w:trPr>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404</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Risorsa/tipo non trovato.</w:t>
            </w:r>
          </w:p>
        </w:tc>
      </w:tr>
      <w:tr>
        <w:trPr>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409</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Snapshot/token non più valido o conflitto di versione, se applicabile.</w:t>
            </w:r>
          </w:p>
        </w:tc>
      </w:tr>
      <w:tr>
        <w:trPr>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410</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Token/cursor scaduto non più recuperabile, se scelto dal contratto.</w:t>
            </w:r>
          </w:p>
        </w:tc>
      </w:tr>
      <w:tr>
        <w:trPr>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429</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Rate limit.</w:t>
            </w:r>
          </w:p>
        </w:tc>
      </w:tr>
      <w:tr>
        <w:trPr>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500</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Errore applicativo non previsto.</w:t>
            </w:r>
          </w:p>
        </w:tc>
      </w:tr>
      <w:tr>
        <w:trPr>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502/503/504</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Indisponibilità/transitorio; retry con backoff.</w:t>
            </w:r>
          </w:p>
        </w:tc>
      </w:tr>
    </w:tbl>
    <w:p>
      <w:pPr>
        <w:pStyle w:val="Normal"/>
        <w:rPr/>
      </w:pPr>
      <w:r>
        <w:rPr>
          <w:rFonts w:ascii="Noto Sans" w:hAnsi="Noto Sans"/>
        </w:rPr>
      </w:r>
    </w:p>
    <w:p>
      <w:pPr>
        <w:pStyle w:val="Heading1"/>
        <w:rPr/>
      </w:pPr>
      <w:r>
        <w:rPr>
          <w:rFonts w:eastAsia="Noto Sans" w:ascii="Noto Sans" w:hAnsi="Noto Sans"/>
          <w:sz w:val="18"/>
        </w:rPr>
        <w:t>18. Correlation, audit e metriche</w:t>
      </w:r>
    </w:p>
    <w:p>
      <w:pPr>
        <w:pStyle w:val="ListBullet"/>
        <w:numPr>
          <w:ilvl w:val="0"/>
          <w:numId w:val="1"/>
        </w:numPr>
        <w:rPr/>
      </w:pPr>
      <w:r>
        <w:rPr>
          <w:rFonts w:eastAsia="Noto Sans" w:ascii="Noto Sans" w:hAnsi="Noto Sans"/>
          <w:sz w:val="18"/>
        </w:rPr>
        <w:t>La piattaforma invia X-Correlation-ID e il verticale DOVREBBE restituirlo o propagarlo.</w:t>
      </w:r>
    </w:p>
    <w:p>
      <w:pPr>
        <w:pStyle w:val="ListBullet"/>
        <w:numPr>
          <w:ilvl w:val="0"/>
          <w:numId w:val="1"/>
        </w:numPr>
        <w:rPr/>
      </w:pPr>
      <w:r>
        <w:rPr>
          <w:rFonts w:eastAsia="Noto Sans" w:ascii="Noto Sans" w:hAnsi="Noto Sans"/>
          <w:sz w:val="18"/>
        </w:rPr>
        <w:t>Il verticale PUÒ aggiungere X-Request-ID proprio.</w:t>
      </w:r>
    </w:p>
    <w:p>
      <w:pPr>
        <w:pStyle w:val="ListBullet"/>
        <w:numPr>
          <w:ilvl w:val="0"/>
          <w:numId w:val="1"/>
        </w:numPr>
        <w:rPr/>
      </w:pPr>
      <w:r>
        <w:rPr>
          <w:rFonts w:eastAsia="Noto Sans" w:ascii="Noto Sans" w:hAnsi="Noto Sans"/>
          <w:sz w:val="18"/>
        </w:rPr>
        <w:t>DEVONO essere misurabili latenza, error rate, throughput e rate limiting.</w:t>
      </w:r>
    </w:p>
    <w:p>
      <w:pPr>
        <w:pStyle w:val="ListBullet"/>
        <w:numPr>
          <w:ilvl w:val="0"/>
          <w:numId w:val="1"/>
        </w:numPr>
        <w:rPr/>
      </w:pPr>
      <w:r>
        <w:rPr>
          <w:rFonts w:eastAsia="Noto Sans" w:ascii="Noto Sans" w:hAnsi="Noto Sans"/>
          <w:sz w:val="18"/>
        </w:rPr>
        <w:t>I log NON DEVONO contenere indiscriminatamente payload completi.</w:t>
      </w:r>
    </w:p>
    <w:p>
      <w:pPr>
        <w:pStyle w:val="ListBullet"/>
        <w:numPr>
          <w:ilvl w:val="0"/>
          <w:numId w:val="1"/>
        </w:numPr>
        <w:rPr/>
      </w:pPr>
      <w:r>
        <w:rPr>
          <w:rFonts w:eastAsia="Noto Sans" w:ascii="Noto Sans" w:hAnsi="Noto Sans"/>
          <w:sz w:val="18"/>
        </w:rPr>
        <w:t>Il provider deve dichiarare retention di token/cursor e finestre massime di recupero delta.</w:t>
      </w:r>
    </w:p>
    <w:p>
      <w:pPr>
        <w:pStyle w:val="Heading1"/>
        <w:rPr/>
      </w:pPr>
      <w:r>
        <w:rPr>
          <w:rFonts w:eastAsia="Noto Sans" w:ascii="Noto Sans" w:hAnsi="Noto Sans"/>
          <w:sz w:val="18"/>
        </w:rPr>
        <w:t>19. Prestazioni e volumi</w:t>
      </w:r>
    </w:p>
    <w:p>
      <w:pPr>
        <w:pStyle w:val="BodyText"/>
        <w:rPr/>
      </w:pPr>
      <w:r>
        <w:rPr>
          <w:rFonts w:eastAsia="Noto Sans" w:ascii="Noto Sans" w:hAnsi="Noto Sans"/>
          <w:sz w:val="18"/>
        </w:rPr>
        <w:t>Le API devono essere progettate per estrazioni bulk controllate. Non è necessario ottimizzare la singola chiamata a scapito della stabilità del verticale: paging, throttling e finestre concordate sono preferibili a risposte monolitiche.</w:t>
      </w:r>
    </w:p>
    <w:tbl>
      <w:tblPr>
        <w:tblStyle w:val="TableGrid"/>
        <w:tblW w:w="9638" w:type="dxa"/>
        <w:jc w:val="center"/>
        <w:tblInd w:w="0" w:type="dxa"/>
        <w:tblLayout w:type="fixed"/>
        <w:tblCellMar>
          <w:top w:w="120" w:type="dxa"/>
          <w:left w:w="160" w:type="dxa"/>
          <w:bottom w:w="120" w:type="dxa"/>
          <w:right w:w="160" w:type="dxa"/>
        </w:tblCellMar>
        <w:tblLook w:firstRow="1" w:noVBand="1" w:lastRow="0" w:firstColumn="1" w:lastColumn="0" w:noHBand="0" w:val="04a0"/>
      </w:tblPr>
      <w:tblGrid>
        <w:gridCol w:w="4819"/>
        <w:gridCol w:w="4818"/>
      </w:tblGrid>
      <w:tr>
        <w:trPr>
          <w:tblHeader w:val="true"/>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vAlign w:val="center"/>
          </w:tcPr>
          <w:p>
            <w:pPr>
              <w:pStyle w:val="Normal"/>
              <w:widowControl/>
              <w:spacing w:before="0" w:after="0"/>
              <w:jc w:val="center"/>
              <w:rPr>
                <w:rFonts w:cs=""/>
                <w:kern w:val="0"/>
                <w:szCs w:val="22"/>
                <w:lang w:val="en-US" w:eastAsia="en-US" w:bidi="ar-SA"/>
              </w:rPr>
            </w:pPr>
            <w:r>
              <w:rPr>
                <w:rFonts w:eastAsia="Consolas" w:cs="" w:ascii="Noto Sans" w:hAnsi="Noto Sans"/>
                <w:b/>
                <w:color w:val="FFFFFF"/>
                <w:kern w:val="0"/>
                <w:sz w:val="17"/>
                <w:szCs w:val="22"/>
                <w:lang w:val="en-US" w:eastAsia="en-US" w:bidi="ar-SA"/>
              </w:rPr>
              <w:t>Parametro</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vAlign w:val="center"/>
          </w:tcPr>
          <w:p>
            <w:pPr>
              <w:pStyle w:val="Normal"/>
              <w:widowControl/>
              <w:spacing w:before="0" w:after="0"/>
              <w:jc w:val="center"/>
              <w:rPr>
                <w:rFonts w:cs=""/>
                <w:kern w:val="0"/>
                <w:szCs w:val="22"/>
                <w:lang w:val="en-US" w:eastAsia="en-US" w:bidi="ar-SA"/>
              </w:rPr>
            </w:pPr>
            <w:r>
              <w:rPr>
                <w:rFonts w:eastAsia="Consolas" w:cs="" w:ascii="Noto Sans" w:hAnsi="Noto Sans"/>
                <w:b/>
                <w:color w:val="FFFFFF"/>
                <w:kern w:val="0"/>
                <w:sz w:val="17"/>
                <w:szCs w:val="22"/>
                <w:lang w:val="en-US" w:eastAsia="en-US" w:bidi="ar-SA"/>
              </w:rPr>
              <w:t>Indicazione</w:t>
            </w:r>
          </w:p>
        </w:tc>
      </w:tr>
      <w:tr>
        <w:trPr>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0"/>
              <w:rPr>
                <w:rFonts w:cs=""/>
                <w:kern w:val="0"/>
                <w:szCs w:val="22"/>
                <w:lang w:val="en-US" w:eastAsia="en-US" w:bidi="ar-SA"/>
              </w:rPr>
            </w:pPr>
            <w:r>
              <w:rPr>
                <w:rFonts w:eastAsia="Consolas" w:cs="" w:ascii="Noto Sans" w:hAnsi="Noto Sans"/>
                <w:kern w:val="0"/>
                <w:sz w:val="17"/>
                <w:szCs w:val="22"/>
                <w:lang w:val="en-US" w:eastAsia="en-US" w:bidi="ar-SA"/>
              </w:rPr>
              <w:t>pageSize</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0"/>
              <w:rPr>
                <w:rFonts w:cs=""/>
                <w:kern w:val="0"/>
                <w:szCs w:val="22"/>
                <w:lang w:val="en-US" w:eastAsia="en-US" w:bidi="ar-SA"/>
              </w:rPr>
            </w:pPr>
            <w:r>
              <w:rPr>
                <w:rFonts w:eastAsia="Consolas" w:cs="" w:ascii="Noto Sans" w:hAnsi="Noto Sans"/>
                <w:kern w:val="0"/>
                <w:sz w:val="17"/>
                <w:szCs w:val="22"/>
                <w:lang w:val="en-US" w:eastAsia="en-US" w:bidi="ar-SA"/>
              </w:rPr>
              <w:t>Configurabile; default e massimo documentati.</w:t>
            </w:r>
          </w:p>
        </w:tc>
      </w:tr>
      <w:tr>
        <w:trPr>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0"/>
              <w:rPr>
                <w:rFonts w:cs=""/>
                <w:kern w:val="0"/>
                <w:szCs w:val="22"/>
                <w:lang w:val="en-US" w:eastAsia="en-US" w:bidi="ar-SA"/>
              </w:rPr>
            </w:pPr>
            <w:r>
              <w:rPr>
                <w:rFonts w:eastAsia="Consolas" w:cs="" w:ascii="Noto Sans" w:hAnsi="Noto Sans"/>
                <w:kern w:val="0"/>
                <w:sz w:val="17"/>
                <w:szCs w:val="22"/>
                <w:lang w:val="en-US" w:eastAsia="en-US" w:bidi="ar-SA"/>
              </w:rPr>
              <w:t>Compressione</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0"/>
              <w:rPr>
                <w:rFonts w:cs=""/>
                <w:kern w:val="0"/>
                <w:szCs w:val="22"/>
                <w:lang w:val="en-US" w:eastAsia="en-US" w:bidi="ar-SA"/>
              </w:rPr>
            </w:pPr>
            <w:r>
              <w:rPr>
                <w:rFonts w:eastAsia="Consolas" w:cs="" w:ascii="Noto Sans" w:hAnsi="Noto Sans"/>
                <w:kern w:val="0"/>
                <w:sz w:val="17"/>
                <w:szCs w:val="22"/>
                <w:lang w:val="en-US" w:eastAsia="en-US" w:bidi="ar-SA"/>
              </w:rPr>
              <w:t>gzip/br raccomandata per JSON/XML quando supportata.</w:t>
            </w:r>
          </w:p>
        </w:tc>
      </w:tr>
      <w:tr>
        <w:trPr>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0"/>
              <w:rPr>
                <w:rFonts w:cs=""/>
                <w:kern w:val="0"/>
                <w:szCs w:val="22"/>
                <w:lang w:val="en-US" w:eastAsia="en-US" w:bidi="ar-SA"/>
              </w:rPr>
            </w:pPr>
            <w:r>
              <w:rPr>
                <w:rFonts w:eastAsia="Consolas" w:cs="" w:ascii="Noto Sans" w:hAnsi="Noto Sans"/>
                <w:kern w:val="0"/>
                <w:sz w:val="17"/>
                <w:szCs w:val="22"/>
                <w:lang w:val="en-US" w:eastAsia="en-US" w:bidi="ar-SA"/>
              </w:rPr>
              <w:t>Timeout</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0"/>
              <w:rPr>
                <w:rFonts w:cs=""/>
                <w:kern w:val="0"/>
                <w:szCs w:val="22"/>
                <w:lang w:val="en-US" w:eastAsia="en-US" w:bidi="ar-SA"/>
              </w:rPr>
            </w:pPr>
            <w:r>
              <w:rPr>
                <w:rFonts w:eastAsia="Consolas" w:cs="" w:ascii="Noto Sans" w:hAnsi="Noto Sans"/>
                <w:kern w:val="0"/>
                <w:sz w:val="17"/>
                <w:szCs w:val="22"/>
                <w:lang w:val="en-US" w:eastAsia="en-US" w:bidi="ar-SA"/>
              </w:rPr>
              <w:t>Concordato e compatibile con il Gateway southbound.</w:t>
            </w:r>
          </w:p>
        </w:tc>
      </w:tr>
      <w:tr>
        <w:trPr>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0"/>
              <w:rPr>
                <w:rFonts w:cs=""/>
                <w:kern w:val="0"/>
                <w:szCs w:val="22"/>
                <w:lang w:val="en-US" w:eastAsia="en-US" w:bidi="ar-SA"/>
              </w:rPr>
            </w:pPr>
            <w:r>
              <w:rPr>
                <w:rFonts w:eastAsia="Consolas" w:cs="" w:ascii="Noto Sans" w:hAnsi="Noto Sans"/>
                <w:kern w:val="0"/>
                <w:sz w:val="17"/>
                <w:szCs w:val="22"/>
                <w:lang w:val="en-US" w:eastAsia="en-US" w:bidi="ar-SA"/>
              </w:rPr>
              <w:t>Rate limit</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0"/>
              <w:rPr>
                <w:rFonts w:cs=""/>
                <w:kern w:val="0"/>
                <w:szCs w:val="22"/>
                <w:lang w:val="en-US" w:eastAsia="en-US" w:bidi="ar-SA"/>
              </w:rPr>
            </w:pPr>
            <w:r>
              <w:rPr>
                <w:rFonts w:eastAsia="Consolas" w:cs="" w:ascii="Noto Sans" w:hAnsi="Noto Sans"/>
                <w:kern w:val="0"/>
                <w:sz w:val="17"/>
                <w:szCs w:val="22"/>
                <w:lang w:val="en-US" w:eastAsia="en-US" w:bidi="ar-SA"/>
              </w:rPr>
              <w:t>Dichiarato per client/route.</w:t>
            </w:r>
          </w:p>
        </w:tc>
      </w:tr>
      <w:tr>
        <w:trPr>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0"/>
              <w:rPr>
                <w:rFonts w:cs=""/>
                <w:kern w:val="0"/>
                <w:szCs w:val="22"/>
                <w:lang w:val="en-US" w:eastAsia="en-US" w:bidi="ar-SA"/>
              </w:rPr>
            </w:pPr>
            <w:r>
              <w:rPr>
                <w:rFonts w:eastAsia="Consolas" w:cs="" w:ascii="Noto Sans" w:hAnsi="Noto Sans"/>
                <w:kern w:val="0"/>
                <w:sz w:val="17"/>
                <w:szCs w:val="22"/>
                <w:lang w:val="en-US" w:eastAsia="en-US" w:bidi="ar-SA"/>
              </w:rPr>
              <w:t>Batch window</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0"/>
              <w:rPr>
                <w:rFonts w:cs=""/>
                <w:kern w:val="0"/>
                <w:szCs w:val="22"/>
                <w:lang w:val="en-US" w:eastAsia="en-US" w:bidi="ar-SA"/>
              </w:rPr>
            </w:pPr>
            <w:r>
              <w:rPr>
                <w:rFonts w:eastAsia="Consolas" w:cs="" w:ascii="Noto Sans" w:hAnsi="Noto Sans"/>
                <w:kern w:val="0"/>
                <w:sz w:val="17"/>
                <w:szCs w:val="22"/>
                <w:lang w:val="en-US" w:eastAsia="en-US" w:bidi="ar-SA"/>
              </w:rPr>
              <w:t>Possibile limitare carichi bulk a finestre operative concordate.</w:t>
            </w:r>
          </w:p>
        </w:tc>
      </w:tr>
      <w:tr>
        <w:trPr>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0"/>
              <w:rPr>
                <w:rFonts w:cs=""/>
                <w:kern w:val="0"/>
                <w:szCs w:val="22"/>
                <w:lang w:val="en-US" w:eastAsia="en-US" w:bidi="ar-SA"/>
              </w:rPr>
            </w:pPr>
            <w:r>
              <w:rPr>
                <w:rFonts w:eastAsia="Consolas" w:cs="" w:ascii="Noto Sans" w:hAnsi="Noto Sans"/>
                <w:kern w:val="0"/>
                <w:sz w:val="17"/>
                <w:szCs w:val="22"/>
                <w:lang w:val="en-US" w:eastAsia="en-US" w:bidi="ar-SA"/>
              </w:rPr>
              <w:t>Backpressure</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0"/>
              <w:rPr>
                <w:rFonts w:cs=""/>
                <w:kern w:val="0"/>
                <w:szCs w:val="22"/>
                <w:lang w:val="en-US" w:eastAsia="en-US" w:bidi="ar-SA"/>
              </w:rPr>
            </w:pPr>
            <w:r>
              <w:rPr>
                <w:rFonts w:eastAsia="Consolas" w:cs="" w:ascii="Noto Sans" w:hAnsi="Noto Sans"/>
                <w:kern w:val="0"/>
                <w:sz w:val="17"/>
                <w:szCs w:val="22"/>
                <w:lang w:val="en-US" w:eastAsia="en-US" w:bidi="ar-SA"/>
              </w:rPr>
              <w:t>429/503 con Retry-After quando necessario.</w:t>
            </w:r>
          </w:p>
        </w:tc>
      </w:tr>
    </w:tbl>
    <w:p>
      <w:pPr>
        <w:pStyle w:val="Normal"/>
        <w:rPr/>
      </w:pPr>
      <w:r>
        <w:rPr>
          <w:rFonts w:ascii="Noto Sans" w:hAnsi="Noto Sans"/>
        </w:rPr>
      </w:r>
    </w:p>
    <w:p>
      <w:pPr/>
      <w:r>
        <w:rPr>
          <w:rFonts w:ascii="Noto Sans" w:hAnsi="Noto Sans"/>
        </w:rPr>
        <w:t>19.1 Verticali ad alta frequenza e retention del delta</w:t>
      </w:r>
    </w:p>
    <w:p>
      <w:pPr/>
      <w:r>
        <w:rPr>
          <w:rFonts w:ascii="Noto Sans" w:hAnsi="Noto Sans"/>
        </w:rPr>
        <w:t>Per sensoristica, illuminazione, mobilità o altri verticali ad alta frequenza, la conformità non richiede che OUF legga ogni misura tramite endpoint sincrono per ID. È invece essenziale che il PULL incrementale abbia sequence/token stabile, retention sufficiente al catch-up, paging/batching bounded e un modo esplicito di rilevare gap o token scaduti.</w:t>
      </w:r>
    </w:p>
    <w:tbl>
      <w:tblPr>
        <w:tblStyle w:val="TableGrid"/>
        <w:tblW w:type="auto" w:w="0"/>
        <w:tblLook w:firstColumn="1" w:firstRow="1" w:lastColumn="0" w:lastRow="0" w:noHBand="0" w:noVBand="1" w:val="04A0"/>
      </w:tblPr>
      <w:tblGrid>
        <w:gridCol w:w="4819"/>
        <w:gridCol w:w="4819"/>
      </w:tblGrid>
      <w:tr>
        <w:tc>
          <w:tcPr>
            <w:tcW w:type="dxa" w:w="4819"/>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Aspetto</w:t>
            </w:r>
          </w:p>
        </w:tc>
        <w:tc>
          <w:tcPr>
            <w:tcW w:type="dxa" w:w="4819"/>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Requisito</w:t>
            </w:r>
          </w:p>
        </w:tc>
      </w:tr>
      <w:tr>
        <w:tc>
          <w:tcPr>
            <w:tcW w:type="dxa" w:w="4819"/>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Ordering</w:t>
            </w:r>
          </w:p>
        </w:tc>
        <w:tc>
          <w:tcPr>
            <w:tcW w:type="dxa" w:w="4819"/>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Globale o per partizione/device, dichiarato.</w:t>
            </w:r>
          </w:p>
        </w:tc>
      </w:tr>
      <w:tr>
        <w:tc>
          <w:tcPr>
            <w:tcW w:type="dxa" w:w="4819"/>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Retention</w:t>
            </w:r>
          </w:p>
        </w:tc>
        <w:tc>
          <w:tcPr>
            <w:tcW w:type="dxa" w:w="4819"/>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Finestra delta dichiarata e monitorabile.</w:t>
            </w:r>
          </w:p>
        </w:tc>
      </w:tr>
      <w:tr>
        <w:tc>
          <w:tcPr>
            <w:tcW w:type="dxa" w:w="4819"/>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Gap</w:t>
            </w:r>
          </w:p>
        </w:tc>
        <w:tc>
          <w:tcPr>
            <w:tcW w:type="dxa" w:w="4819"/>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Token scaduto/gap produce errore machine-readable e recovery path.</w:t>
            </w:r>
          </w:p>
        </w:tc>
      </w:tr>
      <w:tr>
        <w:tc>
          <w:tcPr>
            <w:tcW w:type="dxa" w:w="4819"/>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Batching</w:t>
            </w:r>
          </w:p>
        </w:tc>
        <w:tc>
          <w:tcPr>
            <w:tcW w:type="dxa" w:w="4819"/>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Page/batch size massimo dichiarato; no risposta illimitata.</w:t>
            </w:r>
          </w:p>
        </w:tc>
      </w:tr>
      <w:tr>
        <w:tc>
          <w:tcPr>
            <w:tcW w:type="dxa" w:w="4819"/>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Observation time</w:t>
            </w:r>
          </w:p>
        </w:tc>
        <w:tc>
          <w:tcPr>
            <w:tcW w:type="dxa" w:w="4819"/>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observedAt/eventTime obbligatorio per misure.</w:t>
            </w:r>
          </w:p>
        </w:tc>
      </w:tr>
      <w:tr>
        <w:tc>
          <w:tcPr>
            <w:tcW w:type="dxa" w:w="4819"/>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Property events</w:t>
            </w:r>
          </w:p>
        </w:tc>
        <w:tc>
          <w:tcPr>
            <w:tcW w:type="dxa" w:w="4819"/>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Solo se eventId/sequence e semantica sono stabili.</w:t>
            </w:r>
          </w:p>
        </w:tc>
      </w:tr>
    </w:tbl>
    <w:p>
      <w:pPr>
        <w:pStyle w:val="Heading1"/>
        <w:rPr/>
      </w:pPr>
      <w:r>
        <w:rPr>
          <w:rFonts w:eastAsia="Noto Sans" w:ascii="Noto Sans" w:hAnsi="Noto Sans"/>
          <w:sz w:val="18"/>
        </w:rPr>
        <w:t>20. Allegati e binari</w:t>
      </w:r>
    </w:p>
    <w:p>
      <w:pPr>
        <w:pStyle w:val="BodyText"/>
        <w:rPr/>
      </w:pPr>
      <w:r>
        <w:rPr>
          <w:rFonts w:eastAsia="Noto Sans" w:ascii="Noto Sans" w:hAnsi="Noto Sans"/>
          <w:sz w:val="18"/>
        </w:rPr>
        <w:t>Gli allegati non devono essere inglobati in base64 nel record principale. Se inclusi nel perimetro approvato, il payload deve fornire metadati e un riferimento a un endpoint separato. L’Extraction Profile deve poter escludere completamente allegati o specifiche categorie di allegato.</w:t>
      </w:r>
    </w:p>
    <w:tbl>
      <w:tblPr>
        <w:tblStyle w:val="TableGrid"/>
        <w:tblW w:w="9638" w:type="dxa"/>
        <w:jc w:val="center"/>
        <w:tblInd w:w="0" w:type="dxa"/>
        <w:tblLayout w:type="fixed"/>
        <w:tblCellMar>
          <w:top w:w="120" w:type="dxa"/>
          <w:left w:w="160" w:type="dxa"/>
          <w:bottom w:w="120" w:type="dxa"/>
          <w:right w:w="160" w:type="dxa"/>
        </w:tblCellMar>
        <w:tblLook w:firstRow="1" w:noVBand="1" w:lastRow="0" w:firstColumn="1" w:lastColumn="0" w:noHBand="0" w:val="04a0"/>
      </w:tblPr>
      <w:tblGrid>
        <w:gridCol w:w="4819"/>
        <w:gridCol w:w="4818"/>
      </w:tblGrid>
      <w:tr>
        <w:trPr>
          <w:tblHeader w:val="true"/>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vAlign w:val="center"/>
          </w:tcPr>
          <w:p>
            <w:pPr>
              <w:pStyle w:val="Normal"/>
              <w:widowControl/>
              <w:spacing w:before="0" w:after="0"/>
              <w:jc w:val="center"/>
              <w:rPr>
                <w:rFonts w:cs=""/>
                <w:kern w:val="0"/>
                <w:szCs w:val="22"/>
                <w:lang w:val="en-US" w:eastAsia="en-US" w:bidi="ar-SA"/>
              </w:rPr>
            </w:pPr>
            <w:r>
              <w:rPr>
                <w:rFonts w:eastAsia="Consolas" w:cs="" w:ascii="Noto Sans" w:hAnsi="Noto Sans"/>
                <w:b/>
                <w:color w:val="FFFFFF"/>
                <w:kern w:val="0"/>
                <w:sz w:val="17"/>
                <w:szCs w:val="22"/>
                <w:lang w:val="en-US" w:eastAsia="en-US" w:bidi="ar-SA"/>
              </w:rPr>
              <w:t>Metadato</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vAlign w:val="center"/>
          </w:tcPr>
          <w:p>
            <w:pPr>
              <w:pStyle w:val="Normal"/>
              <w:widowControl/>
              <w:spacing w:before="0" w:after="0"/>
              <w:jc w:val="center"/>
              <w:rPr>
                <w:rFonts w:cs=""/>
                <w:kern w:val="0"/>
                <w:szCs w:val="22"/>
                <w:lang w:val="en-US" w:eastAsia="en-US" w:bidi="ar-SA"/>
              </w:rPr>
            </w:pPr>
            <w:r>
              <w:rPr>
                <w:rFonts w:eastAsia="Consolas" w:cs="" w:ascii="Noto Sans" w:hAnsi="Noto Sans"/>
                <w:b/>
                <w:color w:val="FFFFFF"/>
                <w:kern w:val="0"/>
                <w:sz w:val="17"/>
                <w:szCs w:val="22"/>
                <w:lang w:val="en-US" w:eastAsia="en-US" w:bidi="ar-SA"/>
              </w:rPr>
              <w:t>Obbligo se allegato esposto</w:t>
            </w:r>
          </w:p>
        </w:tc>
      </w:tr>
      <w:tr>
        <w:trPr>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0"/>
              <w:rPr>
                <w:rFonts w:cs=""/>
                <w:kern w:val="0"/>
                <w:szCs w:val="22"/>
                <w:lang w:val="en-US" w:eastAsia="en-US" w:bidi="ar-SA"/>
              </w:rPr>
            </w:pPr>
            <w:r>
              <w:rPr>
                <w:rFonts w:eastAsia="Consolas" w:cs="" w:ascii="Noto Sans" w:hAnsi="Noto Sans"/>
                <w:kern w:val="0"/>
                <w:sz w:val="17"/>
                <w:szCs w:val="22"/>
                <w:lang w:val="en-US" w:eastAsia="en-US" w:bidi="ar-SA"/>
              </w:rPr>
              <w:t>attachmentId</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0"/>
              <w:rPr>
                <w:rFonts w:cs=""/>
                <w:kern w:val="0"/>
                <w:szCs w:val="22"/>
                <w:lang w:val="en-US" w:eastAsia="en-US" w:bidi="ar-SA"/>
              </w:rPr>
            </w:pPr>
            <w:r>
              <w:rPr>
                <w:rFonts w:eastAsia="Consolas" w:cs="" w:ascii="Noto Sans" w:hAnsi="Noto Sans"/>
                <w:kern w:val="0"/>
                <w:sz w:val="17"/>
                <w:szCs w:val="22"/>
                <w:lang w:val="en-US" w:eastAsia="en-US" w:bidi="ar-SA"/>
              </w:rPr>
              <w:t>Sì</w:t>
            </w:r>
          </w:p>
        </w:tc>
      </w:tr>
      <w:tr>
        <w:trPr>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0"/>
              <w:rPr>
                <w:rFonts w:cs=""/>
                <w:kern w:val="0"/>
                <w:szCs w:val="22"/>
                <w:lang w:val="en-US" w:eastAsia="en-US" w:bidi="ar-SA"/>
              </w:rPr>
            </w:pPr>
            <w:r>
              <w:rPr>
                <w:rFonts w:eastAsia="Consolas" w:cs="" w:ascii="Noto Sans" w:hAnsi="Noto Sans"/>
                <w:kern w:val="0"/>
                <w:sz w:val="17"/>
                <w:szCs w:val="22"/>
                <w:lang w:val="en-US" w:eastAsia="en-US" w:bidi="ar-SA"/>
              </w:rPr>
              <w:t>mediaType</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0"/>
              <w:rPr>
                <w:rFonts w:cs=""/>
                <w:kern w:val="0"/>
                <w:szCs w:val="22"/>
                <w:lang w:val="en-US" w:eastAsia="en-US" w:bidi="ar-SA"/>
              </w:rPr>
            </w:pPr>
            <w:r>
              <w:rPr>
                <w:rFonts w:eastAsia="Consolas" w:cs="" w:ascii="Noto Sans" w:hAnsi="Noto Sans"/>
                <w:kern w:val="0"/>
                <w:sz w:val="17"/>
                <w:szCs w:val="22"/>
                <w:lang w:val="en-US" w:eastAsia="en-US" w:bidi="ar-SA"/>
              </w:rPr>
              <w:t>Sì</w:t>
            </w:r>
          </w:p>
        </w:tc>
      </w:tr>
      <w:tr>
        <w:trPr>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0"/>
              <w:rPr>
                <w:rFonts w:cs=""/>
                <w:kern w:val="0"/>
                <w:szCs w:val="22"/>
                <w:lang w:val="en-US" w:eastAsia="en-US" w:bidi="ar-SA"/>
              </w:rPr>
            </w:pPr>
            <w:r>
              <w:rPr>
                <w:rFonts w:eastAsia="Consolas" w:cs="" w:ascii="Noto Sans" w:hAnsi="Noto Sans"/>
                <w:kern w:val="0"/>
                <w:sz w:val="17"/>
                <w:szCs w:val="22"/>
                <w:lang w:val="en-US" w:eastAsia="en-US" w:bidi="ar-SA"/>
              </w:rPr>
              <w:t>size</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0"/>
              <w:rPr>
                <w:rFonts w:cs=""/>
                <w:kern w:val="0"/>
                <w:szCs w:val="22"/>
                <w:lang w:val="en-US" w:eastAsia="en-US" w:bidi="ar-SA"/>
              </w:rPr>
            </w:pPr>
            <w:r>
              <w:rPr>
                <w:rFonts w:eastAsia="Consolas" w:cs="" w:ascii="Noto Sans" w:hAnsi="Noto Sans"/>
                <w:kern w:val="0"/>
                <w:sz w:val="17"/>
                <w:szCs w:val="22"/>
                <w:lang w:val="en-US" w:eastAsia="en-US" w:bidi="ar-SA"/>
              </w:rPr>
              <w:t>Sì</w:t>
            </w:r>
          </w:p>
        </w:tc>
      </w:tr>
      <w:tr>
        <w:trPr>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0"/>
              <w:rPr>
                <w:rFonts w:cs=""/>
                <w:kern w:val="0"/>
                <w:szCs w:val="22"/>
                <w:lang w:val="en-US" w:eastAsia="en-US" w:bidi="ar-SA"/>
              </w:rPr>
            </w:pPr>
            <w:r>
              <w:rPr>
                <w:rFonts w:eastAsia="Consolas" w:cs="" w:ascii="Noto Sans" w:hAnsi="Noto Sans"/>
                <w:kern w:val="0"/>
                <w:sz w:val="17"/>
                <w:szCs w:val="22"/>
                <w:lang w:val="en-US" w:eastAsia="en-US" w:bidi="ar-SA"/>
              </w:rPr>
              <w:t>checksum</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0"/>
              <w:rPr>
                <w:rFonts w:cs=""/>
                <w:kern w:val="0"/>
                <w:szCs w:val="22"/>
                <w:lang w:val="en-US" w:eastAsia="en-US" w:bidi="ar-SA"/>
              </w:rPr>
            </w:pPr>
            <w:r>
              <w:rPr>
                <w:rFonts w:eastAsia="Consolas" w:cs="" w:ascii="Noto Sans" w:hAnsi="Noto Sans"/>
                <w:kern w:val="0"/>
                <w:sz w:val="17"/>
                <w:szCs w:val="22"/>
                <w:lang w:val="en-US" w:eastAsia="en-US" w:bidi="ar-SA"/>
              </w:rPr>
              <w:t>Raccomandato</w:t>
            </w:r>
          </w:p>
        </w:tc>
      </w:tr>
      <w:tr>
        <w:trPr>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0"/>
              <w:rPr>
                <w:rFonts w:cs=""/>
                <w:kern w:val="0"/>
                <w:szCs w:val="22"/>
                <w:lang w:val="en-US" w:eastAsia="en-US" w:bidi="ar-SA"/>
              </w:rPr>
            </w:pPr>
            <w:r>
              <w:rPr>
                <w:rFonts w:eastAsia="Consolas" w:cs="" w:ascii="Noto Sans" w:hAnsi="Noto Sans"/>
                <w:kern w:val="0"/>
                <w:sz w:val="17"/>
                <w:szCs w:val="22"/>
                <w:lang w:val="en-US" w:eastAsia="en-US" w:bidi="ar-SA"/>
              </w:rPr>
              <w:t>lastModified</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0"/>
              <w:rPr>
                <w:rFonts w:cs=""/>
                <w:kern w:val="0"/>
                <w:szCs w:val="22"/>
                <w:lang w:val="en-US" w:eastAsia="en-US" w:bidi="ar-SA"/>
              </w:rPr>
            </w:pPr>
            <w:r>
              <w:rPr>
                <w:rFonts w:eastAsia="Consolas" w:cs="" w:ascii="Noto Sans" w:hAnsi="Noto Sans"/>
                <w:kern w:val="0"/>
                <w:sz w:val="17"/>
                <w:szCs w:val="22"/>
                <w:lang w:val="en-US" w:eastAsia="en-US" w:bidi="ar-SA"/>
              </w:rPr>
              <w:t>Sì</w:t>
            </w:r>
          </w:p>
        </w:tc>
      </w:tr>
      <w:tr>
        <w:trPr>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0"/>
              <w:rPr>
                <w:rFonts w:cs=""/>
                <w:kern w:val="0"/>
                <w:szCs w:val="22"/>
                <w:lang w:val="en-US" w:eastAsia="en-US" w:bidi="ar-SA"/>
              </w:rPr>
            </w:pPr>
            <w:r>
              <w:rPr>
                <w:rFonts w:eastAsia="Consolas" w:cs="" w:ascii="Noto Sans" w:hAnsi="Noto Sans"/>
                <w:kern w:val="0"/>
                <w:sz w:val="17"/>
                <w:szCs w:val="22"/>
                <w:lang w:val="en-US" w:eastAsia="en-US" w:bidi="ar-SA"/>
              </w:rPr>
              <w:t>downloadHref</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0"/>
              <w:rPr>
                <w:rFonts w:cs=""/>
                <w:kern w:val="0"/>
                <w:szCs w:val="22"/>
                <w:lang w:val="en-US" w:eastAsia="en-US" w:bidi="ar-SA"/>
              </w:rPr>
            </w:pPr>
            <w:r>
              <w:rPr>
                <w:rFonts w:eastAsia="Consolas" w:cs="" w:ascii="Noto Sans" w:hAnsi="Noto Sans"/>
                <w:kern w:val="0"/>
                <w:sz w:val="17"/>
                <w:szCs w:val="22"/>
                <w:lang w:val="en-US" w:eastAsia="en-US" w:bidi="ar-SA"/>
              </w:rPr>
              <w:t>Sì, governato e autenticato</w:t>
            </w:r>
          </w:p>
        </w:tc>
      </w:tr>
    </w:tbl>
    <w:p>
      <w:pPr>
        <w:pStyle w:val="Normal"/>
        <w:rPr/>
      </w:pPr>
      <w:r>
        <w:rPr>
          <w:rFonts w:ascii="Noto Sans" w:hAnsi="Noto Sans"/>
        </w:rPr>
      </w:r>
    </w:p>
    <w:p>
      <w:pPr/>
      <w:r>
        <w:rPr>
          <w:rFonts w:ascii="Noto Sans" w:hAnsi="Noto Sans"/>
        </w:rPr>
        <w:t>20.1 Profili verticali generici</w:t>
      </w:r>
    </w:p>
    <w:tbl>
      <w:tblPr>
        <w:tblStyle w:val="TableGrid"/>
        <w:tblW w:type="auto" w:w="0"/>
        <w:tblLook w:firstColumn="1" w:firstRow="1" w:lastColumn="0" w:lastRow="0" w:noHBand="0" w:noVBand="1" w:val="04A0"/>
      </w:tblPr>
      <w:tblGrid>
        <w:gridCol w:w="4819"/>
        <w:gridCol w:w="4819"/>
      </w:tblGrid>
      <w:tr>
        <w:tc>
          <w:tcPr>
            <w:tcW w:type="dxa" w:w="4819"/>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Profilo</w:t>
            </w:r>
          </w:p>
        </w:tc>
        <w:tc>
          <w:tcPr>
            <w:tcW w:type="dxa" w:w="4819"/>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Requisiti aggiuntivi</w:t>
            </w:r>
          </w:p>
        </w:tc>
      </w:tr>
      <w:tr>
        <w:tc>
          <w:tcPr>
            <w:tcW w:type="dxa" w:w="4819"/>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Amministrativo/procedimentale</w:t>
            </w:r>
          </w:p>
        </w:tc>
        <w:tc>
          <w:tcPr>
            <w:tcW w:type="dxa" w:w="4819"/>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Stati nativi completi, rettifiche/riaperture, sotto-entità, temporalità amministrativa.</w:t>
            </w:r>
          </w:p>
        </w:tc>
      </w:tr>
      <w:tr>
        <w:tc>
          <w:tcPr>
            <w:tcW w:type="dxa" w:w="4819"/>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GIS / feature</w:t>
            </w:r>
          </w:p>
        </w:tc>
        <w:tc>
          <w:tcPr>
            <w:tcW w:type="dxa" w:w="4819"/>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Feature ID stabile, CRS, geometry type, schema; OGC API - Features preferito per nuove esposizioni, WFS supportato.</w:t>
            </w:r>
          </w:p>
        </w:tc>
      </w:tr>
      <w:tr>
        <w:tc>
          <w:tcPr>
            <w:tcW w:type="dxa" w:w="4819"/>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Asset/master-data</w:t>
            </w:r>
          </w:p>
        </w:tc>
        <w:tc>
          <w:tcPr>
            <w:tcW w:type="dxa" w:w="4819"/>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Chiavi stabili, lifecycle/deletion, relazioni native come riferimenti senza canonizzazione OUF.</w:t>
            </w:r>
          </w:p>
        </w:tc>
      </w:tr>
      <w:tr>
        <w:tc>
          <w:tcPr>
            <w:tcW w:type="dxa" w:w="4819"/>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Telemetry/IoT</w:t>
            </w:r>
          </w:p>
        </w:tc>
        <w:tc>
          <w:tcPr>
            <w:tcW w:type="dxa" w:w="4819"/>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eventTime, sequence/token, retention delta, partizionamento; PROPERTY_EVENTS solo se affidabile.</w:t>
            </w:r>
          </w:p>
        </w:tc>
      </w:tr>
      <w:tr>
        <w:tc>
          <w:tcPr>
            <w:tcW w:type="dxa" w:w="4819"/>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Aggregate/indicator</w:t>
            </w:r>
          </w:p>
        </w:tc>
        <w:tc>
          <w:tcPr>
            <w:tcW w:type="dxa" w:w="4819"/>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Grain/dimensioni nativi, periodo di validità/osservazione, revision e ricalcoli osservabili.</w:t>
            </w:r>
          </w:p>
        </w:tc>
      </w:tr>
    </w:tbl>
    <w:p>
      <w:pPr/>
      <w:r>
        <w:rPr>
          <w:rFonts w:ascii="Noto Sans" w:hAnsi="Noto Sans"/>
        </w:rPr>
        <w:t>Per servizi cartografici, WMS è un'interfaccia di rendering/proxy e non sostituisce una Source API feature-based quando OUF deve acquisire entità/feature. Per nuove esposizioni geografiche è preferito OGC API - Features; WFS 2.x resta supportato.</w:t>
      </w:r>
    </w:p>
    <w:p>
      <w:pPr>
        <w:pStyle w:val="Heading1"/>
        <w:rPr/>
      </w:pPr>
      <w:r>
        <w:rPr>
          <w:rFonts w:ascii="Noto Sans" w:hAnsi="Noto Sans"/>
        </w:rPr>
        <w:t>21. Profilo applicativo SUAP</w:t>
      </w:r>
    </w:p>
    <w:p>
      <w:pPr>
        <w:pStyle w:val="BodyText"/>
        <w:rPr/>
      </w:pPr>
      <w:r>
        <w:rPr>
          <w:rFonts w:eastAsia="Noto Sans" w:ascii="Noto Sans" w:hAnsi="Noto Sans"/>
          <w:sz w:val="18"/>
        </w:rPr>
        <w:t>SUAP deve esporre tutte le tipologie/procedimenti incluse nel perimetro di integrazione, senza appiattirle in un unico oggetto generico. L’onboarding OUF deciderà per ciascun procedimento quali oggetti urbani possono essere ricavati e con quali mapping.</w:t>
      </w:r>
    </w:p>
    <w:p>
      <w:pPr>
        <w:pStyle w:val="ListBullet"/>
        <w:numPr>
          <w:ilvl w:val="0"/>
          <w:numId w:val="1"/>
        </w:numPr>
        <w:rPr/>
      </w:pPr>
      <w:r>
        <w:rPr>
          <w:rFonts w:eastAsia="Noto Sans" w:ascii="Noto Sans" w:hAnsi="Noto Sans"/>
          <w:sz w:val="18"/>
        </w:rPr>
        <w:t>Codice procedimento stabile e schema relativo.</w:t>
      </w:r>
    </w:p>
    <w:p>
      <w:pPr>
        <w:pStyle w:val="ListBullet"/>
        <w:numPr>
          <w:ilvl w:val="0"/>
          <w:numId w:val="1"/>
        </w:numPr>
        <w:rPr/>
      </w:pPr>
      <w:r>
        <w:rPr>
          <w:rFonts w:eastAsia="Noto Sans" w:ascii="Noto Sans" w:hAnsi="Noto Sans"/>
          <w:sz w:val="18"/>
        </w:rPr>
        <w:t>Stati nativi completi e filtrabili.</w:t>
      </w:r>
    </w:p>
    <w:p>
      <w:pPr>
        <w:pStyle w:val="ListBullet"/>
        <w:numPr>
          <w:ilvl w:val="0"/>
          <w:numId w:val="1"/>
        </w:numPr>
        <w:rPr/>
      </w:pPr>
      <w:r>
        <w:rPr>
          <w:rFonts w:eastAsia="Noto Sans" w:ascii="Noto Sans" w:hAnsi="Noto Sans"/>
          <w:sz w:val="18"/>
        </w:rPr>
        <w:t>Identificativo stabile della pratica/istanza.</w:t>
      </w:r>
    </w:p>
    <w:p>
      <w:pPr>
        <w:pStyle w:val="ListBullet"/>
        <w:numPr>
          <w:ilvl w:val="0"/>
          <w:numId w:val="1"/>
        </w:numPr>
        <w:rPr/>
      </w:pPr>
      <w:r>
        <w:rPr>
          <w:rFonts w:eastAsia="Noto Sans" w:ascii="Noto Sans" w:hAnsi="Noto Sans"/>
          <w:sz w:val="18"/>
        </w:rPr>
        <w:t>Dati nativi del procedimento e sotto-strutture documentate.</w:t>
      </w:r>
    </w:p>
    <w:p>
      <w:pPr>
        <w:pStyle w:val="ListBullet"/>
        <w:numPr>
          <w:ilvl w:val="0"/>
          <w:numId w:val="1"/>
        </w:numPr>
        <w:rPr/>
      </w:pPr>
      <w:r>
        <w:rPr>
          <w:rFonts w:eastAsia="Noto Sans" w:ascii="Noto Sans" w:hAnsi="Noto Sans"/>
          <w:sz w:val="18"/>
        </w:rPr>
        <w:t>Change feed o equivalente per modifiche, rettifiche, annullamenti e riaperture.</w:t>
      </w:r>
    </w:p>
    <w:p>
      <w:pPr>
        <w:pStyle w:val="ListBullet"/>
        <w:numPr>
          <w:ilvl w:val="0"/>
          <w:numId w:val="1"/>
        </w:numPr>
        <w:rPr/>
      </w:pPr>
      <w:r>
        <w:rPr>
          <w:rFonts w:eastAsia="Noto Sans" w:ascii="Noto Sans" w:hAnsi="Noto Sans"/>
          <w:sz w:val="18"/>
        </w:rPr>
        <w:t>Field projection applicabile per singolo tipo/procedimento.</w:t>
      </w:r>
    </w:p>
    <w:p>
      <w:pPr>
        <w:pStyle w:val="Heading1"/>
        <w:rPr/>
      </w:pPr>
      <w:r>
        <w:rPr>
          <w:rFonts w:ascii="Noto Sans" w:hAnsi="Noto Sans"/>
        </w:rPr>
        <w:t>22. Profilo applicativo SUE</w:t>
      </w:r>
    </w:p>
    <w:p>
      <w:pPr>
        <w:pStyle w:val="BodyText"/>
        <w:rPr/>
      </w:pPr>
      <w:r>
        <w:rPr>
          <w:rFonts w:eastAsia="Noto Sans" w:ascii="Noto Sans" w:hAnsi="Noto Sans"/>
          <w:sz w:val="18"/>
        </w:rPr>
        <w:t>SUE segue le stesse regole. Le pratiche edilizie, i titoli e gli interventi non devono essere preventivamente convertiti in concetti OUF dal verticale. Devono essere esposti secondo il modello SUE, con schema, codici, stati e temporalità nativi.</w:t>
      </w:r>
    </w:p>
    <w:p>
      <w:pPr>
        <w:pStyle w:val="ListBullet"/>
        <w:numPr>
          <w:ilvl w:val="0"/>
          <w:numId w:val="1"/>
        </w:numPr>
        <w:rPr/>
      </w:pPr>
      <w:r>
        <w:rPr>
          <w:rFonts w:eastAsia="Noto Sans" w:ascii="Noto Sans" w:hAnsi="Noto Sans"/>
          <w:sz w:val="18"/>
        </w:rPr>
        <w:t>Tipologia pratica/intervento nativa e versionata.</w:t>
      </w:r>
    </w:p>
    <w:p>
      <w:pPr>
        <w:pStyle w:val="ListBullet"/>
        <w:numPr>
          <w:ilvl w:val="0"/>
          <w:numId w:val="1"/>
        </w:numPr>
        <w:rPr/>
      </w:pPr>
      <w:r>
        <w:rPr>
          <w:rFonts w:eastAsia="Noto Sans" w:ascii="Noto Sans" w:hAnsi="Noto Sans"/>
          <w:sz w:val="18"/>
        </w:rPr>
        <w:t>Identificativi stabili delle pratiche e delle eventuali sotto-entità.</w:t>
      </w:r>
    </w:p>
    <w:p>
      <w:pPr>
        <w:pStyle w:val="ListBullet"/>
        <w:numPr>
          <w:ilvl w:val="0"/>
          <w:numId w:val="1"/>
        </w:numPr>
        <w:rPr/>
      </w:pPr>
      <w:r>
        <w:rPr>
          <w:rFonts w:eastAsia="Noto Sans" w:ascii="Noto Sans" w:hAnsi="Noto Sans"/>
          <w:sz w:val="18"/>
        </w:rPr>
        <w:t>Geometrie o riferimenti territoriali nativi se disponibili, senza obbligo di canonizzazione OUF; CRS, tipo geometrico e relativa versione/schema devono essere documentati.</w:t>
      </w:r>
    </w:p>
    <w:p>
      <w:pPr>
        <w:pStyle w:val="ListBullet"/>
        <w:numPr>
          <w:ilvl w:val="0"/>
          <w:numId w:val="1"/>
        </w:numPr>
        <w:rPr/>
      </w:pPr>
      <w:r>
        <w:rPr>
          <w:rFonts w:eastAsia="Noto Sans" w:ascii="Noto Sans" w:hAnsi="Noto Sans"/>
          <w:sz w:val="18"/>
        </w:rPr>
        <w:t>Stati nativi filtrabili per permettere all’onboarding di definire il perimetro “concluso”.</w:t>
      </w:r>
    </w:p>
    <w:p>
      <w:pPr>
        <w:pStyle w:val="ListBullet"/>
        <w:numPr>
          <w:ilvl w:val="0"/>
          <w:numId w:val="1"/>
        </w:numPr>
        <w:rPr/>
      </w:pPr>
      <w:r>
        <w:rPr>
          <w:rFonts w:eastAsia="Noto Sans" w:ascii="Noto Sans" w:hAnsi="Noto Sans"/>
          <w:sz w:val="18"/>
        </w:rPr>
        <w:t>Delta affidabile anche per rettifiche successive alla conclusione.</w:t>
      </w:r>
    </w:p>
    <w:p>
      <w:pPr>
        <w:pStyle w:val="Heading1"/>
        <w:rPr/>
      </w:pPr>
      <w:r>
        <w:rPr>
          <w:rFonts w:ascii="Noto Sans" w:hAnsi="Noto Sans"/>
        </w:rPr>
        <w:t>23. Profilo applicativo SUO</w:t>
      </w:r>
    </w:p>
    <w:p>
      <w:pPr>
        <w:pStyle w:val="BodyText"/>
        <w:rPr/>
      </w:pPr>
      <w:r>
        <w:rPr>
          <w:rFonts w:eastAsia="Noto Sans" w:ascii="Noto Sans" w:hAnsi="Noto Sans"/>
          <w:sz w:val="18"/>
        </w:rPr>
        <w:t>SUO deve esporre le proprie tipologie e istanze occupazionali secondo il dominio nativo. La piattaforma potrà successivamente associare tali dati a oggetti, luoghi, concessioni o altri concetti urbani, ma questa semantica non appartiene al verticale.</w:t>
      </w:r>
    </w:p>
    <w:p>
      <w:pPr>
        <w:pStyle w:val="ListBullet"/>
        <w:numPr>
          <w:ilvl w:val="0"/>
          <w:numId w:val="1"/>
        </w:numPr>
        <w:rPr/>
      </w:pPr>
      <w:r>
        <w:rPr>
          <w:rFonts w:eastAsia="Noto Sans" w:ascii="Noto Sans" w:hAnsi="Noto Sans"/>
          <w:sz w:val="18"/>
        </w:rPr>
        <w:t>Tipologie/categorie native disponibili tramite discovery.</w:t>
      </w:r>
    </w:p>
    <w:p>
      <w:pPr>
        <w:pStyle w:val="ListBullet"/>
        <w:numPr>
          <w:ilvl w:val="0"/>
          <w:numId w:val="1"/>
        </w:numPr>
        <w:rPr/>
      </w:pPr>
      <w:r>
        <w:rPr>
          <w:rFonts w:eastAsia="Noto Sans" w:ascii="Noto Sans" w:hAnsi="Noto Sans"/>
          <w:sz w:val="18"/>
        </w:rPr>
        <w:t>Identificatori stabili e temporalità amministrativa.</w:t>
      </w:r>
    </w:p>
    <w:p>
      <w:pPr>
        <w:pStyle w:val="ListBullet"/>
        <w:numPr>
          <w:ilvl w:val="0"/>
          <w:numId w:val="1"/>
        </w:numPr>
        <w:rPr/>
      </w:pPr>
      <w:r>
        <w:rPr>
          <w:rFonts w:eastAsia="Noto Sans" w:ascii="Noto Sans" w:hAnsi="Noto Sans"/>
          <w:sz w:val="18"/>
        </w:rPr>
        <w:t>Stati conclusivi e non conclusivi documentati.</w:t>
      </w:r>
    </w:p>
    <w:p>
      <w:pPr>
        <w:pStyle w:val="ListBullet"/>
        <w:numPr>
          <w:ilvl w:val="0"/>
          <w:numId w:val="1"/>
        </w:numPr>
        <w:rPr/>
      </w:pPr>
      <w:r>
        <w:rPr>
          <w:rFonts w:eastAsia="Noto Sans" w:ascii="Noto Sans" w:hAnsi="Noto Sans"/>
          <w:sz w:val="18"/>
        </w:rPr>
        <w:t>Eventuali geometrie/coordinate native documentate con CRS, tipo geometrico e versione/schema applicabile.</w:t>
      </w:r>
    </w:p>
    <w:p>
      <w:pPr>
        <w:pStyle w:val="ListBullet"/>
        <w:numPr>
          <w:ilvl w:val="0"/>
          <w:numId w:val="1"/>
        </w:numPr>
        <w:rPr/>
      </w:pPr>
      <w:r>
        <w:rPr>
          <w:rFonts w:eastAsia="Noto Sans" w:ascii="Noto Sans" w:hAnsi="Noto Sans"/>
          <w:sz w:val="18"/>
        </w:rPr>
        <w:t>Field projection e delta incrementale come per gli altri verticali.</w:t>
      </w:r>
    </w:p>
    <w:p>
      <w:pPr/>
      <w:r>
        <w:rPr>
          <w:rFonts w:ascii="Noto Sans" w:hAnsi="Noto Sans"/>
        </w:rPr>
        <w:t>23.1 Pattern REST generico raccomandato</w:t>
      </w:r>
    </w:p>
    <w:p>
      <w:pPr/>
      <w:r>
        <w:rPr>
          <w:rFonts w:ascii="Noto Sans" w:hAnsi="Noto Sans"/>
        </w:rPr>
        <w:t>GET /integration/v1/types</w:t>
        <w:br/>
        <w:t>GET /integration/v1/types/{typeCode}</w:t>
        <w:br/>
        <w:t>GET /integration/v1/types/{typeCode}/schema</w:t>
        <w:br/>
        <w:t>GET /integration/v1/records?type={typeCode}&amp;fields=...&amp;cursor=...</w:t>
        <w:br/>
        <w:t>GET /integration/v1/changes?type={typeCode}&amp;after={token}&amp;fields=...</w:t>
        <w:br/>
        <w:t>GET /integration/v1/catalog-version</w:t>
      </w:r>
    </w:p>
    <w:p>
      <w:pPr/>
      <w:r>
        <w:rPr>
          <w:rFonts w:ascii="Noto Sans" w:hAnsi="Noto Sans"/>
        </w:rPr>
        <w:t>I path sono indicativi. Un verticale può usare collection, assets, features, observations o altra terminologia di dominio; devono restare equivalenti discovery, snapshot, delta, dettaglio e contract preflight.</w:t>
      </w:r>
    </w:p>
    <w:p>
      <w:pPr>
        <w:pStyle w:val="Heading1"/>
        <w:rPr/>
      </w:pPr>
      <w:r>
        <w:rPr>
          <w:rFonts w:ascii="Noto Sans" w:hAnsi="Noto Sans"/>
        </w:rPr>
        <w:t>24. Esempio SUAP di contratto REST</w:t>
      </w:r>
    </w:p>
    <w:tbl>
      <w:tblPr>
        <w:tblStyle w:val="TableGrid"/>
        <w:tblW w:w="9638" w:type="dxa"/>
        <w:jc w:val="left"/>
        <w:tblInd w:w="52" w:type="dxa"/>
        <w:tblLayout w:type="fixed"/>
        <w:tblCellMar>
          <w:top w:w="120" w:type="dxa"/>
          <w:left w:w="160" w:type="dxa"/>
          <w:bottom w:w="120" w:type="dxa"/>
          <w:right w:w="160" w:type="dxa"/>
        </w:tblCellMar>
        <w:tblLook w:firstRow="1" w:noVBand="1" w:lastRow="0" w:firstColumn="1" w:lastColumn="0" w:noHBand="0" w:val="04a0"/>
      </w:tblPr>
      <w:tblGrid>
        <w:gridCol w:w="9638"/>
      </w:tblGrid>
      <w:tr>
        <w:trPr/>
        <w:tc>
          <w:tcPr>
            <w:tcW w:w="963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pPr>
              <w:pStyle w:val="Normal"/>
              <w:widowControl/>
              <w:spacing w:before="0" w:after="0"/>
              <w:rPr>
                <w:rFonts w:cs=""/>
                <w:kern w:val="0"/>
                <w:szCs w:val="22"/>
                <w:lang w:val="en-US" w:eastAsia="en-US" w:bidi="ar-SA"/>
              </w:rPr>
            </w:pPr>
            <w:r>
              <w:rPr>
                <w:rFonts w:eastAsia="Consolas" w:cs="" w:ascii="Noto Sans" w:hAnsi="Noto Sans"/>
                <w:b/>
                <w:color w:val="FFFFFF"/>
                <w:kern w:val="0"/>
                <w:sz w:val="17"/>
                <w:szCs w:val="22"/>
                <w:lang w:val="en-US" w:eastAsia="en-US" w:bidi="ar-SA"/>
              </w:rPr>
              <w:t>GET /integration/v1/procedures</w:t>
              <w:br/>
              <w:t xml:space="preserve">    ?types=PROC_047,PROC_082</w:t>
              <w:br/>
              <w:t xml:space="preserve">    &amp;status=CHIUSA_POS,ARCHIVIATA</w:t>
              <w:br/>
              <w:t xml:space="preserve">    &amp;fields=id_pratica,indirizzo,categoria,data_fine</w:t>
              <w:br/>
              <w:t xml:space="preserve">    &amp;asOf=2026-08-25T08:00:00Z</w:t>
              <w:br/>
              <w:t xml:space="preserve">    &amp;cursor=...</w:t>
              <w:br/>
              <w:t xml:space="preserve">    &amp;pageSize=500</w:t>
              <w:br/>
              <w:br/>
              <w:t>200 OK</w:t>
              <w:br/>
              <w:t>{</w:t>
              <w:br/>
              <w:t xml:space="preserve">  "snapshotAt": "2026-08-25T08:00:00Z",</w:t>
              <w:br/>
              <w:t xml:space="preserve">  "highWatermark": "chg-983104",</w:t>
              <w:br/>
              <w:t xml:space="preserve">  "items": [</w:t>
              <w:br/>
              <w:t xml:space="preserve">    {</w:t>
              <w:br/>
              <w:t xml:space="preserve">      "sourceObjectId": "18453",</w:t>
              <w:br/>
              <w:t xml:space="preserve">      "typeCode": "PROC_047",</w:t>
              <w:br/>
              <w:t xml:space="preserve">      "schemaId": "suap.proc047",</w:t>
              <w:br/>
              <w:t xml:space="preserve">      "schemaVersion": "3.2",</w:t>
              <w:br/>
              <w:t xml:space="preserve">      "nativeStatus": "CHIUSA_POS",</w:t>
              <w:br/>
              <w:t xml:space="preserve">      "lastModified": "2026-08-24T14:02:11Z",</w:t>
              <w:br/>
              <w:t xml:space="preserve">      "data": {</w:t>
              <w:br/>
              <w:t xml:space="preserve">        "id_pratica": "18453",</w:t>
              <w:br/>
              <w:t xml:space="preserve">        "indirizzo": "...",</w:t>
              <w:br/>
              <w:t xml:space="preserve">        "categoria": "...",</w:t>
              <w:br/>
              <w:t xml:space="preserve">        "data_fine": "2026-08-20"</w:t>
              <w:br/>
              <w:t xml:space="preserve">      }</w:t>
              <w:br/>
              <w:t xml:space="preserve">    }</w:t>
              <w:br/>
              <w:t xml:space="preserve">  ],</w:t>
              <w:br/>
              <w:t xml:space="preserve">  "nextCursor": null</w:t>
              <w:br/>
              <w:t>}</w:t>
            </w:r>
          </w:p>
        </w:tc>
      </w:tr>
    </w:tbl>
    <w:p>
      <w:pPr>
        <w:pStyle w:val="Normal"/>
        <w:rPr/>
      </w:pPr>
      <w:r>
        <w:rPr>
          <w:rFonts w:ascii="Noto Sans" w:hAnsi="Noto Sans"/>
        </w:rPr>
      </w:r>
    </w:p>
    <w:p>
      <w:pPr>
        <w:pStyle w:val="BodyText"/>
        <w:rPr/>
      </w:pPr>
      <w:r>
        <w:rPr>
          <w:rFonts w:eastAsia="Noto Sans" w:ascii="Noto Sans" w:hAnsi="Noto Sans"/>
          <w:sz w:val="18"/>
        </w:rPr>
        <w:t>Il contenuto di data è nativo. La risposta non contiene canonicalType, ontologyUri, vocabularyConcept, semanticMappingId o altri elementi propri dell’OUF.</w:t>
      </w:r>
    </w:p>
    <w:p>
      <w:pPr>
        <w:pStyle w:val="Heading1"/>
        <w:rPr/>
      </w:pPr>
      <w:r>
        <w:rPr>
          <w:rFonts w:ascii="Noto Sans" w:hAnsi="Noto Sans"/>
        </w:rPr>
        <w:t>25. Esempio SUAP di Extraction Profile compilato</w:t>
      </w:r>
    </w:p>
    <w:p>
      <w:pPr>
        <w:pStyle w:val="BodyText"/>
        <w:rPr/>
      </w:pPr>
      <w:r>
        <w:rPr>
          <w:rFonts w:eastAsia="Noto Sans" w:ascii="Noto Sans" w:hAnsi="Noto Sans"/>
          <w:sz w:val="18"/>
        </w:rPr>
        <w:t>Il seguente esempio è un artefatto della piattaforma. È riportato nel presente documento solo per rendere chiaro quali capacità della Source API sono necessarie. Il verticale non deve archiviare né interpretare la semantica delle classificazioni.</w:t>
      </w:r>
    </w:p>
    <w:tbl>
      <w:tblPr>
        <w:tblStyle w:val="TableGrid"/>
        <w:tblW w:w="9638" w:type="dxa"/>
        <w:jc w:val="left"/>
        <w:tblInd w:w="52" w:type="dxa"/>
        <w:tblLayout w:type="fixed"/>
        <w:tblCellMar>
          <w:top w:w="120" w:type="dxa"/>
          <w:left w:w="160" w:type="dxa"/>
          <w:bottom w:w="120" w:type="dxa"/>
          <w:right w:w="160" w:type="dxa"/>
        </w:tblCellMar>
        <w:tblLook w:firstRow="1" w:noVBand="1" w:lastRow="0" w:firstColumn="1" w:lastColumn="0" w:noHBand="0" w:val="04a0"/>
      </w:tblPr>
      <w:tblGrid>
        <w:gridCol w:w="9638"/>
      </w:tblGrid>
      <w:tr>
        <w:trPr/>
        <w:tc>
          <w:tcPr>
            <w:tcW w:w="963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pPr>
              <w:pStyle w:val="Normal"/>
              <w:widowControl/>
              <w:spacing w:before="0" w:after="0"/>
              <w:rPr>
                <w:rFonts w:cs=""/>
                <w:kern w:val="0"/>
                <w:szCs w:val="22"/>
                <w:lang w:val="en-US" w:eastAsia="en-US" w:bidi="ar-SA"/>
              </w:rPr>
            </w:pPr>
            <w:r>
              <w:rPr>
                <w:rFonts w:eastAsia="Consolas" w:cs="" w:ascii="Noto Sans" w:hAnsi="Noto Sans"/>
                <w:b/>
                <w:color w:val="FFFFFF"/>
                <w:kern w:val="0"/>
                <w:sz w:val="17"/>
                <w:szCs w:val="22"/>
                <w:lang w:val="en-US" w:eastAsia="en-US" w:bidi="ar-SA"/>
              </w:rPr>
              <w:t>sourceId: suap-prod</w:t>
              <w:br/>
              <w:t>extractionProfileId: ep-suap-2026-001</w:t>
              <w:br/>
              <w:t>version: 4</w:t>
              <w:br/>
              <w:t>status: ACTIVE</w:t>
              <w:br/>
              <w:br/>
              <w:t>selection:</w:t>
              <w:br/>
              <w:t xml:space="preserve">  procedureTypes: [PROC_047, PROC_082]</w:t>
              <w:br/>
              <w:t xml:space="preserve">  eligibleNativeStates: [CHIUSA_POS, ARCHIVIATA]</w:t>
              <w:br/>
              <w:br/>
              <w:t>projection:</w:t>
              <w:br/>
              <w:t xml:space="preserve">  PROC_047:</w:t>
              <w:br/>
              <w:t xml:space="preserve">    include: [id_pratica, indirizzo, categoria, data_fine]</w:t>
              <w:br/>
              <w:t xml:space="preserve">  PROC_082:</w:t>
              <w:br/>
              <w:t xml:space="preserve">    include: [id_pratica, localizzazione, superficie, data_fine]</w:t>
              <w:br/>
              <w:br/>
              <w:t>sync:</w:t>
              <w:br/>
              <w:t xml:space="preserve">  bootstrap: FULL_SNAPSHOT</w:t>
              <w:br/>
              <w:t xml:space="preserve">  incremental: CHANGE_TOKEN</w:t>
              <w:br/>
              <w:t xml:space="preserve">  pageSize: 500</w:t>
            </w:r>
          </w:p>
        </w:tc>
      </w:tr>
    </w:tbl>
    <w:p>
      <w:pPr>
        <w:pStyle w:val="Normal"/>
        <w:rPr/>
      </w:pPr>
      <w:r>
        <w:rPr>
          <w:rFonts w:ascii="Noto Sans" w:hAnsi="Noto Sans"/>
        </w:rPr>
      </w:r>
    </w:p>
    <w:tbl>
      <w:tblPr>
        <w:tblStyle w:val="TableGrid"/>
        <w:tblW w:w="9638" w:type="dxa"/>
        <w:jc w:val="left"/>
        <w:tblInd w:w="-18" w:type="dxa"/>
        <w:tblLayout w:type="fixed"/>
        <w:tblCellMar>
          <w:top w:w="70" w:type="dxa"/>
          <w:left w:w="90" w:type="dxa"/>
          <w:bottom w:w="70" w:type="dxa"/>
          <w:right w:w="90" w:type="dxa"/>
        </w:tblCellMar>
        <w:tblLook w:firstRow="1" w:noVBand="1" w:lastRow="0" w:firstColumn="1" w:lastColumn="0" w:noHBand="0" w:val="04a0"/>
      </w:tblPr>
      <w:tblGrid>
        <w:gridCol w:w="9638"/>
      </w:tblGrid>
      <w:tr>
        <w:trPr/>
        <w:tc>
          <w:tcPr>
            <w:tcW w:w="963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pPr>
              <w:pStyle w:val="Normal"/>
              <w:widowControl/>
              <w:rPr>
                <w:rFonts w:cs=""/>
                <w:kern w:val="0"/>
                <w:szCs w:val="22"/>
                <w:lang w:val="en-US" w:eastAsia="en-US" w:bidi="ar-SA"/>
              </w:rPr>
            </w:pPr>
            <w:r>
              <w:rPr>
                <w:rFonts w:eastAsia="Noto Sans" w:cs="" w:ascii="Noto Sans" w:hAnsi="Noto Sans"/>
                <w:b/>
                <w:color w:val="FFFFFF"/>
                <w:kern w:val="0"/>
                <w:sz w:val="17"/>
                <w:szCs w:val="22"/>
                <w:lang w:val="en-US" w:eastAsia="en-US" w:bidi="ar-SA"/>
              </w:rPr>
              <w:t>Confine netto</w:t>
            </w:r>
          </w:p>
          <w:p>
            <w:pPr>
              <w:pStyle w:val="BodyText"/>
              <w:widowControl/>
              <w:spacing w:before="0" w:after="120"/>
              <w:rPr>
                <w:rFonts w:cs=""/>
                <w:kern w:val="0"/>
                <w:szCs w:val="22"/>
                <w:lang w:val="en-US" w:eastAsia="en-US" w:bidi="ar-SA"/>
              </w:rPr>
            </w:pPr>
            <w:r>
              <w:rPr>
                <w:rFonts w:eastAsia="Noto Sans" w:cs="" w:ascii="Noto Sans" w:hAnsi="Noto Sans"/>
                <w:b/>
                <w:color w:val="FFFFFF"/>
                <w:kern w:val="0"/>
                <w:sz w:val="17"/>
                <w:szCs w:val="22"/>
                <w:lang w:val="en-US" w:eastAsia="en-US" w:bidi="ar-SA"/>
              </w:rPr>
              <w:t>La parte semantica completa che ha prodotto queste allowlist resta nel modulo Source Onboarding. Al Gateway/Connector e al verticale arriva soltanto la proiezione tecnica necessaria all’esecuzione.</w:t>
            </w:r>
          </w:p>
        </w:tc>
      </w:tr>
    </w:tbl>
    <w:p>
      <w:pPr>
        <w:pStyle w:val="Normal"/>
        <w:rPr/>
      </w:pPr>
      <w:r>
        <w:rPr>
          <w:rFonts w:ascii="Noto Sans" w:hAnsi="Noto Sans"/>
        </w:rPr>
      </w:r>
    </w:p>
    <w:p>
      <w:pPr>
        <w:pStyle w:val="Heading1"/>
        <w:rPr/>
      </w:pPr>
      <w:r>
        <w:rPr>
          <w:rFonts w:eastAsia="Noto Sans" w:ascii="Noto Sans" w:hAnsi="Noto Sans"/>
          <w:sz w:val="18"/>
        </w:rPr>
        <w:t>26. Requisiti OpenAPI e documentazione</w:t>
      </w:r>
    </w:p>
    <w:p>
      <w:pPr>
        <w:pStyle w:val="ListBullet"/>
        <w:numPr>
          <w:ilvl w:val="0"/>
          <w:numId w:val="1"/>
        </w:numPr>
        <w:rPr/>
      </w:pPr>
      <w:r>
        <w:rPr>
          <w:rFonts w:eastAsia="Noto Sans" w:ascii="Noto Sans" w:hAnsi="Noto Sans"/>
          <w:sz w:val="18"/>
        </w:rPr>
        <w:t>Ogni Source API DEVE essere descritta con OpenAPI 3.x.</w:t>
      </w:r>
    </w:p>
    <w:p>
      <w:pPr>
        <w:pStyle w:val="ListBullet"/>
        <w:numPr>
          <w:ilvl w:val="0"/>
          <w:numId w:val="1"/>
        </w:numPr>
        <w:rPr/>
      </w:pPr>
      <w:r>
        <w:rPr>
          <w:rFonts w:eastAsia="Noto Sans" w:ascii="Noto Sans" w:hAnsi="Noto Sans"/>
          <w:sz w:val="18"/>
        </w:rPr>
        <w:t>Gli schemi di ogni tipo/procedimento DEVONO essere versionati e distribuibili come artefatti.</w:t>
      </w:r>
    </w:p>
    <w:p>
      <w:pPr>
        <w:pStyle w:val="ListBullet"/>
        <w:numPr>
          <w:ilvl w:val="0"/>
          <w:numId w:val="1"/>
        </w:numPr>
        <w:rPr/>
      </w:pPr>
      <w:r>
        <w:rPr>
          <w:rFonts w:eastAsia="Noto Sans" w:ascii="Noto Sans" w:hAnsi="Noto Sans"/>
          <w:sz w:val="18"/>
        </w:rPr>
        <w:t>Le enum/codifiche native DEVONO essere documentate.</w:t>
      </w:r>
    </w:p>
    <w:p>
      <w:pPr>
        <w:pStyle w:val="ListBullet"/>
        <w:numPr>
          <w:ilvl w:val="0"/>
          <w:numId w:val="1"/>
        </w:numPr>
        <w:rPr/>
      </w:pPr>
      <w:r>
        <w:rPr>
          <w:rFonts w:eastAsia="Noto Sans" w:ascii="Noto Sans" w:hAnsi="Noto Sans"/>
          <w:sz w:val="18"/>
        </w:rPr>
        <w:t>DEVONO essere dichiarati limiti, timeout, page size, retention dei token e strategie di retry.</w:t>
      </w:r>
    </w:p>
    <w:p>
      <w:pPr>
        <w:pStyle w:val="ListBullet"/>
        <w:numPr>
          <w:ilvl w:val="0"/>
          <w:numId w:val="1"/>
        </w:numPr>
        <w:rPr/>
      </w:pPr>
      <w:r>
        <w:rPr>
          <w:rFonts w:eastAsia="Noto Sans" w:ascii="Noto Sans" w:hAnsi="Noto Sans"/>
          <w:sz w:val="18"/>
        </w:rPr>
        <w:t>DEVONO essere presenti esempi di snapshot e delta.</w:t>
      </w:r>
    </w:p>
    <w:p>
      <w:pPr>
        <w:pStyle w:val="ListBullet"/>
        <w:numPr>
          <w:ilvl w:val="0"/>
          <w:numId w:val="1"/>
        </w:numPr>
        <w:rPr/>
      </w:pPr>
      <w:r>
        <w:rPr>
          <w:rFonts w:eastAsia="Noto Sans" w:ascii="Noto Sans" w:hAnsi="Noto Sans"/>
          <w:sz w:val="18"/>
        </w:rPr>
        <w:t>Le breaking change DEVONO essere comunicate e introdotte con versione nuova o periodo di compatibilità.</w:t>
      </w:r>
    </w:p>
    <w:p>
      <w:pPr>
        <w:pStyle w:val="ListBullet"/>
        <w:numPr>
          <w:ilvl w:val="0"/>
          <w:numId w:val="1"/>
        </w:numPr>
        <w:rPr/>
      </w:pPr>
      <w:r>
        <w:rPr>
          <w:rFonts w:eastAsia="Noto Sans" w:ascii="Noto Sans" w:hAnsi="Noto Sans"/>
          <w:sz w:val="18"/>
        </w:rPr>
        <w:t>Il contratto di discovery DEVE documentare schemaVersion/fingerprint e, quando presenti, catalog-version, schema-change token, validFrom e compatibilityUntil.</w:t>
      </w:r>
    </w:p>
    <w:p>
      <w:pPr/>
      <w:r>
        <w:rPr>
          <w:rFonts w:ascii="Noto Sans" w:hAnsi="Noto Sans"/>
        </w:rPr>
        <w:t>26.1 Contract metadata v2.3</w:t>
      </w:r>
    </w:p>
    <w:tbl>
      <w:tblPr>
        <w:tblStyle w:val="TableGrid"/>
        <w:tblW w:type="auto" w:w="0"/>
        <w:tblLook w:firstColumn="1" w:firstRow="1" w:lastColumn="0" w:lastRow="0" w:noHBand="0" w:noVBand="1" w:val="04A0"/>
      </w:tblPr>
      <w:tblGrid>
        <w:gridCol w:w="4819"/>
        <w:gridCol w:w="4819"/>
      </w:tblGrid>
      <w:tr>
        <w:tc>
          <w:tcPr>
            <w:tcW w:type="dxa" w:w="4819"/>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Metadata</w:t>
            </w:r>
          </w:p>
        </w:tc>
        <w:tc>
          <w:tcPr>
            <w:tcW w:type="dxa" w:w="4819"/>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Requisito</w:t>
            </w:r>
          </w:p>
        </w:tc>
      </w:tr>
      <w:tr>
        <w:tc>
          <w:tcPr>
            <w:tcW w:type="dxa" w:w="4819"/>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schemaVersion/schemaFingerprint</w:t>
            </w:r>
          </w:p>
        </w:tc>
        <w:tc>
          <w:tcPr>
            <w:tcW w:type="dxa" w:w="4819"/>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DEVE essere documentato per scope.</w:t>
            </w:r>
          </w:p>
        </w:tc>
      </w:tr>
      <w:tr>
        <w:tc>
          <w:tcPr>
            <w:tcW w:type="dxa" w:w="4819"/>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catalogVersion/ETag</w:t>
            </w:r>
          </w:p>
        </w:tc>
        <w:tc>
          <w:tcPr>
            <w:tcW w:type="dxa" w:w="4819"/>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DOVREBBE essere documentato se supportato.</w:t>
            </w:r>
          </w:p>
        </w:tc>
      </w:tr>
      <w:tr>
        <w:tc>
          <w:tcPr>
            <w:tcW w:type="dxa" w:w="4819"/>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sourceObjectId stability</w:t>
            </w:r>
          </w:p>
        </w:tc>
        <w:tc>
          <w:tcPr>
            <w:tcW w:type="dxa" w:w="4819"/>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DEVE dichiarare regole di stabilità/non-riuso.</w:t>
            </w:r>
          </w:p>
        </w:tc>
      </w:tr>
      <w:tr>
        <w:tc>
          <w:tcPr>
            <w:tcW w:type="dxa" w:w="4819"/>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change feed retention</w:t>
            </w:r>
          </w:p>
        </w:tc>
        <w:tc>
          <w:tcPr>
            <w:tcW w:type="dxa" w:w="4819"/>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DEVE essere dichiarata se esiste delta.</w:t>
            </w:r>
          </w:p>
        </w:tc>
      </w:tr>
      <w:tr>
        <w:tc>
          <w:tcPr>
            <w:tcW w:type="dxa" w:w="4819"/>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Change representation capabilities</w:t>
            </w:r>
          </w:p>
        </w:tc>
        <w:tc>
          <w:tcPr>
            <w:tcW w:type="dxa" w:w="4819"/>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DEVE dichiarare snapshot/full record; patch/events solo se supportati.</w:t>
            </w:r>
          </w:p>
        </w:tc>
      </w:tr>
      <w:tr>
        <w:tc>
          <w:tcPr>
            <w:tcW w:type="dxa" w:w="4819"/>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Temporal fields</w:t>
            </w:r>
          </w:p>
        </w:tc>
        <w:tc>
          <w:tcPr>
            <w:tcW w:type="dxa" w:w="4819"/>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DEVE documentare significato di event/modified/valid time esposto.</w:t>
            </w:r>
          </w:p>
        </w:tc>
      </w:tr>
      <w:tr>
        <w:tc>
          <w:tcPr>
            <w:tcW w:type="dxa" w:w="4819"/>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Geometry metadata</w:t>
            </w:r>
          </w:p>
        </w:tc>
        <w:tc>
          <w:tcPr>
            <w:tcW w:type="dxa" w:w="4819"/>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DEVE documentare CRS/geometry quando presenti.</w:t>
            </w:r>
          </w:p>
        </w:tc>
      </w:tr>
      <w:tr>
        <w:tc>
          <w:tcPr>
            <w:tcW w:type="dxa" w:w="4819"/>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Rate/concurrency limits</w:t>
            </w:r>
          </w:p>
        </w:tc>
        <w:tc>
          <w:tcPr>
            <w:tcW w:type="dxa" w:w="4819"/>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DEVONO essere espliciti e testabili.</w:t>
            </w:r>
          </w:p>
        </w:tc>
      </w:tr>
    </w:tbl>
    <w:p>
      <w:pPr>
        <w:pStyle w:val="Heading1"/>
        <w:rPr/>
      </w:pPr>
      <w:r>
        <w:rPr>
          <w:rFonts w:eastAsia="Noto Sans" w:ascii="Noto Sans" w:hAnsi="Noto Sans"/>
          <w:sz w:val="18"/>
        </w:rPr>
        <w:t>27. Criteri di collaudo</w:t>
      </w:r>
    </w:p>
    <w:tbl>
      <w:tblPr>
        <w:tblStyle w:val="TableGrid"/>
        <w:tblW w:w="9639" w:type="dxa"/>
        <w:jc w:val="center"/>
        <w:tblInd w:w="0" w:type="dxa"/>
        <w:tblLayout w:type="fixed"/>
        <w:tblCellMar>
          <w:top w:w="70" w:type="dxa"/>
          <w:left w:w="90" w:type="dxa"/>
          <w:bottom w:w="70" w:type="dxa"/>
          <w:right w:w="90" w:type="dxa"/>
        </w:tblCellMar>
        <w:tblLook w:firstRow="1" w:noVBand="1" w:lastRow="0" w:firstColumn="1" w:lastColumn="0" w:noHBand="0" w:val="04a0"/>
      </w:tblPr>
      <w:tblGrid>
        <w:gridCol w:w="3213"/>
        <w:gridCol w:w="3213"/>
        <w:gridCol w:w="3213"/>
      </w:tblGrid>
      <w:tr>
        <w:trPr>
          <w:tblHeader w:val="true"/>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vAlign w:val="center"/>
          </w:tcPr>
          <w:p>
            <w:pPr>
              <w:pStyle w:val="Normal"/>
              <w:widowControl/>
              <w:spacing w:before="0" w:after="120"/>
              <w:jc w:val="center"/>
              <w:rPr>
                <w:rFonts w:cs=""/>
                <w:kern w:val="0"/>
                <w:szCs w:val="22"/>
                <w:lang w:val="en-US" w:eastAsia="en-US" w:bidi="ar-SA"/>
              </w:rPr>
            </w:pPr>
            <w:r>
              <w:rPr>
                <w:rFonts w:eastAsia="Noto Sans" w:cs="" w:ascii="Noto Sans" w:hAnsi="Noto Sans"/>
                <w:b/>
                <w:color w:val="FFFFFF"/>
                <w:kern w:val="0"/>
                <w:sz w:val="17"/>
                <w:szCs w:val="22"/>
                <w:lang w:val="en-US" w:eastAsia="en-US" w:bidi="ar-SA"/>
              </w:rPr>
              <w:t>ID</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vAlign w:val="center"/>
          </w:tcPr>
          <w:p>
            <w:pPr>
              <w:pStyle w:val="Normal"/>
              <w:widowControl/>
              <w:spacing w:before="0" w:after="120"/>
              <w:jc w:val="center"/>
              <w:rPr>
                <w:rFonts w:cs=""/>
                <w:kern w:val="0"/>
                <w:szCs w:val="22"/>
                <w:lang w:val="en-US" w:eastAsia="en-US" w:bidi="ar-SA"/>
              </w:rPr>
            </w:pPr>
            <w:r>
              <w:rPr>
                <w:rFonts w:eastAsia="Noto Sans" w:cs="" w:ascii="Noto Sans" w:hAnsi="Noto Sans"/>
                <w:b/>
                <w:color w:val="FFFFFF"/>
                <w:kern w:val="0"/>
                <w:sz w:val="17"/>
                <w:szCs w:val="22"/>
                <w:lang w:val="en-US" w:eastAsia="en-US" w:bidi="ar-SA"/>
              </w:rPr>
              <w:t>Test</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vAlign w:val="center"/>
          </w:tcPr>
          <w:p>
            <w:pPr>
              <w:pStyle w:val="Normal"/>
              <w:widowControl/>
              <w:spacing w:before="0" w:after="120"/>
              <w:jc w:val="center"/>
              <w:rPr>
                <w:rFonts w:cs=""/>
                <w:kern w:val="0"/>
                <w:szCs w:val="22"/>
                <w:lang w:val="en-US" w:eastAsia="en-US" w:bidi="ar-SA"/>
              </w:rPr>
            </w:pPr>
            <w:r>
              <w:rPr>
                <w:rFonts w:eastAsia="Noto Sans" w:cs="" w:ascii="Noto Sans" w:hAnsi="Noto Sans"/>
                <w:b/>
                <w:color w:val="FFFFFF"/>
                <w:kern w:val="0"/>
                <w:sz w:val="17"/>
                <w:szCs w:val="22"/>
                <w:lang w:val="en-US" w:eastAsia="en-US" w:bidi="ar-SA"/>
              </w:rPr>
              <w:t>Criterio di accettazione</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SRC-01</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r>
              <w:rPr>
                <w:rFonts w:ascii="Noto Sans" w:hAnsi="Noto Sans"/>
                <w:sz w:val="17"/>
              </w:rPr>
              <w:t>Catalogo completo</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r>
              <w:rPr>
                <w:rFonts w:ascii="Noto Sans" w:hAnsi="Noto Sans"/>
                <w:sz w:val="17"/>
              </w:rPr>
              <w:t>Tutti i tipi/collezioni del perimetro risultano enumerabili e hanno schema/versione.</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SRC-02</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r>
              <w:rPr>
                <w:rFonts w:ascii="Noto Sans" w:hAnsi="Noto Sans"/>
                <w:sz w:val="17"/>
              </w:rPr>
              <w:t>Bootstrap perimetro</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r>
              <w:rPr>
                <w:rFonts w:ascii="Noto Sans" w:hAnsi="Noto Sans"/>
                <w:sz w:val="17"/>
              </w:rPr>
              <w:t>Sono estraibili tutte le istanze del perimetro configurato; per SUAP/SUE/SUO il test include il filtro sugli stati nativi eleggibili.</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SRC-03</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Field projection</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Campi non richiesti non compaiono nella risposta né nei log applicativi di integrazione.</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SRC-04</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Paging</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La scansione completa non perde né duplica istanze.</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SRC-05</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Restart</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Una lettura interrotta riprende da cursor/checkpoint.</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SRC-06</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Delta</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Nessuna modifica successiva al checkpoint viene persa; una finestra riletta dopo errore è processabile idempotentemente anche in presenza di duplicazioni tecniche.</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SRC-07</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Delete/tombstone</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Una cancellazione è osservabile nel delta.</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SRC-08</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r>
              <w:rPr>
                <w:rFonts w:ascii="Noto Sans" w:hAnsi="Noto Sans"/>
                <w:sz w:val="17"/>
              </w:rPr>
              <w:t>Rettifica / update tardivo</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r>
              <w:rPr>
                <w:rFonts w:ascii="Noto Sans" w:hAnsi="Noto Sans"/>
                <w:sz w:val="17"/>
              </w:rPr>
              <w:t>Un record già acquisito e successivamente rettificato/aggiornato ricompare nel delta; nei profili amministrativi vale anche dopo la conclusione.</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SRC-09</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Schema change</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Una nuova schemaVersion è rilevabile senza ambiguità.</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SRC-10</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Auth</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Client non autorizzato è rifiutato; client OUF ha sola lettura.</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SRC-11</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Correlation</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X-Correlation-ID è conservato o restituito.</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SRC-12</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Load</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Il bootstrap sostenuto rispetta throughput e limiti concordati senza degradare il verticale.</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SRC-13</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Continuità bootstrap/delta</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Una modifica effettuata durante lo snapshot viene recuperata nello snapshot stesso o nel catch-up successivo, senza perdita.</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SRC-14</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Uscita dal perimetro</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Un record già acquisito che, dopo una modifica, non soddisfa più i filtri correnti resta osservabile nel delta e può essere riallineato dalla piattaforma.</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SRC-15</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Compatible schema drift</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L’aggiunta di un campo opzionale è rilevabile via discovery/schemaVersion/fingerprint anche se il campo non è nella fieldProjection ACTIVE; il contratto precedente continua a funzionare.</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SRC-16</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Breaking schema drift</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Rename, rimozione o cambio datatype producono una versione distinguibile; nessuna modifica incompatibile è introdotta silenziosamente nel contratto precedente.</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SRC-17</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Schema surveillance</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Il polling del catalogo consente di rilevare una variazione del contratto senza dover leggere payload completi o campi esclusi dalla projection.</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SRC-18</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Concurrent consumers</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Discovery/schema-check e sincronizzazioni concorrenti non compromettono cursor, snapshot consistency, delta continuity o rate-limit semantics.</w:t>
            </w:r>
          </w:p>
        </w:tc>
      </w:tr>
      <w:tr>
        <w:trPr>
          <w:cantSplit w:val="true"/>
        </w:trPr>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SRC-19</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M2M portability</w:t>
            </w:r>
          </w:p>
        </w:tc>
        <w:tc>
          <w:tcPr>
            <w:tcW w:w="3213"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La Source API autentica una service identity OUF tramite il meccanismo concordato senza dipendere da una specifica topologia IAM interna della piattaforma.</w:t>
            </w:r>
          </w:p>
        </w:tc>
      </w:tr>
    </w:tbl>
    <w:p>
      <w:pPr>
        <w:pStyle w:val="Normal"/>
        <w:rPr/>
      </w:pPr>
      <w:r>
        <w:rPr>
          <w:rFonts w:ascii="Noto Sans" w:hAnsi="Noto Sans"/>
        </w:rPr>
      </w:r>
    </w:p>
    <w:p>
      <w:pPr>
        <w:pStyle w:val="ListBullet"/>
      </w:pPr>
      <w:r>
        <w:rPr>
          <w:rFonts w:ascii="Noto Sans" w:hAnsi="Noto Sans"/>
        </w:rPr>
        <w:t>SRC-20 Generic type catalog — un verticale non procedimentale enumera type/collection e schema senza usare concetti SUAP.</w:t>
      </w:r>
    </w:p>
    <w:p>
      <w:pPr>
        <w:pStyle w:val="ListBullet"/>
      </w:pPr>
      <w:r>
        <w:rPr>
          <w:rFonts w:ascii="Noto Sans" w:hAnsi="Noto Sans"/>
        </w:rPr>
        <w:t>SRC-21 Preflight unchanged — ETag/catalogVersion/fingerprint invariato consente check leggero senza full schema download.</w:t>
      </w:r>
    </w:p>
    <w:p>
      <w:pPr>
        <w:pStyle w:val="ListBullet"/>
      </w:pPr>
      <w:r>
        <w:rPr>
          <w:rFonts w:ascii="Noto Sans" w:hAnsi="Noto Sans"/>
        </w:rPr>
        <w:t>SRC-22 Scoped breaking drift — breaking change su un type resta distinguibile dagli altri scope indipendenti.</w:t>
      </w:r>
    </w:p>
    <w:p>
      <w:pPr>
        <w:pStyle w:val="ListBullet"/>
      </w:pPr>
      <w:r>
        <w:rPr>
          <w:rFonts w:ascii="Noto Sans" w:hAnsi="Noto Sans"/>
        </w:rPr>
        <w:t>SRC-23 Source-object identity — sourceObjectId identifica il record/feature e non il dataset; non viene riusato.</w:t>
      </w:r>
    </w:p>
    <w:p>
      <w:pPr>
        <w:pStyle w:val="ListBullet"/>
      </w:pPr>
      <w:r>
        <w:rPr>
          <w:rFonts w:ascii="Noto Sans" w:hAnsi="Noto Sans"/>
        </w:rPr>
        <w:t>SRC-24 Temporal fidelity — il verticale espone temporalità native affidabili senza inventare validTo per OUF.</w:t>
      </w:r>
    </w:p>
    <w:p>
      <w:pPr>
        <w:pStyle w:val="ListBullet"/>
      </w:pPr>
      <w:r>
        <w:rPr>
          <w:rFonts w:ascii="Noto Sans" w:hAnsi="Noto Sans"/>
        </w:rPr>
        <w:t>SRC-25 DELTA_PATCH contract — se dichiarato, patch include base ref, operation, sourcePath e revision/sequence deterministici.</w:t>
      </w:r>
    </w:p>
    <w:p>
      <w:pPr>
        <w:pStyle w:val="ListBullet"/>
      </w:pPr>
      <w:r>
        <w:rPr>
          <w:rFonts w:ascii="Noto Sans" w:hAnsi="Noto Sans"/>
        </w:rPr>
        <w:t>SRC-26 PROPERTY_EVENTS contract — se dichiarato, ordering, eventId/sequence e retention sono verificabili e catch-up è documentato.</w:t>
      </w:r>
    </w:p>
    <w:p>
      <w:pPr>
        <w:pStyle w:val="ListBullet"/>
      </w:pPr>
      <w:r>
        <w:rPr>
          <w:rFonts w:ascii="Noto Sans" w:hAnsi="Noto Sans"/>
        </w:rPr>
        <w:t>SRC-27 GIS feature profile — feature ID, CRS, geometry type e schema sono osservabili; WMS non è usato come unica fonte dati feature.</w:t>
      </w:r>
    </w:p>
    <w:p>
      <w:pPr>
        <w:pStyle w:val="ListBullet"/>
      </w:pPr>
      <w:r>
        <w:rPr>
          <w:rFonts w:ascii="Noto Sans" w:hAnsi="Noto Sans"/>
        </w:rPr>
        <w:t>SRC-28 Southbound boundary — endpoint/redirect non permette destinazioni arbitrarie fuori registry/allowlist.</w:t>
      </w:r>
    </w:p>
    <w:p>
      <w:pPr>
        <w:pStyle w:val="ListBullet"/>
      </w:pPr>
      <w:r>
        <w:rPr>
          <w:rFonts w:ascii="Noto Sans" w:hAnsi="Noto Sans"/>
        </w:rPr>
        <w:t>SRC-29 Durable ACK separation — nessun HTTP status della Source API viene documentato come Durable ACK OUF.</w:t>
      </w:r>
    </w:p>
    <w:p>
      <w:pPr>
        <w:pStyle w:val="ListBullet"/>
      </w:pPr>
      <w:r>
        <w:rPr>
          <w:rFonts w:ascii="Noto Sans" w:hAnsi="Noto Sans"/>
        </w:rPr>
        <w:t>SRC-30 High-frequency gap recovery — token scaduto/gap produce errore machine-readable e percorso di recovery.</w:t>
      </w:r>
    </w:p>
    <w:p>
      <w:pPr>
        <w:pStyle w:val="Heading1"/>
        <w:rPr/>
      </w:pPr>
      <w:r>
        <w:rPr>
          <w:rFonts w:eastAsia="Noto Sans" w:ascii="Noto Sans" w:hAnsi="Noto Sans"/>
          <w:sz w:val="18"/>
        </w:rPr>
        <w:t>28. Anti-pattern esplicitamente vietati</w:t>
      </w:r>
    </w:p>
    <w:tbl>
      <w:tblPr>
        <w:tblStyle w:val="TableGrid"/>
        <w:tblW w:w="9638" w:type="dxa"/>
        <w:jc w:val="center"/>
        <w:tblInd w:w="0" w:type="dxa"/>
        <w:tblLayout w:type="fixed"/>
        <w:tblCellMar>
          <w:top w:w="70" w:type="dxa"/>
          <w:left w:w="90" w:type="dxa"/>
          <w:bottom w:w="70" w:type="dxa"/>
          <w:right w:w="90" w:type="dxa"/>
        </w:tblCellMar>
        <w:tblLook w:firstRow="1" w:noVBand="1" w:lastRow="0" w:firstColumn="1" w:lastColumn="0" w:noHBand="0" w:val="04a0"/>
      </w:tblPr>
      <w:tblGrid>
        <w:gridCol w:w="4819"/>
        <w:gridCol w:w="4818"/>
      </w:tblGrid>
      <w:tr>
        <w:trPr>
          <w:tblHeader w:val="true"/>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vAlign w:val="center"/>
          </w:tcPr>
          <w:p>
            <w:pPr>
              <w:pStyle w:val="Normal"/>
              <w:widowControl/>
              <w:spacing w:before="0" w:after="120"/>
              <w:jc w:val="center"/>
              <w:rPr>
                <w:rFonts w:cs=""/>
                <w:kern w:val="0"/>
                <w:szCs w:val="22"/>
                <w:lang w:val="en-US" w:eastAsia="en-US" w:bidi="ar-SA"/>
              </w:rPr>
            </w:pPr>
            <w:r>
              <w:rPr>
                <w:rFonts w:eastAsia="Noto Sans" w:cs="" w:ascii="Noto Sans" w:hAnsi="Noto Sans"/>
                <w:b/>
                <w:color w:val="FFFFFF"/>
                <w:kern w:val="0"/>
                <w:sz w:val="17"/>
                <w:szCs w:val="22"/>
                <w:lang w:val="en-US" w:eastAsia="en-US" w:bidi="ar-SA"/>
              </w:rPr>
              <w:t>Anti-pattern</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vAlign w:val="center"/>
          </w:tcPr>
          <w:p>
            <w:pPr>
              <w:pStyle w:val="Normal"/>
              <w:widowControl/>
              <w:spacing w:before="0" w:after="120"/>
              <w:jc w:val="center"/>
              <w:rPr>
                <w:rFonts w:cs=""/>
                <w:kern w:val="0"/>
                <w:szCs w:val="22"/>
                <w:lang w:val="en-US" w:eastAsia="en-US" w:bidi="ar-SA"/>
              </w:rPr>
            </w:pPr>
            <w:r>
              <w:rPr>
                <w:rFonts w:eastAsia="Noto Sans" w:cs="" w:ascii="Noto Sans" w:hAnsi="Noto Sans"/>
                <w:b/>
                <w:color w:val="FFFFFF"/>
                <w:kern w:val="0"/>
                <w:sz w:val="17"/>
                <w:szCs w:val="22"/>
                <w:lang w:val="en-US" w:eastAsia="en-US" w:bidi="ar-SA"/>
              </w:rPr>
              <w:t>Perché non è accettabile</w:t>
            </w:r>
          </w:p>
        </w:tc>
      </w:tr>
      <w:tr>
        <w:trPr>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Verticale che produce classi/URI OUF</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Sposta la semantica nella sorgente e crea accoppiamento.</w:t>
            </w:r>
          </w:p>
        </w:tc>
      </w:tr>
      <w:tr>
        <w:trPr>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Un unico schema “smart city” per tutti i procedimenti</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Perde struttura e provenance del dominio sorgente.</w:t>
            </w:r>
          </w:p>
        </w:tc>
      </w:tr>
      <w:tr>
        <w:trPr>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Push obbligatorio verso OUF</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Rende il verticale dipendente dalla piattaforma.</w:t>
            </w:r>
          </w:p>
        </w:tc>
      </w:tr>
      <w:tr>
        <w:trPr>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Solo snapshot completo a ogni ciclo</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Inefficiente e fragile per sincronizzazione ordinaria.</w:t>
            </w:r>
          </w:p>
        </w:tc>
      </w:tr>
      <w:tr>
        <w:trPr>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Solo timestamp senza tie-breaker</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Può perdere modifiche concorrenti con stessa granularità temporale.</w:t>
            </w:r>
          </w:p>
        </w:tc>
      </w:tr>
      <w:tr>
        <w:trPr>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Scaricare tutto e filtrare dopo</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Fa transitare dati non ammessi; viola il principio di minimizzazione.</w:t>
            </w:r>
          </w:p>
        </w:tc>
      </w:tr>
      <w:tr>
        <w:trPr>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ID riutilizzati</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Compromette provenance e reconciliation.</w:t>
            </w:r>
          </w:p>
        </w:tc>
      </w:tr>
      <w:tr>
        <w:trPr>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Schema non versionato</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Rende impossibile sapere come interpretare storicamente i record.</w:t>
            </w:r>
          </w:p>
        </w:tc>
      </w:tr>
    </w:tbl>
    <w:p>
      <w:pPr>
        <w:pStyle w:val="Normal"/>
        <w:rPr/>
      </w:pPr>
      <w:r>
        <w:rPr>
          <w:rFonts w:ascii="Noto Sans" w:hAnsi="Noto Sans"/>
        </w:rPr>
      </w:r>
    </w:p>
    <w:p>
      <w:pPr/>
      <w:r>
        <w:rPr>
          <w:rFonts w:ascii="Noto Sans" w:hAnsi="Noto Sans"/>
        </w:rPr>
        <w:t>• Auto-classificare i dati con DataAccessLabel OUF nel verticale — introduce accoppiamento con governance OUF.</w:t>
      </w:r>
    </w:p>
    <w:p>
      <w:pPr/>
      <w:r>
        <w:rPr>
          <w:rFonts w:ascii="Noto Sans" w:hAnsi="Noto Sans"/>
        </w:rPr>
        <w:t>• Produrre UrbanObjectId o decidere merge/authority nel verticale — viola il confine source-object/canonical object.</w:t>
      </w:r>
    </w:p>
    <w:p>
      <w:pPr/>
      <w:r>
        <w:rPr>
          <w:rFonts w:ascii="Noto Sans" w:hAnsi="Noto Sans"/>
        </w:rPr>
        <w:t>• Usare WMS come unica API di acquisizione feature — rende non osservabile il dato strutturato.</w:t>
      </w:r>
    </w:p>
    <w:p>
      <w:pPr/>
      <w:r>
        <w:rPr>
          <w:rFonts w:ascii="Noto Sans" w:hAnsi="Noto Sans"/>
        </w:rPr>
        <w:t>• Dichiarare DELTA_PATCH senza base reference/path semantics stabili — rende il replay non deterministico.</w:t>
      </w:r>
    </w:p>
    <w:p>
      <w:pPr/>
      <w:r>
        <w:rPr>
          <w:rFonts w:ascii="Noto Sans" w:hAnsi="Noto Sans"/>
        </w:rPr>
        <w:t>• Dichiarare PROPERTY_EVENTS senza ordering/retention/catch-up — rende il consumer non recuperabile.</w:t>
      </w:r>
    </w:p>
    <w:p>
      <w:pPr/>
      <w:r>
        <w:rPr>
          <w:rFonts w:ascii="Noto Sans" w:hAnsi="Noto Sans"/>
        </w:rPr>
        <w:t>• Cambiare schema di un type senza fingerprint/version scope — impedisce Preflight e isolamento del drift.</w:t>
      </w:r>
    </w:p>
    <w:p>
      <w:pPr/>
      <w:r>
        <w:rPr>
          <w:rFonts w:ascii="Noto Sans" w:hAnsi="Noto Sans"/>
        </w:rPr>
        <w:t>• Accettare URL upstream arbitrari dal client — apre SSRF/egress bypass del southbound Gateway.</w:t>
      </w:r>
    </w:p>
    <w:p>
      <w:pPr>
        <w:pStyle w:val="Heading1"/>
        <w:rPr/>
      </w:pPr>
      <w:r>
        <w:rPr>
          <w:rFonts w:eastAsia="Noto Sans" w:ascii="Noto Sans" w:hAnsi="Noto Sans"/>
          <w:sz w:val="18"/>
        </w:rPr>
        <w:t>29. Checklist per il fornitore del verticale</w:t>
      </w:r>
    </w:p>
    <w:p>
      <w:pPr>
        <w:pStyle w:val="ListBullet"/>
        <w:numPr>
          <w:ilvl w:val="0"/>
          <w:numId w:val="1"/>
        </w:numPr>
        <w:rPr/>
      </w:pPr>
      <w:r>
        <w:rPr>
          <w:rFonts w:eastAsia="Noto Sans" w:ascii="Noto Sans" w:hAnsi="Noto Sans"/>
          <w:sz w:val="18"/>
        </w:rPr>
        <w:t>API esclusivamente read-only per l’integrazione Smart City.</w:t>
      </w:r>
    </w:p>
    <w:p>
      <w:pPr>
        <w:pStyle w:val="ListBullet"/>
        <w:numPr>
          <w:ilvl w:val="0"/>
          <w:numId w:val="1"/>
        </w:numPr>
        <w:rPr/>
      </w:pPr>
      <w:r>
        <w:rPr>
          <w:rFonts w:eastAsia="Noto Sans" w:ascii="Noto Sans" w:hAnsi="Noto Sans"/>
          <w:sz w:val="18"/>
        </w:rPr>
        <w:t>Catalogo completo delle tipologie/procedimenti e relativi schemi.</w:t>
      </w:r>
    </w:p>
    <w:p>
      <w:pPr>
        <w:pStyle w:val="ListBullet"/>
        <w:numPr>
          <w:ilvl w:val="0"/>
          <w:numId w:val="1"/>
        </w:numPr>
        <w:rPr/>
      </w:pPr>
      <w:r>
        <w:rPr>
          <w:rFonts w:eastAsia="Noto Sans" w:ascii="Noto Sans" w:hAnsi="Noto Sans"/>
          <w:sz w:val="18"/>
        </w:rPr>
        <w:t>Elenco degli stati e delle codifiche native.</w:t>
      </w:r>
    </w:p>
    <w:p>
      <w:pPr>
        <w:pStyle w:val="ListBullet"/>
        <w:numPr>
          <w:ilvl w:val="0"/>
          <w:numId w:val="1"/>
        </w:numPr>
        <w:rPr/>
      </w:pPr>
      <w:r>
        <w:rPr>
          <w:rFonts w:eastAsia="Noto Sans" w:ascii="Noto Sans" w:hAnsi="Noto Sans"/>
          <w:sz w:val="18"/>
        </w:rPr>
        <w:t>Endpoint snapshot paginato e restartable.</w:t>
      </w:r>
    </w:p>
    <w:p>
      <w:pPr>
        <w:pStyle w:val="ListBullet"/>
        <w:numPr>
          <w:ilvl w:val="0"/>
          <w:numId w:val="1"/>
        </w:numPr>
        <w:rPr/>
      </w:pPr>
      <w:r>
        <w:rPr>
          <w:rFonts w:eastAsia="Noto Sans" w:ascii="Noto Sans" w:hAnsi="Noto Sans"/>
          <w:sz w:val="18"/>
        </w:rPr>
        <w:t>Change feed/change token o meccanismo incrementale equivalente.</w:t>
      </w:r>
    </w:p>
    <w:p>
      <w:pPr>
        <w:pStyle w:val="ListBullet"/>
        <w:numPr>
          <w:ilvl w:val="0"/>
          <w:numId w:val="1"/>
        </w:numPr>
        <w:rPr/>
      </w:pPr>
      <w:r>
        <w:rPr>
          <w:rFonts w:eastAsia="Noto Sans" w:ascii="Noto Sans" w:hAnsi="Noto Sans"/>
          <w:sz w:val="18"/>
        </w:rPr>
        <w:t>Tombstone/cancellazioni/rettifiche osservabili.</w:t>
      </w:r>
    </w:p>
    <w:p>
      <w:pPr>
        <w:pStyle w:val="ListBullet"/>
        <w:numPr>
          <w:ilvl w:val="0"/>
          <w:numId w:val="1"/>
        </w:numPr>
        <w:rPr/>
      </w:pPr>
      <w:r>
        <w:rPr>
          <w:rFonts w:eastAsia="Noto Sans" w:ascii="Noto Sans" w:hAnsi="Noto Sans"/>
          <w:sz w:val="18"/>
        </w:rPr>
        <w:t>Field projection applicabile a snapshot e delta.</w:t>
      </w:r>
    </w:p>
    <w:p>
      <w:pPr>
        <w:pStyle w:val="ListBullet"/>
        <w:numPr>
          <w:ilvl w:val="0"/>
          <w:numId w:val="1"/>
        </w:numPr>
        <w:rPr/>
      </w:pPr>
      <w:r>
        <w:rPr>
          <w:rFonts w:eastAsia="Noto Sans" w:ascii="Noto Sans" w:hAnsi="Noto Sans"/>
          <w:sz w:val="18"/>
        </w:rPr>
        <w:t>Identificatori stabili e non riciclati.</w:t>
      </w:r>
    </w:p>
    <w:p>
      <w:pPr>
        <w:pStyle w:val="ListBullet"/>
        <w:numPr>
          <w:ilvl w:val="0"/>
          <w:numId w:val="1"/>
        </w:numPr>
        <w:rPr/>
      </w:pPr>
      <w:r>
        <w:rPr>
          <w:rFonts w:eastAsia="Noto Sans" w:ascii="Noto Sans" w:hAnsi="Noto Sans"/>
          <w:sz w:val="18"/>
        </w:rPr>
        <w:t>lastModified/revision affidabili.</w:t>
      </w:r>
    </w:p>
    <w:p>
      <w:pPr>
        <w:pStyle w:val="ListBullet"/>
        <w:numPr>
          <w:ilvl w:val="0"/>
          <w:numId w:val="1"/>
        </w:numPr>
        <w:rPr/>
      </w:pPr>
      <w:r>
        <w:rPr>
          <w:rFonts w:eastAsia="Noto Sans" w:ascii="Noto Sans" w:hAnsi="Noto Sans"/>
          <w:sz w:val="18"/>
        </w:rPr>
        <w:t>OpenAPI 3.x e schemi versionati.</w:t>
      </w:r>
    </w:p>
    <w:p>
      <w:pPr>
        <w:pStyle w:val="ListBullet"/>
        <w:numPr>
          <w:ilvl w:val="0"/>
          <w:numId w:val="1"/>
        </w:numPr>
        <w:rPr/>
      </w:pPr>
      <w:r>
        <w:rPr>
          <w:rFonts w:eastAsia="Noto Sans" w:ascii="Noto Sans" w:hAnsi="Noto Sans"/>
          <w:sz w:val="18"/>
        </w:rPr>
        <w:t>OAuth2/M2M o meccanismo approvato, TLS e audit.</w:t>
      </w:r>
    </w:p>
    <w:p>
      <w:pPr>
        <w:pStyle w:val="ListBullet"/>
        <w:numPr>
          <w:ilvl w:val="0"/>
          <w:numId w:val="1"/>
        </w:numPr>
        <w:rPr/>
      </w:pPr>
      <w:r>
        <w:rPr>
          <w:rFonts w:eastAsia="Noto Sans" w:ascii="Noto Sans" w:hAnsi="Noto Sans"/>
          <w:sz w:val="18"/>
        </w:rPr>
        <w:t>Nessuna semantica OUF incorporata nel verticale.</w:t>
      </w:r>
    </w:p>
    <w:p>
      <w:pPr>
        <w:pStyle w:val="ListBullet"/>
        <w:numPr>
          <w:ilvl w:val="0"/>
          <w:numId w:val="1"/>
        </w:numPr>
        <w:rPr/>
      </w:pPr>
      <w:r>
        <w:rPr>
          <w:rFonts w:eastAsia="Noto Sans" w:ascii="Noto Sans" w:hAnsi="Noto Sans"/>
          <w:sz w:val="18"/>
        </w:rPr>
        <w:t>Coerenza garantita tra snapshot iniziale e successiva sincronizzazione incrementale.</w:t>
      </w:r>
    </w:p>
    <w:p>
      <w:pPr>
        <w:pStyle w:val="ListBullet"/>
        <w:numPr>
          <w:ilvl w:val="0"/>
          <w:numId w:val="1"/>
        </w:numPr>
        <w:rPr/>
      </w:pPr>
      <w:r>
        <w:rPr>
          <w:rFonts w:eastAsia="Noto Sans" w:ascii="Noto Sans" w:hAnsi="Noto Sans"/>
          <w:sz w:val="18"/>
        </w:rPr>
        <w:t>Riaperture o altre modifiche che fanno uscire un record dal perimetro restano osservabili nel delta.</w:t>
      </w:r>
    </w:p>
    <w:p>
      <w:pPr>
        <w:pStyle w:val="ListBullet"/>
        <w:numPr>
          <w:ilvl w:val="0"/>
          <w:numId w:val="1"/>
        </w:numPr>
        <w:rPr/>
      </w:pPr>
      <w:r>
        <w:rPr>
          <w:rFonts w:eastAsia="Noto Sans" w:ascii="Noto Sans" w:hAnsi="Noto Sans"/>
          <w:sz w:val="18"/>
        </w:rPr>
        <w:t>Finestra delta rileggibile dopo errore e compatibile con elaborazione idempotente.</w:t>
      </w:r>
    </w:p>
    <w:p>
      <w:pPr>
        <w:pStyle w:val="ListBullet"/>
        <w:numPr>
          <w:ilvl w:val="0"/>
          <w:numId w:val="1"/>
        </w:numPr>
        <w:rPr/>
      </w:pPr>
      <w:r>
        <w:rPr>
          <w:rFonts w:eastAsia="Noto Sans" w:ascii="Noto Sans" w:hAnsi="Noto Sans"/>
          <w:sz w:val="18"/>
        </w:rPr>
        <w:t>SchemaVersion o schemaFingerprint rilevabile anche per modifiche compatibili e campi non inclusi nella projection ACTIVE.</w:t>
      </w:r>
    </w:p>
    <w:p>
      <w:pPr>
        <w:pStyle w:val="ListBullet"/>
        <w:numPr>
          <w:ilvl w:val="0"/>
          <w:numId w:val="1"/>
        </w:numPr>
        <w:rPr/>
      </w:pPr>
      <w:r>
        <w:rPr>
          <w:rFonts w:eastAsia="Noto Sans" w:ascii="Noto Sans" w:hAnsi="Noto Sans"/>
          <w:sz w:val="18"/>
        </w:rPr>
        <w:t>Breaking change introdotte con nuova versione e compatibility window quando tecnicamente possibile.</w:t>
      </w:r>
    </w:p>
    <w:p>
      <w:pPr>
        <w:pStyle w:val="ListBullet"/>
        <w:numPr>
          <w:ilvl w:val="0"/>
          <w:numId w:val="1"/>
        </w:numPr>
        <w:rPr/>
      </w:pPr>
      <w:r>
        <w:rPr>
          <w:rFonts w:eastAsia="Noto Sans" w:ascii="Noto Sans" w:hAnsi="Noto Sans"/>
          <w:sz w:val="18"/>
        </w:rPr>
        <w:t>Contratto compatibile con schema surveillance PULL senza webhook obbligatori.</w:t>
      </w:r>
    </w:p>
    <w:p>
      <w:pPr>
        <w:pStyle w:val="ListBullet"/>
        <w:numPr>
          <w:ilvl w:val="0"/>
          <w:numId w:val="1"/>
        </w:numPr>
        <w:rPr/>
      </w:pPr>
      <w:r>
        <w:rPr>
          <w:rFonts w:eastAsia="Noto Sans" w:ascii="Noto Sans" w:hAnsi="Noto Sans"/>
          <w:sz w:val="18"/>
        </w:rPr>
        <w:t>Supporto a richieste concorrenti di discovery, schema check, snapshot, delta e diagnostica entro limiti dichiarati.</w:t>
      </w:r>
    </w:p>
    <w:p>
      <w:pPr>
        <w:pStyle w:val="ListBullet"/>
        <w:numPr>
          <w:ilvl w:val="0"/>
          <w:numId w:val="1"/>
        </w:numPr>
        <w:rPr/>
      </w:pPr>
      <w:r>
        <w:rPr>
          <w:rFonts w:eastAsia="Noto Sans" w:ascii="Noto Sans" w:hAnsi="Noto Sans"/>
          <w:sz w:val="18"/>
        </w:rPr>
        <w:t>Autenticazione M2M basata su service identity OUF e indipendente dalla specifica topologia IAM della piattaforma.</w:t>
      </w:r>
    </w:p>
    <w:p>
      <w:pPr/>
      <w:r>
        <w:rPr>
          <w:rFonts w:ascii="Noto Sans" w:hAnsi="Noto Sans"/>
        </w:rPr>
        <w:t>• Il contratto è espresso in termini generici di type/collection/record; eventuali procedimenti/stati conclusivi sono profili di dominio.</w:t>
      </w:r>
    </w:p>
    <w:p>
      <w:pPr/>
      <w:r>
        <w:rPr>
          <w:rFonts w:ascii="Noto Sans" w:hAnsi="Noto Sans"/>
        </w:rPr>
        <w:t>• sourceObjectId stabile per record/feature/asset/observation, distinto dall'identità del dataset.</w:t>
      </w:r>
    </w:p>
    <w:p>
      <w:pPr/>
      <w:r>
        <w:rPr>
          <w:rFonts w:ascii="Noto Sans" w:hAnsi="Noto Sans"/>
        </w:rPr>
        <w:t>• Preflight leggero tramite schemaVersion/fingerprint e preferibilmente catalogVersion/ETag.</w:t>
      </w:r>
    </w:p>
    <w:p>
      <w:pPr/>
      <w:r>
        <w:rPr>
          <w:rFonts w:ascii="Noto Sans" w:hAnsi="Noto Sans"/>
        </w:rPr>
        <w:t>• Temporalità native documentate; nessun campo di validità inventato solo per OUF.</w:t>
      </w:r>
    </w:p>
    <w:p>
      <w:pPr/>
      <w:r>
        <w:rPr>
          <w:rFonts w:ascii="Noto Sans" w:hAnsi="Noto Sans"/>
        </w:rPr>
        <w:t>• FULL_SNAPSHOT sempre supportabile; DELTA_PATCH/PROPERTY_EVENTS dichiarati solo se realmente deterministici.</w:t>
      </w:r>
    </w:p>
    <w:p>
      <w:pPr/>
      <w:r>
        <w:rPr>
          <w:rFonts w:ascii="Noto Sans" w:hAnsi="Noto Sans"/>
        </w:rPr>
        <w:t>• GIS: CRS/geometry/schema documentati; OGC API - Features preferito per nuove feature API, WFS supportato.</w:t>
      </w:r>
    </w:p>
    <w:p>
      <w:pPr/>
      <w:r>
        <w:rPr>
          <w:rFonts w:ascii="Noto Sans" w:hAnsi="Noto Sans"/>
        </w:rPr>
        <w:t>• Verticali ad alta frequenza: ordering/token, retention e recovery gap documentati.</w:t>
      </w:r>
    </w:p>
    <w:p>
      <w:pPr/>
      <w:r>
        <w:rPr>
          <w:rFonts w:ascii="Noto Sans" w:hAnsi="Noto Sans"/>
        </w:rPr>
        <w:t>• Nessun DataAccessLabel, SemanticReference, AuthorityPolicy o UrbanObjectId richiesto/prodotto dalla Source API.</w:t>
      </w:r>
    </w:p>
    <w:p>
      <w:pPr/>
      <w:r>
        <w:rPr>
          <w:rFonts w:ascii="Noto Sans" w:hAnsi="Noto Sans"/>
        </w:rPr>
        <w:t>• Endpoint e redirect compatibili con il southbound registry/egress allowlist.</w:t>
      </w:r>
    </w:p>
    <w:p>
      <w:pPr>
        <w:pStyle w:val="Heading1"/>
        <w:rPr/>
      </w:pPr>
      <w:r>
        <w:rPr>
          <w:rFonts w:eastAsia="Noto Sans" w:ascii="Noto Sans" w:hAnsi="Noto Sans"/>
          <w:sz w:val="18"/>
        </w:rPr>
        <w:t>30. Decisioni di indirizzo finali</w:t>
      </w:r>
    </w:p>
    <w:p>
      <w:pPr>
        <w:pStyle w:val="BodyText"/>
        <w:rPr/>
      </w:pPr>
      <w:r>
        <w:rPr>
          <w:rFonts w:ascii="Noto Sans" w:hAnsi="Noto Sans"/>
        </w:rPr>
        <w:t>Baseline v2.3. Le decisioni seguenti costituiscono l'indirizzo corrente per tutte le Source API OUF. SUAP, SUO e SUE restano profili applicativi normativi/esemplificativi; il core dello standard è general-purpose. La cronologia di progetto non modifica gli obblighi DEVE/DOVREBBE/PUÒ.</w:t>
      </w:r>
    </w:p>
    <w:tbl>
      <w:tblPr>
        <w:tblStyle w:val="TableGrid"/>
        <w:tblW w:w="9638" w:type="dxa"/>
        <w:jc w:val="center"/>
        <w:tblInd w:w="0" w:type="dxa"/>
        <w:tblLayout w:type="fixed"/>
        <w:tblCellMar>
          <w:top w:w="70" w:type="dxa"/>
          <w:left w:w="90" w:type="dxa"/>
          <w:bottom w:w="70" w:type="dxa"/>
          <w:right w:w="90" w:type="dxa"/>
        </w:tblCellMar>
        <w:tblLook w:firstRow="1" w:noVBand="1" w:lastRow="0" w:firstColumn="1" w:lastColumn="0" w:noHBand="0" w:val="04a0"/>
      </w:tblPr>
      <w:tblGrid>
        <w:gridCol w:w="4819"/>
        <w:gridCol w:w="4818"/>
      </w:tblGrid>
      <w:tr>
        <w:trPr>
          <w:tblHeader w:val="true"/>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vAlign w:val="center"/>
          </w:tcPr>
          <w:p>
            <w:pPr>
              <w:pStyle w:val="Normal"/>
              <w:widowControl/>
              <w:spacing w:before="0" w:after="120"/>
              <w:jc w:val="center"/>
              <w:rPr>
                <w:rFonts w:cs=""/>
                <w:kern w:val="0"/>
                <w:szCs w:val="22"/>
                <w:lang w:val="en-US" w:eastAsia="en-US" w:bidi="ar-SA"/>
              </w:rPr>
            </w:pPr>
            <w:r>
              <w:rPr>
                <w:rFonts w:eastAsia="Noto Sans" w:cs="" w:ascii="Noto Sans" w:hAnsi="Noto Sans"/>
                <w:b/>
                <w:color w:val="FFFFFF"/>
                <w:kern w:val="0"/>
                <w:sz w:val="17"/>
                <w:szCs w:val="22"/>
                <w:lang w:val="en-US" w:eastAsia="en-US" w:bidi="ar-SA"/>
              </w:rPr>
              <w:t>Decisione</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vAlign w:val="center"/>
          </w:tcPr>
          <w:p>
            <w:pPr>
              <w:pStyle w:val="Normal"/>
              <w:widowControl/>
              <w:spacing w:before="0" w:after="120"/>
              <w:jc w:val="center"/>
              <w:rPr>
                <w:rFonts w:cs=""/>
                <w:kern w:val="0"/>
                <w:szCs w:val="22"/>
                <w:lang w:val="en-US" w:eastAsia="en-US" w:bidi="ar-SA"/>
              </w:rPr>
            </w:pPr>
            <w:r>
              <w:rPr>
                <w:rFonts w:eastAsia="Noto Sans" w:cs="" w:ascii="Noto Sans" w:hAnsi="Noto Sans"/>
                <w:b/>
                <w:color w:val="FFFFFF"/>
                <w:kern w:val="0"/>
                <w:sz w:val="17"/>
                <w:szCs w:val="22"/>
                <w:lang w:val="en-US" w:eastAsia="en-US" w:bidi="ar-SA"/>
              </w:rPr>
              <w:t>Esito</w:t>
            </w:r>
          </w:p>
        </w:tc>
      </w:tr>
      <w:tr>
        <w:trPr>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Pattern integrazione sorgenti</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PULL-first.</w:t>
            </w:r>
          </w:p>
        </w:tc>
      </w:tr>
      <w:tr>
        <w:trPr>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Perimetro bootstrap</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r>
              <w:rPr>
                <w:rFonts w:ascii="Noto Sans" w:hAnsi="Noto Sans"/>
                <w:sz w:val="17"/>
              </w:rPr>
              <w:t>Tutte le istanze del perimetro definito dall’Extraction Profile; nei profili SUAP/SUE/SUO può coincidere con le istanze concluse secondo stati nativi selezionati.</w:t>
            </w:r>
          </w:p>
        </w:tc>
      </w:tr>
      <w:tr>
        <w:trPr>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Modello del verticale</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Dati grezzi e metadati tecnici nativi.</w:t>
            </w:r>
          </w:p>
        </w:tc>
      </w:tr>
      <w:tr>
        <w:trPr>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Semantica Smart City</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Interamente nell’onboarding/semantic layer della piattaforma.</w:t>
            </w:r>
          </w:p>
        </w:tc>
      </w:tr>
      <w:tr>
        <w:trPr>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Classificazione campi</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Gestita nel modulo Source Onboarding; non nel verticale.</w:t>
            </w:r>
          </w:p>
        </w:tc>
      </w:tr>
      <w:tr>
        <w:trPr>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Extraction Profile</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Prodotto e approvato dalla piattaforma; applicato tecnicamente tramite filtri/projection.</w:t>
            </w:r>
          </w:p>
        </w:tc>
      </w:tr>
      <w:tr>
        <w:trPr>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AI onboarding</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Evoluzione futura del modulo di onboarding via MCP, con decisione finale umana.</w:t>
            </w:r>
          </w:p>
        </w:tc>
      </w:tr>
      <w:tr>
        <w:trPr>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Gateway</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Canale southbound obbligatorio; applica configurazioni tecniche, non prende decisioni semantiche.</w:t>
            </w:r>
          </w:p>
        </w:tc>
      </w:tr>
      <w:tr>
        <w:trPr>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Envelope OUF</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Creato dall’Adapter dopo la risposta nativa.</w:t>
            </w:r>
          </w:p>
        </w:tc>
      </w:tr>
      <w:tr>
        <w:trPr>
          <w:cantSplit w:val="true"/>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Delta</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2F2F2"/>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Change token preferito; fallback documentati ammessi.</w:t>
            </w:r>
          </w:p>
        </w:tc>
      </w:tr>
      <w:tr>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Ambito dello standard</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Profilo OUF Source API comune a SUAP/SUO/SUE e ai futuri verticali; standardizza comportamenti e garanzie, non l’implementazione interna.</w:t>
            </w:r>
          </w:p>
        </w:tc>
      </w:tr>
      <w:tr>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Garanzie runtime minime</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Continuità snapshot→delta, rilettura sicura della finestra incrementale e visibilità delle modifiche che fanno uscire un record dal perimetro.</w:t>
            </w:r>
          </w:p>
        </w:tc>
      </w:tr>
      <w:tr>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Schema surveillance</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PULL periodico su discovery/catalogo; una variazione è rilevabile tramite schemaVersion/fingerprint anche se non compare nei dati proiettati.</w:t>
            </w:r>
          </w:p>
        </w:tc>
      </w:tr>
      <w:tr>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Breaking change</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Nuova versione distinguibile e transizione governata; compatibility window raccomandata.</w:t>
            </w:r>
          </w:p>
        </w:tc>
      </w:tr>
      <w:tr>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Concorrenza</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Più consumer/letture OUF concorrenti sono previsti; cursor e snapshot restano isolati e deterministici.</w:t>
            </w:r>
          </w:p>
        </w:tc>
      </w:tr>
      <w:tr>
        <w:trPr/>
        <w:tc>
          <w:tcPr>
            <w:tcW w:w="4819"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M2M</w:t>
            </w:r>
          </w:p>
        </w:tc>
        <w:tc>
          <w:tcPr>
            <w:tcW w:w="481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pPr>
              <w:pStyle w:val="Normal"/>
              <w:widowControl/>
              <w:spacing w:before="0" w:after="120"/>
              <w:rPr>
                <w:rFonts w:cs=""/>
                <w:kern w:val="0"/>
                <w:szCs w:val="22"/>
                <w:lang w:val="en-US" w:eastAsia="en-US" w:bidi="ar-SA"/>
              </w:rPr>
            </w:pPr>
            <w:r>
              <w:rPr>
                <w:rFonts w:eastAsia="Noto Sans" w:cs="" w:ascii="Noto Sans" w:hAnsi="Noto Sans"/>
                <w:kern w:val="0"/>
                <w:sz w:val="17"/>
                <w:szCs w:val="22"/>
                <w:lang w:val="en-US" w:eastAsia="en-US" w:bidi="ar-SA"/>
              </w:rPr>
              <w:t>Service identity OUF con meccanismo approvato; Client Credentials è riferimento, non vincolo esclusivo.</w:t>
            </w:r>
          </w:p>
        </w:tc>
      </w:tr>
    </w:tbl>
    <w:p>
      <w:pPr>
        <w:pStyle w:val="Normal"/>
        <w:rPr/>
      </w:pPr>
      <w:r>
        <w:rPr>
          <w:rFonts w:ascii="Noto Sans" w:hAnsi="Noto Sans"/>
        </w:rPr>
      </w:r>
    </w:p>
    <w:tbl>
      <w:tblPr>
        <w:tblStyle w:val="TableGrid"/>
        <w:tblW w:w="9638" w:type="dxa"/>
        <w:jc w:val="left"/>
        <w:tblInd w:w="-18" w:type="dxa"/>
        <w:tblLayout w:type="fixed"/>
        <w:tblCellMar>
          <w:top w:w="70" w:type="dxa"/>
          <w:left w:w="90" w:type="dxa"/>
          <w:bottom w:w="70" w:type="dxa"/>
          <w:right w:w="90" w:type="dxa"/>
        </w:tblCellMar>
        <w:tblLook w:firstRow="1" w:noVBand="1" w:lastRow="0" w:firstColumn="1" w:lastColumn="0" w:noHBand="0" w:val="04a0"/>
      </w:tblPr>
      <w:tblGrid>
        <w:gridCol w:w="9638"/>
      </w:tblGrid>
      <w:tr>
        <w:trPr/>
        <w:tc>
          <w:tcPr>
            <w:tcW w:w="9638" w:type="dxa"/>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pPr>
              <w:pStyle w:val="Normal"/>
              <w:widowControl/>
              <w:spacing w:before="0" w:after="120"/>
              <w:rPr>
                <w:rFonts w:cs=""/>
                <w:kern w:val="0"/>
                <w:szCs w:val="22"/>
                <w:lang w:val="en-US" w:eastAsia="en-US" w:bidi="ar-SA"/>
              </w:rPr>
            </w:pPr>
            <w:r>
              <w:rPr>
                <w:rFonts w:eastAsia="Noto Sans" w:cs="" w:ascii="Noto Sans" w:hAnsi="Noto Sans"/>
                <w:b/>
                <w:color w:val="FFFFFF"/>
                <w:kern w:val="0"/>
                <w:sz w:val="17"/>
                <w:szCs w:val="22"/>
                <w:lang w:val="en-US" w:eastAsia="en-US" w:bidi="ar-SA"/>
              </w:rPr>
              <w:t>Gate di conformità</w:t>
              <w:br/>
              <w:t>Una Source API è conforme a questo indirizzo quando consente discovery tecnico, snapshot completo del perimetro, field projection, sincronizzazione incrementale affidabile, osservazione di cancellazioni/rettifiche e delle uscite dal perimetro, versionamento e sorveglianza degli schemi, sicurezza M2M portabile e concorrenza controllata, garantendo continuità tra bootstrap e delta e senza incorporare semantica OUF.</w:t>
            </w:r>
          </w:p>
        </w:tc>
      </w:tr>
    </w:tbl>
    <w:p>
      <w:pPr>
        <w:pStyle w:val="Normal"/>
        <w:widowControl/>
        <w:bidi w:val="0"/>
        <w:spacing w:lineRule="auto" w:line="276" w:before="0" w:after="120"/>
        <w:jc w:val="left"/>
        <w:rPr/>
      </w:pPr>
      <w:r>
        <w:rPr>
          <w:rFonts w:ascii="Noto Sans" w:hAnsi="Noto Sans"/>
        </w:rPr>
      </w:r>
    </w:p>
    <w:p>
      <w:pPr>
        <w:pStyle w:val="Heading1"/>
      </w:pPr>
      <w:r>
        <w:rPr>
          <w:rFonts w:ascii="Noto Sans" w:hAnsi="Noto Sans"/>
        </w:rPr>
        <w:t>31. Cross-Module Alignment Freeze v2.3 — dichiarazione finale</w:t>
      </w:r>
    </w:p>
    <w:p>
      <w:r>
        <w:rPr>
          <w:rFonts w:ascii="Noto Sans" w:hAnsi="Noto Sans"/>
        </w:rPr>
        <w:t>La v2.3 allinea le linee di indirizzo alle Executive Freeze dei moduli OUF correnti e rende il profilo Source API riusabile per verticali generici. Restano normativi: sorgente semanticamente neutra; PULL-first; discovery/versioning; Preflight Contract Check; bootstrap/catch-up/delta; field projection alla sorgente; sourceObjectId stabile; temporalità native; schema surveillance scoped; M2M service identity; southbound Gateway; errori machine-readable; concurrency e backpressure; FULL_SNAPSHOT come baseline universale e profili delta avanzati solo quando tecnicamente supportati. SUAP/SUE/SUO specializzano il perimetro amministrativo senza vincolare i futuri verticali.</w:t>
      </w:r>
    </w:p>
    <w:tbl>
      <w:tblPr>
        <w:tblW w:type="auto" w:w="0"/>
        <w:tblLook w:firstColumn="1" w:firstRow="1" w:lastColumn="0" w:lastRow="0" w:noHBand="0" w:noVBand="1" w:val="04A0"/>
      </w:tblPr>
      <w:tblGrid>
        <w:gridCol w:w="4819"/>
        <w:gridCol w:w="4819"/>
      </w:tblGrid>
      <w:tr>
        <w:tc>
          <w:tcPr>
            <w:tcW w:type="dxa" w:w="4819"/>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Area</w:t>
            </w:r>
          </w:p>
        </w:tc>
        <w:tc>
          <w:tcPr>
            <w:tcW w:type="dxa" w:w="4819"/>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Stato v2.3</w:t>
            </w:r>
          </w:p>
        </w:tc>
      </w:tr>
      <w:tr>
        <w:tc>
          <w:tcPr>
            <w:tcW w:type="dxa" w:w="4819"/>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r>
              <w:rPr>
                <w:rFonts w:ascii="Noto Sans" w:hAnsi="Noto Sans"/>
                <w:sz w:val="17"/>
              </w:rPr>
              <w:t>Core Source API generico</w:t>
            </w:r>
          </w:p>
        </w:tc>
        <w:tc>
          <w:tcPr>
            <w:tcW w:type="dxa" w:w="4819"/>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r>
              <w:rPr>
                <w:rFonts w:ascii="Noto Sans" w:hAnsi="Noto Sans"/>
                <w:sz w:val="17"/>
              </w:rPr>
              <w:t>ALIGNMENT FREEZE candidate</w:t>
            </w:r>
          </w:p>
        </w:tc>
      </w:tr>
      <w:tr>
        <w:tc>
          <w:tcPr>
            <w:tcW w:type="dxa" w:w="4819"/>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r>
              <w:rPr>
                <w:rFonts w:ascii="Noto Sans" w:hAnsi="Noto Sans"/>
                <w:sz w:val="17"/>
              </w:rPr>
              <w:t>SUAP / SUE / SUO profiles</w:t>
            </w:r>
          </w:p>
        </w:tc>
        <w:tc>
          <w:tcPr>
            <w:tcW w:type="dxa" w:w="4819"/>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r>
              <w:rPr>
                <w:rFonts w:ascii="Noto Sans" w:hAnsi="Noto Sans"/>
                <w:sz w:val="17"/>
              </w:rPr>
              <w:t>ALIGNMENT FREEZE candidate</w:t>
            </w:r>
          </w:p>
        </w:tc>
      </w:tr>
      <w:tr>
        <w:tc>
          <w:tcPr>
            <w:tcW w:type="dxa" w:w="4819"/>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r>
              <w:rPr>
                <w:rFonts w:ascii="Noto Sans" w:hAnsi="Noto Sans"/>
                <w:sz w:val="17"/>
              </w:rPr>
              <w:t>PULL / bootstrap / delta</w:t>
            </w:r>
          </w:p>
        </w:tc>
        <w:tc>
          <w:tcPr>
            <w:tcW w:type="dxa" w:w="4819"/>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r>
              <w:rPr>
                <w:rFonts w:ascii="Noto Sans" w:hAnsi="Noto Sans"/>
                <w:sz w:val="17"/>
              </w:rPr>
              <w:t>FROZEN</w:t>
            </w:r>
          </w:p>
        </w:tc>
      </w:tr>
      <w:tr>
        <w:tc>
          <w:tcPr>
            <w:tcW w:type="dxa" w:w="4819"/>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r>
              <w:rPr>
                <w:rFonts w:ascii="Noto Sans" w:hAnsi="Noto Sans"/>
                <w:sz w:val="17"/>
              </w:rPr>
              <w:t>Schema preflight / surveillance</w:t>
            </w:r>
          </w:p>
        </w:tc>
        <w:tc>
          <w:tcPr>
            <w:tcW w:type="dxa" w:w="4819"/>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r>
              <w:rPr>
                <w:rFonts w:ascii="Noto Sans" w:hAnsi="Noto Sans"/>
                <w:sz w:val="17"/>
              </w:rPr>
              <w:t>FROZEN</w:t>
            </w:r>
          </w:p>
        </w:tc>
      </w:tr>
      <w:tr>
        <w:tc>
          <w:tcPr>
            <w:tcW w:type="dxa" w:w="4819"/>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r>
              <w:rPr>
                <w:rFonts w:ascii="Noto Sans" w:hAnsi="Noto Sans"/>
                <w:sz w:val="17"/>
              </w:rPr>
              <w:t>Source-object identity / temporal fidelity</w:t>
            </w:r>
          </w:p>
        </w:tc>
        <w:tc>
          <w:tcPr>
            <w:tcW w:type="dxa" w:w="4819"/>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r>
              <w:rPr>
                <w:rFonts w:ascii="Noto Sans" w:hAnsi="Noto Sans"/>
                <w:sz w:val="17"/>
              </w:rPr>
              <w:t>FROZEN</w:t>
            </w:r>
          </w:p>
        </w:tc>
      </w:tr>
      <w:tr>
        <w:tc>
          <w:tcPr>
            <w:tcW w:type="dxa" w:w="4819"/>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r>
              <w:rPr>
                <w:rFonts w:ascii="Noto Sans" w:hAnsi="Noto Sans"/>
                <w:sz w:val="17"/>
              </w:rPr>
              <w:t>Change representation capability contract</w:t>
            </w:r>
          </w:p>
        </w:tc>
        <w:tc>
          <w:tcPr>
            <w:tcW w:type="dxa" w:w="4819"/>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r>
              <w:rPr>
                <w:rFonts w:ascii="Noto Sans" w:hAnsi="Noto Sans"/>
                <w:sz w:val="17"/>
              </w:rPr>
              <w:t>FROZEN</w:t>
            </w:r>
          </w:p>
        </w:tc>
      </w:tr>
      <w:tr>
        <w:tc>
          <w:tcPr>
            <w:tcW w:type="dxa" w:w="4819"/>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r>
              <w:rPr>
                <w:rFonts w:ascii="Noto Sans" w:hAnsi="Noto Sans"/>
                <w:sz w:val="17"/>
              </w:rPr>
              <w:t>M2M / Gateway southbound boundary</w:t>
            </w:r>
          </w:p>
        </w:tc>
        <w:tc>
          <w:tcPr>
            <w:tcW w:type="dxa" w:w="4819"/>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r>
              <w:rPr>
                <w:rFonts w:ascii="Noto Sans" w:hAnsi="Noto Sans"/>
                <w:sz w:val="17"/>
              </w:rPr>
              <w:t>FROZEN</w:t>
            </w:r>
          </w:p>
        </w:tc>
      </w:tr>
      <w:tr>
        <w:tc>
          <w:tcPr>
            <w:tcW w:type="dxa" w:w="4819"/>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r>
              <w:rPr>
                <w:rFonts w:ascii="Noto Sans" w:hAnsi="Noto Sans"/>
                <w:sz w:val="17"/>
              </w:rPr>
              <w:t>Semantica / authority / DataAccessLabel / UrbanObjectId</w:t>
            </w:r>
          </w:p>
        </w:tc>
        <w:tc>
          <w:tcPr>
            <w:tcW w:type="dxa" w:w="4819"/>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tcPr>
          <w:p>
            <w:r>
              <w:rPr>
                <w:rFonts w:ascii="Noto Sans" w:hAnsi="Noto Sans"/>
                <w:sz w:val="17"/>
              </w:rPr>
              <w:t>OUT OF SCOPE — OUF control/data plane</w:t>
            </w:r>
          </w:p>
        </w:tc>
      </w:tr>
    </w:tbl>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312" w:top="1134" w:footer="36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Noto Sans">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Consolas">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8" w:space="3" w:color="0B4F6C"/>
      </w:pBdr>
      <w:spacing w:before="0" w:after="120"/>
      <w:jc w:val="center"/>
      <w:rPr/>
    </w:pPr>
    <w:r>
      <w:rPr>
        <w:rFonts w:ascii="Noto Sans" w:hAnsi="Noto Sans"/>
      </w:rPr>
      <w:t>© Comune di Trieste — Open Urban Framework</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8" w:space="3" w:color="0B4F6C"/>
      </w:pBdr>
      <w:spacing w:before="0" w:after="120"/>
      <w:jc w:val="center"/>
      <w:rPr/>
    </w:pPr>
    <w:r>
      <w:rPr/>
      <w:t>© Comune di Trieste — Open Urban Framework</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71" w:type="dxa"/>
      <w:jc w:val="center"/>
      <w:tblInd w:w="0" w:type="dxa"/>
      <w:tblLayout w:type="fixed"/>
      <w:tblCellMar>
        <w:top w:w="0" w:type="dxa"/>
        <w:left w:w="0" w:type="dxa"/>
        <w:bottom w:w="0" w:type="dxa"/>
        <w:right w:w="0" w:type="dxa"/>
      </w:tblCellMar>
      <w:tblLook w:firstRow="1" w:noVBand="1" w:lastRow="0" w:firstColumn="1" w:lastColumn="0" w:noHBand="0" w:val="04a0"/>
    </w:tblPr>
    <w:tblGrid>
      <w:gridCol w:w="2381"/>
      <w:gridCol w:w="4308"/>
      <w:gridCol w:w="2382"/>
    </w:tblGrid>
    <w:tr>
      <w:trPr/>
      <w:tc>
        <w:tcPr>
          <w:tcW w:w="2381" w:type="dxa"/>
          <w:tcBorders>
            <w:top w:val="single" w:sz="6" w:space="0" w:color="FFFFFF"/>
            <w:left w:val="single" w:sz="6" w:space="0" w:color="FFFFFF"/>
            <w:bottom w:val="single" w:sz="6" w:space="0" w:color="FFFFFF"/>
            <w:right w:val="single" w:sz="6" w:space="0" w:color="FFFFFF"/>
          </w:tcBorders>
          <w:vAlign w:val="center"/>
        </w:tcPr>
        <w:p>
          <w:pPr>
            <w:pStyle w:val="Normal"/>
            <w:spacing w:before="0" w:after="120"/>
            <w:jc w:val="left"/>
            <w:rPr/>
          </w:pPr>
          <w:r>
            <w:rPr>
              <w:rFonts w:ascii="Noto Sans" w:hAnsi="Noto Sans"/>
            </w:rPr>
          </w:r>
        </w:p>
      </w:tc>
      <w:tc>
        <w:tcPr>
          <w:tcW w:w="4308" w:type="dxa"/>
          <w:tcBorders>
            <w:top w:val="single" w:sz="6" w:space="0" w:color="FFFFFF"/>
            <w:left w:val="single" w:sz="6" w:space="0" w:color="FFFFFF"/>
            <w:bottom w:val="single" w:sz="6" w:space="0" w:color="FFFFFF"/>
            <w:right w:val="single" w:sz="6" w:space="0" w:color="FFFFFF"/>
          </w:tcBorders>
          <w:vAlign w:val="center"/>
        </w:tcPr>
        <w:p>
          <w:r>
            <w:rPr>
              <w:rFonts w:ascii="Noto Sans" w:hAnsi="Noto Sans"/>
              <w:sz w:val="17"/>
            </w:rPr>
            <w:t>OPEN URBAN FRAMEWORK (OUF)</w:t>
            <w:br/>
            <w:t>BLUE PAPER</w:t>
            <w:br/>
            <w:t>INDIRIZZO API DEI VERTICALI — STANDARD OUF</w:t>
          </w:r>
        </w:p>
      </w:tc>
      <w:tc>
        <w:tcPr>
          <w:tcW w:w="2382" w:type="dxa"/>
          <w:tcBorders>
            <w:top w:val="single" w:sz="6" w:space="0" w:color="FFFFFF"/>
            <w:left w:val="single" w:sz="6" w:space="0" w:color="FFFFFF"/>
            <w:bottom w:val="single" w:sz="6" w:space="0" w:color="FFFFFF"/>
            <w:right w:val="single" w:sz="6" w:space="0" w:color="FFFFFF"/>
          </w:tcBorders>
          <w:vAlign w:val="center"/>
        </w:tcPr>
        <w:p>
          <w:r>
            <w:rPr>
              <w:rFonts w:ascii="Noto Sans" w:hAnsi="Noto Sans"/>
              <w:sz w:val="17"/>
            </w:rPr>
            <w:t>Versione:  2.3</w:t>
            <w:br/>
            <w:t>Data:  Settembre 2026</w:t>
            <w:br/>
            <w:t xml:space="preserve">Pagina:  </w:t>
          </w:r>
          <w:fldSimple w:instr="PAGE">
            <w:r>
              <w:t>1</w:t>
            </w:r>
          </w:fldSimple>
        </w:p>
      </w:tc>
    </w:tr>
  </w:tbl>
  <w:p>
    <w:pPr>
      <w:pStyle w:val="Normal"/>
      <w:pBdr>
        <w:bottom w:val="single" w:sz="14" w:space="1" w:color="0B4F6C"/>
      </w:pBdr>
      <w:spacing w:before="40" w:after="0"/>
      <w:rPr/>
    </w:pPr>
    <w:r>
      <w:rPr>
        <w:rFonts w:ascii="Noto Sans" w:hAnsi="Noto Sans"/>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71" w:type="dxa"/>
      <w:jc w:val="center"/>
      <w:tblInd w:w="0" w:type="dxa"/>
      <w:tblLayout w:type="fixed"/>
      <w:tblCellMar>
        <w:top w:w="0" w:type="dxa"/>
        <w:left w:w="0" w:type="dxa"/>
        <w:bottom w:w="0" w:type="dxa"/>
        <w:right w:w="0" w:type="dxa"/>
      </w:tblCellMar>
      <w:tblLook w:firstRow="1" w:noVBand="1" w:lastRow="0" w:firstColumn="1" w:lastColumn="0" w:noHBand="0" w:val="04a0"/>
    </w:tblPr>
    <w:tblGrid>
      <w:gridCol w:w="2381"/>
      <w:gridCol w:w="4308"/>
      <w:gridCol w:w="2382"/>
    </w:tblGrid>
    <w:tr>
      <w:trPr/>
      <w:tc>
        <w:tcPr>
          <w:tcW w:w="2381" w:type="dxa"/>
          <w:tcBorders>
            <w:top w:val="single" w:sz="6" w:space="0" w:color="FFFFFF"/>
            <w:left w:val="single" w:sz="6" w:space="0" w:color="FFFFFF"/>
            <w:bottom w:val="single" w:sz="6" w:space="0" w:color="FFFFFF"/>
            <w:right w:val="single" w:sz="6" w:space="0" w:color="FFFFFF"/>
          </w:tcBorders>
          <w:vAlign w:val="center"/>
        </w:tcPr>
        <w:p>
          <w:pPr>
            <w:pStyle w:val="Normal"/>
            <w:spacing w:before="0" w:after="120"/>
            <w:jc w:val="left"/>
            <w:rPr/>
          </w:pPr>
          <w:r>
            <w:rPr/>
          </w:r>
        </w:p>
      </w:tc>
      <w:tc>
        <w:tcPr>
          <w:tcW w:w="4308" w:type="dxa"/>
          <w:tcBorders>
            <w:top w:val="single" w:sz="6" w:space="0" w:color="FFFFFF"/>
            <w:left w:val="single" w:sz="6" w:space="0" w:color="FFFFFF"/>
            <w:bottom w:val="single" w:sz="6" w:space="0" w:color="FFFFFF"/>
            <w:right w:val="single" w:sz="6" w:space="0" w:color="FFFFFF"/>
          </w:tcBorders>
          <w:vAlign w:val="center"/>
        </w:tcPr>
        <w:p>
          <w:pPr>
            <w:pStyle w:val="Normal"/>
            <w:spacing w:before="0" w:after="120"/>
            <w:jc w:val="center"/>
            <w:rPr/>
          </w:pPr>
          <w:r>
            <w:rPr>
              <w:sz w:val="18"/>
            </w:rPr>
            <w:t>OPEN URBAN FRAMEWORK (OUF)</w:t>
            <w:br/>
            <w:t>BLUE PAPER</w:t>
            <w:br/>
            <w:t>INDIRIZZO API VERTICALI — SUAP / SUO / SUE</w:t>
          </w:r>
        </w:p>
      </w:tc>
      <w:tc>
        <w:tcPr>
          <w:tcW w:w="2382" w:type="dxa"/>
          <w:tcBorders>
            <w:top w:val="single" w:sz="6" w:space="0" w:color="FFFFFF"/>
            <w:left w:val="single" w:sz="6" w:space="0" w:color="FFFFFF"/>
            <w:bottom w:val="single" w:sz="6" w:space="0" w:color="FFFFFF"/>
            <w:right w:val="single" w:sz="6" w:space="0" w:color="FFFFFF"/>
          </w:tcBorders>
          <w:vAlign w:val="center"/>
        </w:tcPr>
        <w:p>
          <w:pPr>
            <w:pStyle w:val="Normal"/>
            <w:widowControl/>
            <w:bidi w:val="0"/>
            <w:spacing w:lineRule="auto" w:line="276" w:before="0" w:after="120"/>
            <w:jc w:val="left"/>
            <w:rPr/>
          </w:pPr>
          <w:r>
            <w:rPr/>
            <w:t>Versione:  2.2</w:t>
            <w:br/>
            <w:t>Data:  Settembre 2026</w:t>
            <w:br/>
            <w:t xml:space="preserve">Pagina:  </w:t>
          </w:r>
          <w:r>
            <w:rPr/>
            <w:fldChar w:fldCharType="begin"/>
          </w:r>
          <w:r>
            <w:rPr/>
            <w:instrText xml:space="preserve"> PAGE </w:instrText>
          </w:r>
          <w:r>
            <w:rPr/>
            <w:fldChar w:fldCharType="separate"/>
          </w:r>
          <w:r>
            <w:rPr/>
            <w:t>20</w:t>
          </w:r>
          <w:r>
            <w:rPr/>
            <w:fldChar w:fldCharType="end"/>
          </w:r>
        </w:p>
      </w:tc>
    </w:tr>
  </w:tbl>
  <w:p>
    <w:pPr>
      <w:pStyle w:val="Normal"/>
      <w:pBdr>
        <w:bottom w:val="single" w:sz="14" w:space="1" w:color="0B4F6C"/>
      </w:pBdr>
      <w:spacing w:before="40" w:after="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left"/>
    </w:pPr>
    <w:rPr>
      <w:rFonts w:ascii="Noto Sans" w:hAnsi="Noto Sans" w:eastAsia="Noto Sans" w:cs=""/>
      <w:color w:val="000000"/>
      <w:kern w:val="0"/>
      <w:sz w:val="18"/>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40" w:after="120"/>
      <w:outlineLvl w:val="0"/>
    </w:pPr>
    <w:rPr>
      <w:rFonts w:ascii="Calibri" w:hAnsi="Calibri" w:eastAsia="ＭＳ ゴシック" w:cs="" w:asciiTheme="majorHAnsi" w:cstheme="majorBidi" w:eastAsiaTheme="majorEastAsia" w:hAnsiTheme="majorHAnsi"/>
      <w:b/>
      <w:bCs/>
      <w:color w:val="0B4F6C"/>
      <w:sz w:val="34"/>
      <w:szCs w:val="28"/>
    </w:rPr>
  </w:style>
  <w:style w:type="paragraph" w:styleId="Heading2">
    <w:name w:val="Heading 2"/>
    <w:basedOn w:val="Normal"/>
    <w:next w:val="Normal"/>
    <w:link w:val="Heading2Char"/>
    <w:uiPriority w:val="9"/>
    <w:unhideWhenUsed/>
    <w:qFormat/>
    <w:rsid w:val="00fc693f"/>
    <w:pPr>
      <w:keepNext w:val="true"/>
      <w:keepLines/>
      <w:spacing w:before="160" w:after="80"/>
      <w:outlineLvl w:val="1"/>
    </w:pPr>
    <w:rPr>
      <w:rFonts w:ascii="Calibri" w:hAnsi="Calibri" w:eastAsia="ＭＳ ゴシック" w:cs="" w:asciiTheme="majorHAnsi" w:cstheme="majorBidi" w:eastAsiaTheme="majorEastAsia" w:hAnsiTheme="majorHAnsi"/>
      <w:b/>
      <w:bCs/>
      <w:color w:val="000000"/>
      <w:sz w:val="26"/>
      <w:szCs w:val="26"/>
    </w:rPr>
  </w:style>
  <w:style w:type="paragraph" w:styleId="Heading3">
    <w:name w:val="Heading 3"/>
    <w:basedOn w:val="Normal"/>
    <w:next w:val="Normal"/>
    <w:link w:val="Heading3Char"/>
    <w:uiPriority w:val="9"/>
    <w:unhideWhenUsed/>
    <w:qFormat/>
    <w:rsid w:val="00fc693f"/>
    <w:pPr>
      <w:keepNext w:val="true"/>
      <w:keepLines/>
      <w:spacing w:before="120" w:after="60"/>
      <w:outlineLvl w:val="2"/>
    </w:pPr>
    <w:rPr>
      <w:rFonts w:ascii="Calibri" w:hAnsi="Calibri" w:eastAsia="ＭＳ ゴシック" w:cs="" w:asciiTheme="majorHAnsi" w:cstheme="majorBidi" w:eastAsiaTheme="majorEastAsia" w:hAnsiTheme="majorHAnsi"/>
      <w:b/>
      <w:bCs/>
      <w:color w:val="000000"/>
      <w:sz w:val="20"/>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itolo">
    <w:name w:val="Tito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rFonts w:ascii="Noto Sans" w:hAnsi="Noto Sans" w:eastAsia="Noto Sans"/>
      <w:sz w:val="18"/>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rFonts w:ascii="Noto Sans" w:hAnsi="Noto Sans"/>
      <w:b/>
      <w:bCs/>
      <w:i w:val="false"/>
      <w:color w:val="000000"/>
      <w:sz w:val="16"/>
      <w:szCs w:val="18"/>
    </w:rPr>
  </w:style>
  <w:style w:type="paragraph" w:styleId="Indice">
    <w:name w:val="Indice"/>
    <w:basedOn w:val="Normal"/>
    <w:qFormat/>
    <w:pPr>
      <w:suppressLineNumbers/>
    </w:pPr>
    <w:rPr>
      <w:rFonts w:cs="Lucida Sans"/>
    </w:rPr>
  </w:style>
  <w:style w:type="paragraph" w:styleId="Intestazioneepidipagina">
    <w:name w:val="Intestazione e piè di pagina"/>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160"/>
      <w:contextualSpacing/>
    </w:pPr>
    <w:rPr>
      <w:rFonts w:ascii="Calibri" w:hAnsi="Calibri" w:eastAsia="ＭＳ ゴシック" w:cs="" w:asciiTheme="majorHAnsi" w:cstheme="majorBidi" w:eastAsiaTheme="majorEastAsia" w:hAnsiTheme="majorHAnsi"/>
      <w:b/>
      <w:color w:val="0B4F6C"/>
      <w:spacing w:val="5"/>
      <w:kern w:val="2"/>
      <w:sz w:val="34"/>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lineRule="auto" w:line="276" w:before="0" w:after="60"/>
      <w:contextualSpacing/>
    </w:pPr>
    <w:rPr>
      <w:rFonts w:ascii="Noto Sans" w:hAnsi="Noto Sans" w:eastAsia="Noto Sans"/>
      <w:sz w:val="18"/>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lineRule="auto" w:line="276" w:before="0" w:after="60"/>
      <w:contextualSpacing/>
    </w:pPr>
    <w:rPr>
      <w:rFonts w:ascii="Noto Sans" w:hAnsi="Noto Sans"/>
      <w:sz w:val="18"/>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Titolo"/>
    <w:pPr/>
    <w:rPr/>
  </w:style>
  <w:style w:type="paragraph" w:styleId="TOCHeading">
    <w:name w:val="TOC Heading"/>
    <w:basedOn w:val="Heading1"/>
    <w:next w:val="Normal"/>
    <w:uiPriority w:val="39"/>
    <w:semiHidden/>
    <w:unhideWhenUsed/>
    <w:qFormat/>
    <w:rsid w:val="00fc693f"/>
    <w:pPr>
      <w:outlineLvl w:val="9"/>
    </w:pPr>
    <w:rPr/>
  </w:style>
  <w:style w:type="numbering" w:styleId="Nessunelenco" w:default="1">
    <w:name w:val="Nessun elenco"/>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LibreOffice/24.2.6.2$Windows_X86_64 LibreOffice_project/ef66aa7e36a1bb8e65bfbc63aba53045a14d0871</Application>
  <AppVersion>15.0000</AppVersion>
  <Pages>20</Pages>
  <Words>4850</Words>
  <Characters>32463</Characters>
  <CharactersWithSpaces>37090</CharactersWithSpaces>
  <Paragraphs>572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Comune di Trieste — Open Urban Framework</dc:creator>
  <dc:description>Baseline v2.2 — Settembre 2026</dc:description>
  <dc:language>it-IT</dc:language>
  <cp:lastModifiedBy/>
  <dcterms:modified xsi:type="dcterms:W3CDTF">2026-09-01T10:03:30Z</dcterms:modified>
  <cp:revision>2</cp:revision>
  <dc:subject>Schema Surveillance &amp; Runtime Alignment Freeze</dc:subject>
  <dc:title>OUF — Linee di indirizzo API Verticali SUAP / SUO / SUE v2.2</dc:title>
  <cp:version>0.4.2</cp:version>
</cp:coreProperties>
</file>

<file path=docProps/custom.xml><?xml version="1.0" encoding="utf-8"?>
<Properties xmlns="http://schemas.openxmlformats.org/officeDocument/2006/custom-properties" xmlns:vt="http://schemas.openxmlformats.org/officeDocument/2006/docPropsVTypes"/>
</file>