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Noto Sans"/>
          <w:b/>
          <w:color w:val="16324F"/>
          <w:sz w:val="22"/>
        </w:rPr>
        <w:t>OPEN URBAN FRAMEWORK (OUF)</w:t>
      </w:r>
    </w:p>
    <w:p>
      <w:pPr>
        <w:jc w:val="center"/>
      </w:pPr>
      <w:r>
        <w:rPr>
          <w:rFonts w:ascii="Noto Sans" w:hAnsi="Noto Sans" w:eastAsia="Noto Sans"/>
          <w:b/>
          <w:color w:val="16324F"/>
          <w:sz w:val="38"/>
        </w:rPr>
        <w:t>CROSS-MODULE ALIGNMENT MATRIX</w:t>
      </w:r>
    </w:p>
    <w:p>
      <w:pPr>
        <w:jc w:val="center"/>
      </w:pPr>
      <w:r>
        <w:t>Coherence alignment delta — Operational Awareness via MCP and persistent cross-module fault visibility</w:t>
      </w:r>
    </w:p>
    <w:p>
      <w:pPr>
        <w:jc w:val="center"/>
      </w:pPr>
      <w:r>
        <w:t>Versione 1.7 — Operational Awareness Alignment — Settembre 2026</w:t>
      </w:r>
    </w:p>
    <w:p/>
    <w:tbl>
      <w:tblPr>
        <w:tblW w:type="auto" w:w="0"/>
        <w:jc w:val="center"/>
        <w:tblLayout w:type="autofit"/>
        <w:tblLook w:firstColumn="1" w:firstRow="1" w:lastColumn="0" w:lastRow="0" w:noHBand="0" w:noVBand="1" w:val="04A0"/>
      </w:tblPr>
      <w:tblGrid>
        <w:gridCol w:w="10086"/>
      </w:tblGrid>
      <w:tr>
        <w:trPr>
          <w:tblHeader w:val="true"/>
        </w:trPr>
        <w:tc>
          <w:tcPr>
            <w:tcW w:type="dxa" w:w="10086"/>
            <w:shd w:fill="EAF2F8"/>
          </w:tcPr>
          <w:p>
            <w:r>
              <w:rPr>
                <w:rFonts w:ascii="Noto Sans" w:hAnsi="Noto Sans" w:eastAsia="Noto Sans"/>
                <w:b/>
                <w:color w:val="16324F"/>
                <w:sz w:val="18"/>
              </w:rPr>
              <w:t>v1.5 preserves every architectural ownership decision, contract boundary and E2E scenario semantic of Matrix v1.4. It supersedes v1.4 only for the MCP implementation technology and its controlled document reference: MCP Server PET v1.2 adopts Go 1.25 and the official MCP Go SDK v1.7.x for MCP 2026-07-28.</w:t>
            </w:r>
          </w:p>
        </w:tc>
      </w:tr>
    </w:tbl>
    <w:p>
      <w:pPr>
        <w:pStyle w:val="Heading1"/>
      </w:pPr>
      <w:r>
        <w:rPr>
          <w:rFonts w:ascii="Noto Sans" w:hAnsi="Noto Sans" w:eastAsia="Noto Sans"/>
        </w:rPr>
        <w:t>1. Frozen ownership remains unchanged</w:t>
      </w:r>
    </w:p>
    <w:p>
      <w:pPr>
        <w:pStyle w:val="ListBullet"/>
      </w:pPr>
      <w:r>
        <w:rPr>
          <w:rFonts w:ascii="Noto Sans" w:hAnsi="Noto Sans" w:eastAsia="Noto Sans"/>
          <w:b w:val="0"/>
          <w:sz w:val="18"/>
        </w:rPr>
        <w:t>UDP remains system of record for canonical Urban Object identity/materialization, object resolution and Query Complexity Governor.</w:t>
      </w:r>
    </w:p>
    <w:p>
      <w:pPr>
        <w:pStyle w:val="ListBullet"/>
      </w:pPr>
      <w:r>
        <w:rPr>
          <w:rFonts w:ascii="Noto Sans" w:hAnsi="Noto Sans" w:eastAsia="Noto Sans"/>
          <w:b w:val="0"/>
          <w:sz w:val="18"/>
        </w:rPr>
        <w:t>Ingestion owns version-pinned execution, CDE/handoff/lineage and downstream durable watermark semantics.</w:t>
      </w:r>
    </w:p>
    <w:p>
      <w:pPr>
        <w:pStyle w:val="ListBullet"/>
      </w:pPr>
      <w:r>
        <w:rPr>
          <w:rFonts w:ascii="Noto Sans" w:hAnsi="Noto Sans" w:eastAsia="Noto Sans"/>
          <w:b w:val="0"/>
          <w:sz w:val="18"/>
        </w:rPr>
        <w:t>Onboarding owns source-specific configuration/mapping and publishes immutable runtime bundles/projections.</w:t>
      </w:r>
    </w:p>
    <w:p>
      <w:pPr>
        <w:pStyle w:val="ListBullet"/>
      </w:pPr>
      <w:r>
        <w:rPr>
          <w:rFonts w:ascii="Noto Sans" w:hAnsi="Noto Sans" w:eastAsia="Noto Sans"/>
          <w:b w:val="0"/>
          <w:sz w:val="18"/>
        </w:rPr>
        <w:t>Semantic Registry owns TBox/vocabularies/relation semantics and exact historical publication resolution.</w:t>
      </w:r>
    </w:p>
    <w:p>
      <w:pPr>
        <w:pStyle w:val="ListBullet"/>
      </w:pPr>
      <w:r>
        <w:rPr>
          <w:rFonts w:ascii="Noto Sans" w:hAnsi="Noto Sans" w:eastAsia="Noto Sans"/>
          <w:b w:val="0"/>
          <w:sz w:val="18"/>
        </w:rPr>
        <w:t>Authorization owns application policy/capability evaluation; backend owners enforce fine-grained authorization.</w:t>
      </w:r>
    </w:p>
    <w:p>
      <w:pPr>
        <w:pStyle w:val="ListBullet"/>
      </w:pPr>
      <w:r>
        <w:rPr>
          <w:rFonts w:ascii="Noto Sans" w:hAnsi="Noto Sans" w:eastAsia="Noto Sans"/>
          <w:b w:val="0"/>
          <w:sz w:val="18"/>
        </w:rPr>
        <w:t>Gateway owns network boundary, identity validation, coarse enforcement, governed routing and controlled publication.</w:t>
      </w:r>
    </w:p>
    <w:p>
      <w:pPr>
        <w:pStyle w:val="ListBullet"/>
      </w:pPr>
      <w:r>
        <w:t>MCP Server owns typed capability exposure, orchestration budget, retry/remediation, trusted-human handoff, and governed operational-awareness aggregation/projection; it does not own raw monitoring telemetry or producer-domain incident truth.</w:t>
      </w:r>
    </w:p>
    <w:p>
      <w:pPr>
        <w:pStyle w:val="ListBullet"/>
      </w:pPr>
      <w:r>
        <w:rPr>
          <w:rFonts w:ascii="Noto Sans" w:hAnsi="Noto Sans" w:eastAsia="Noto Sans"/>
          <w:b w:val="0"/>
          <w:sz w:val="18"/>
        </w:rPr>
        <w:t>THS owns HUMAN_USER approval and protected operations; Protected Operations Workspace remains physically co-located in the THS module.</w:t>
      </w:r>
    </w:p>
    <w:p>
      <w:pPr>
        <w:pStyle w:val="Heading1"/>
      </w:pPr>
      <w:r>
        <w:rPr>
          <w:rFonts w:ascii="Noto Sans" w:hAnsi="Noto Sans" w:eastAsia="Noto Sans"/>
        </w:rPr>
        <w:t>2. Canonical E2E traceability</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2F5D7E"/>
            <w:vAlign w:val="center"/>
          </w:tcPr>
          <w:p>
            <w:r>
              <w:rPr>
                <w:rFonts w:ascii="Noto Sans" w:hAnsi="Noto Sans" w:eastAsia="Noto Sans"/>
                <w:b/>
                <w:color w:val="FFFFFF"/>
                <w:sz w:val="16"/>
              </w:rPr>
              <w:t>Matrix v1.2 ID</w:t>
            </w:r>
          </w:p>
        </w:tc>
        <w:tc>
          <w:tcPr>
            <w:tcW w:type="dxa" w:w="3362"/>
            <w:shd w:fill="2F5D7E"/>
            <w:vAlign w:val="center"/>
          </w:tcPr>
          <w:p>
            <w:r>
              <w:rPr>
                <w:rFonts w:ascii="Noto Sans" w:hAnsi="Noto Sans" w:eastAsia="Noto Sans"/>
                <w:b/>
                <w:color w:val="FFFFFF"/>
                <w:sz w:val="16"/>
              </w:rPr>
              <w:t>Canonical ID</w:t>
            </w:r>
          </w:p>
        </w:tc>
        <w:tc>
          <w:tcPr>
            <w:tcW w:type="dxa" w:w="3362"/>
            <w:shd w:fill="2F5D7E"/>
            <w:vAlign w:val="center"/>
          </w:tcPr>
          <w:p>
            <w:r>
              <w:rPr>
                <w:rFonts w:ascii="Noto Sans" w:hAnsi="Noto Sans" w:eastAsia="Noto Sans"/>
                <w:b/>
                <w:color w:val="FFFFFF"/>
                <w:sz w:val="16"/>
              </w:rPr>
              <w:t>Rule</w:t>
            </w:r>
          </w:p>
        </w:tc>
      </w:tr>
      <w:tr>
        <w:tc>
          <w:tcPr>
            <w:tcW w:type="dxa" w:w="3362"/>
            <w:vAlign w:val="top"/>
          </w:tcPr>
          <w:p>
            <w:r>
              <w:rPr>
                <w:rFonts w:ascii="Noto Sans" w:hAnsi="Noto Sans" w:eastAsia="Noto Sans"/>
                <w:b w:val="0"/>
                <w:sz w:val="16"/>
              </w:rPr>
              <w:t>E2E-X01</w:t>
            </w:r>
          </w:p>
        </w:tc>
        <w:tc>
          <w:tcPr>
            <w:tcW w:type="dxa" w:w="3362"/>
            <w:vAlign w:val="top"/>
          </w:tcPr>
          <w:p>
            <w:r>
              <w:rPr>
                <w:rFonts w:ascii="Noto Sans" w:hAnsi="Noto Sans" w:eastAsia="Noto Sans"/>
                <w:b w:val="0"/>
                <w:sz w:val="16"/>
              </w:rPr>
              <w:t>OUF-E2E-001</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E2E-X02</w:t>
            </w:r>
          </w:p>
        </w:tc>
        <w:tc>
          <w:tcPr>
            <w:tcW w:type="dxa" w:w="3362"/>
            <w:vAlign w:val="top"/>
          </w:tcPr>
          <w:p>
            <w:r>
              <w:rPr>
                <w:rFonts w:ascii="Noto Sans" w:hAnsi="Noto Sans" w:eastAsia="Noto Sans"/>
                <w:b w:val="0"/>
                <w:sz w:val="16"/>
              </w:rPr>
              <w:t>OUF-E2E-002</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E2E-X03</w:t>
            </w:r>
          </w:p>
        </w:tc>
        <w:tc>
          <w:tcPr>
            <w:tcW w:type="dxa" w:w="3362"/>
            <w:vAlign w:val="top"/>
          </w:tcPr>
          <w:p>
            <w:r>
              <w:rPr>
                <w:rFonts w:ascii="Noto Sans" w:hAnsi="Noto Sans" w:eastAsia="Noto Sans"/>
                <w:b w:val="0"/>
                <w:sz w:val="16"/>
              </w:rPr>
              <w:t>OUF-E2E-003</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E2E-X04</w:t>
            </w:r>
          </w:p>
        </w:tc>
        <w:tc>
          <w:tcPr>
            <w:tcW w:type="dxa" w:w="3362"/>
            <w:vAlign w:val="top"/>
          </w:tcPr>
          <w:p>
            <w:r>
              <w:rPr>
                <w:rFonts w:ascii="Noto Sans" w:hAnsi="Noto Sans" w:eastAsia="Noto Sans"/>
                <w:b w:val="0"/>
                <w:sz w:val="16"/>
              </w:rPr>
              <w:t>OUF-E2E-004</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E2E-X05</w:t>
            </w:r>
          </w:p>
        </w:tc>
        <w:tc>
          <w:tcPr>
            <w:tcW w:type="dxa" w:w="3362"/>
            <w:vAlign w:val="top"/>
          </w:tcPr>
          <w:p>
            <w:r>
              <w:rPr>
                <w:rFonts w:ascii="Noto Sans" w:hAnsi="Noto Sans" w:eastAsia="Noto Sans"/>
                <w:b w:val="0"/>
                <w:sz w:val="16"/>
              </w:rPr>
              <w:t>OUF-E2E-005</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E2E-X06</w:t>
            </w:r>
          </w:p>
        </w:tc>
        <w:tc>
          <w:tcPr>
            <w:tcW w:type="dxa" w:w="3362"/>
            <w:vAlign w:val="top"/>
          </w:tcPr>
          <w:p>
            <w:r>
              <w:rPr>
                <w:rFonts w:ascii="Noto Sans" w:hAnsi="Noto Sans" w:eastAsia="Noto Sans"/>
                <w:b w:val="0"/>
                <w:sz w:val="16"/>
              </w:rPr>
              <w:t>OUF-E2E-006</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E2E-X07</w:t>
            </w:r>
          </w:p>
        </w:tc>
        <w:tc>
          <w:tcPr>
            <w:tcW w:type="dxa" w:w="3362"/>
            <w:vAlign w:val="top"/>
          </w:tcPr>
          <w:p>
            <w:r>
              <w:rPr>
                <w:rFonts w:ascii="Noto Sans" w:hAnsi="Noto Sans" w:eastAsia="Noto Sans"/>
                <w:b w:val="0"/>
                <w:sz w:val="16"/>
              </w:rPr>
              <w:t>OUF-E2E-007</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E2E-X08</w:t>
            </w:r>
          </w:p>
        </w:tc>
        <w:tc>
          <w:tcPr>
            <w:tcW w:type="dxa" w:w="3362"/>
            <w:vAlign w:val="top"/>
          </w:tcPr>
          <w:p>
            <w:r>
              <w:rPr>
                <w:rFonts w:ascii="Noto Sans" w:hAnsi="Noto Sans" w:eastAsia="Noto Sans"/>
                <w:b w:val="0"/>
                <w:sz w:val="16"/>
              </w:rPr>
              <w:t>OUF-E2E-008</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E2E-X09</w:t>
            </w:r>
          </w:p>
        </w:tc>
        <w:tc>
          <w:tcPr>
            <w:tcW w:type="dxa" w:w="3362"/>
            <w:vAlign w:val="top"/>
          </w:tcPr>
          <w:p>
            <w:r>
              <w:rPr>
                <w:rFonts w:ascii="Noto Sans" w:hAnsi="Noto Sans" w:eastAsia="Noto Sans"/>
                <w:b w:val="0"/>
                <w:sz w:val="16"/>
              </w:rPr>
              <w:t>OUF-E2E-009</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E2E-X10</w:t>
            </w:r>
          </w:p>
        </w:tc>
        <w:tc>
          <w:tcPr>
            <w:tcW w:type="dxa" w:w="3362"/>
            <w:vAlign w:val="top"/>
          </w:tcPr>
          <w:p>
            <w:r>
              <w:rPr>
                <w:rFonts w:ascii="Noto Sans" w:hAnsi="Noto Sans" w:eastAsia="Noto Sans"/>
                <w:b w:val="0"/>
                <w:sz w:val="16"/>
              </w:rPr>
              <w:t>OUF-E2E-010</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E2E-X11</w:t>
            </w:r>
          </w:p>
        </w:tc>
        <w:tc>
          <w:tcPr>
            <w:tcW w:type="dxa" w:w="3362"/>
            <w:vAlign w:val="top"/>
          </w:tcPr>
          <w:p>
            <w:r>
              <w:rPr>
                <w:rFonts w:ascii="Noto Sans" w:hAnsi="Noto Sans" w:eastAsia="Noto Sans"/>
                <w:b w:val="0"/>
                <w:sz w:val="16"/>
              </w:rPr>
              <w:t>OUF-E2E-011</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E2E-X12</w:t>
            </w:r>
          </w:p>
        </w:tc>
        <w:tc>
          <w:tcPr>
            <w:tcW w:type="dxa" w:w="3362"/>
            <w:vAlign w:val="top"/>
          </w:tcPr>
          <w:p>
            <w:r>
              <w:rPr>
                <w:rFonts w:ascii="Noto Sans" w:hAnsi="Noto Sans" w:eastAsia="Noto Sans"/>
                <w:b w:val="0"/>
                <w:sz w:val="16"/>
              </w:rPr>
              <w:t>OUF-E2E-012</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E2E-X13</w:t>
            </w:r>
          </w:p>
        </w:tc>
        <w:tc>
          <w:tcPr>
            <w:tcW w:type="dxa" w:w="3362"/>
            <w:vAlign w:val="top"/>
          </w:tcPr>
          <w:p>
            <w:r>
              <w:rPr>
                <w:rFonts w:ascii="Noto Sans" w:hAnsi="Noto Sans" w:eastAsia="Noto Sans"/>
                <w:b w:val="0"/>
                <w:sz w:val="16"/>
              </w:rPr>
              <w:t>OUF-E2E-013</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E2E-X14</w:t>
            </w:r>
          </w:p>
        </w:tc>
        <w:tc>
          <w:tcPr>
            <w:tcW w:type="dxa" w:w="3362"/>
            <w:vAlign w:val="top"/>
          </w:tcPr>
          <w:p>
            <w:r>
              <w:rPr>
                <w:rFonts w:ascii="Noto Sans" w:hAnsi="Noto Sans" w:eastAsia="Noto Sans"/>
                <w:b w:val="0"/>
                <w:sz w:val="16"/>
              </w:rPr>
              <w:t>OUF-E2E-014</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E2E-X15</w:t>
            </w:r>
          </w:p>
        </w:tc>
        <w:tc>
          <w:tcPr>
            <w:tcW w:type="dxa" w:w="3362"/>
            <w:vAlign w:val="top"/>
          </w:tcPr>
          <w:p>
            <w:r>
              <w:rPr>
                <w:rFonts w:ascii="Noto Sans" w:hAnsi="Noto Sans" w:eastAsia="Noto Sans"/>
                <w:b w:val="0"/>
                <w:sz w:val="16"/>
              </w:rPr>
              <w:t>OUF-E2E-015</w:t>
            </w:r>
          </w:p>
        </w:tc>
        <w:tc>
          <w:tcPr>
            <w:tcW w:type="dxa" w:w="3362"/>
            <w:vAlign w:val="top"/>
          </w:tcPr>
          <w:p>
            <w:r>
              <w:rPr>
                <w:rFonts w:ascii="Noto Sans" w:hAnsi="Noto Sans" w:eastAsia="Noto Sans"/>
                <w:b w:val="0"/>
                <w:sz w:val="16"/>
              </w:rPr>
              <w:t>Mandatory; semantic meaning preserved from Matrix v1.2.</w:t>
            </w:r>
          </w:p>
        </w:tc>
      </w:tr>
      <w:tr>
        <w:tc>
          <w:tcPr>
            <w:tcW w:type="dxa" w:w="3362"/>
            <w:vAlign w:val="top"/>
          </w:tcPr>
          <w:p>
            <w:r>
              <w:rPr>
                <w:rFonts w:ascii="Noto Sans" w:hAnsi="Noto Sans" w:eastAsia="Noto Sans"/>
                <w:b w:val="0"/>
                <w:sz w:val="16"/>
              </w:rPr>
              <w:t>E2E-X16</w:t>
            </w:r>
          </w:p>
        </w:tc>
        <w:tc>
          <w:tcPr>
            <w:tcW w:type="dxa" w:w="3362"/>
            <w:vAlign w:val="top"/>
          </w:tcPr>
          <w:p>
            <w:r>
              <w:rPr>
                <w:rFonts w:ascii="Noto Sans" w:hAnsi="Noto Sans" w:eastAsia="Noto Sans"/>
                <w:b w:val="0"/>
                <w:sz w:val="16"/>
              </w:rPr>
              <w:t>OUF-E2E-016</w:t>
            </w:r>
          </w:p>
        </w:tc>
        <w:tc>
          <w:tcPr>
            <w:tcW w:type="dxa" w:w="3362"/>
            <w:vAlign w:val="top"/>
          </w:tcPr>
          <w:p>
            <w:r>
              <w:rPr>
                <w:rFonts w:ascii="Noto Sans" w:hAnsi="Noto Sans" w:eastAsia="Noto Sans"/>
                <w:b w:val="0"/>
                <w:sz w:val="16"/>
              </w:rPr>
              <w:t>Mandatory; semantic meaning preserved from Matrix v1.2.</w:t>
            </w:r>
          </w:p>
        </w:tc>
      </w:tr>
    </w:tbl>
    <w:p>
      <w:r>
        <w:rPr>
          <w:rFonts w:ascii="Noto Sans" w:hAnsi="Noto Sans" w:eastAsia="Noto Sans"/>
          <w:b w:val="0"/>
          <w:sz w:val="18"/>
        </w:rPr>
        <w:t>Additional canonical scenarios OUF-E2E-017…025 capture first-ingestion happy path, backend-deny, semantic active-switch pinning, source identity separation, scenario-neutral M2M, capability projection, southbound bypass, Gateway last-known-good and full-path error/correlation behavior.</w:t>
      </w:r>
    </w:p>
    <w:p>
      <w:pPr>
        <w:pStyle w:val="Heading1"/>
      </w:pPr>
      <w:r>
        <w:rPr>
          <w:rFonts w:ascii="Noto Sans" w:hAnsi="Noto Sans" w:eastAsia="Noto Sans"/>
        </w:rPr>
        <w:t>3. MCP and THS acceptance suites</w:t>
      </w:r>
    </w:p>
    <w:p/>
    <w:p>
      <w:pPr>
        <w:pStyle w:val="Heading2"/>
      </w:pPr>
      <w:r>
        <w:t>3.1 MCP runtime technology alignment</w:t>
      </w:r>
    </w:p>
    <w:p/>
    <w:p>
      <w:pPr/>
      <w:r>
        <w:t>MCP Server PET v1.2 supersedes MCP Server PET v1.1 only for implementation technology. The approved Technology Economy Gate selects Go 1.25 and the official MCP Go SDK v1.7.x because that supported line implements the normative MCP 2026-07-28 protocol without a custom protocol adapter.</w:t>
      </w:r>
    </w:p>
    <w:p/>
    <w:p>
      <w:pPr/>
      <w:r>
        <w:t>The MCP module remains one codebase and one versioned binary with the process roles mcp-server and mcp-maintenance-worker. Capability ownership, typed tool contracts, Gateway mediation, Authorization enforcement, Trusted Human Surface boundaries, PostgreSQL persistence and all canonical E2E outcomes remain unchanged.</w:t>
      </w:r>
    </w:p>
    <w:p/>
    <w:p>
      <w:pPr/>
      <w:r>
        <w:t>The Go toolchain and SDK version/checksum are pinned. Official MCP 2026-07-28 conformance and cross-SDK interoperability are release gates. TypeScript SDK v2 is permitted only as an independent interoperability client fixture, not as a second server runtime.</w:t>
      </w:r>
    </w:p>
    <w:p/>
    <w:p>
      <w:pPr/>
      <w:r>
        <w:t>The existing Gateway–Onboarding micro pairwise test remains a mandatory regression fixture when MCP-to-Gateway capability binding is introduced. The Java/Spring starter-kit template continues to govern the other Java modules and is not normative for MCP Server v1.2.</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2F5D7E"/>
            <w:vAlign w:val="center"/>
          </w:tcPr>
          <w:p>
            <w:r>
              <w:rPr>
                <w:rFonts w:ascii="Noto Sans" w:hAnsi="Noto Sans" w:eastAsia="Noto Sans"/>
                <w:b/>
                <w:color w:val="FFFFFF"/>
                <w:sz w:val="16"/>
              </w:rPr>
              <w:t>Suite</w:t>
            </w:r>
          </w:p>
        </w:tc>
        <w:tc>
          <w:tcPr>
            <w:tcW w:type="dxa" w:w="5043"/>
            <w:shd w:fill="2F5D7E"/>
            <w:vAlign w:val="center"/>
          </w:tcPr>
          <w:p>
            <w:r>
              <w:t>Status in v1.5</w:t>
            </w:r>
          </w:p>
        </w:tc>
      </w:tr>
      <w:tr>
        <w:tc>
          <w:tcPr>
            <w:tcW w:type="dxa" w:w="5043"/>
            <w:vAlign w:val="top"/>
          </w:tcPr>
          <w:p>
            <w:r>
              <w:rPr>
                <w:rFonts w:ascii="Noto Sans" w:hAnsi="Noto Sans" w:eastAsia="Noto Sans"/>
                <w:b w:val="0"/>
                <w:sz w:val="16"/>
              </w:rPr>
              <w:t>MCP-A</w:t>
            </w:r>
          </w:p>
        </w:tc>
        <w:tc>
          <w:tcPr>
            <w:tcW w:type="dxa" w:w="5043"/>
            <w:vAlign w:val="top"/>
          </w:tcPr>
          <w:p>
            <w:r>
              <w:rPr>
                <w:rFonts w:ascii="Noto Sans" w:hAnsi="Noto Sans" w:eastAsia="Noto Sans"/>
                <w:b w:val="0"/>
                <w:sz w:val="16"/>
              </w:rPr>
              <w:t>Remains mandatory. MCP-A53…A55 are explicitly covered by OUF-E2E-016 cross-module evidence plus MCP module tests.</w:t>
            </w:r>
          </w:p>
        </w:tc>
      </w:tr>
      <w:tr>
        <w:tc>
          <w:tcPr>
            <w:tcW w:type="dxa" w:w="5043"/>
            <w:vAlign w:val="top"/>
          </w:tcPr>
          <w:p>
            <w:r>
              <w:rPr>
                <w:rFonts w:ascii="Noto Sans" w:hAnsi="Noto Sans" w:eastAsia="Noto Sans"/>
                <w:b w:val="0"/>
                <w:sz w:val="16"/>
              </w:rPr>
              <w:t>THS-A</w:t>
            </w:r>
          </w:p>
        </w:tc>
        <w:tc>
          <w:tcPr>
            <w:tcW w:type="dxa" w:w="5043"/>
            <w:vAlign w:val="top"/>
          </w:tcPr>
          <w:p>
            <w:r>
              <w:rPr>
                <w:rFonts w:ascii="Noto Sans" w:hAnsi="Noto Sans" w:eastAsia="Noto Sans"/>
                <w:b w:val="0"/>
                <w:sz w:val="16"/>
              </w:rPr>
              <w:t>Remains mandatory. THS-A12 requires both cross-module approval-card interoperability and protected-log operations entirely inside THS.</w:t>
            </w:r>
          </w:p>
        </w:tc>
      </w:tr>
      <w:tr>
        <w:tc>
          <w:tcPr>
            <w:tcW w:type="dxa" w:w="5043"/>
            <w:vAlign w:val="top"/>
          </w:tcPr>
          <w:p>
            <w:r>
              <w:rPr>
                <w:rFonts w:ascii="Noto Sans" w:hAnsi="Noto Sans" w:eastAsia="Noto Sans"/>
                <w:b w:val="0"/>
                <w:sz w:val="16"/>
              </w:rPr>
              <w:t>Module PET acceptance suites</w:t>
            </w:r>
          </w:p>
        </w:tc>
        <w:tc>
          <w:tcPr>
            <w:tcW w:type="dxa" w:w="5043"/>
            <w:vAlign w:val="top"/>
          </w:tcPr>
          <w:p>
            <w:r>
              <w:rPr>
                <w:rFonts w:ascii="Noto Sans" w:hAnsi="Noto Sans" w:eastAsia="Noto Sans"/>
                <w:b w:val="0"/>
                <w:sz w:val="16"/>
              </w:rPr>
              <w:t>Remain mandatory and are not replaced by cross-module E2E.</w:t>
            </w:r>
          </w:p>
        </w:tc>
      </w:tr>
    </w:tbl>
    <w:p>
      <w:pPr>
        <w:pStyle w:val="Heading1"/>
      </w:pPr>
      <w:r>
        <w:rPr>
          <w:rFonts w:ascii="Noto Sans" w:hAnsi="Noto Sans" w:eastAsia="Noto Sans"/>
        </w:rPr>
        <w:t>4. Platform gate timing</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2F5D7E"/>
            <w:vAlign w:val="center"/>
          </w:tcPr>
          <w:p>
            <w:r>
              <w:rPr>
                <w:rFonts w:ascii="Noto Sans" w:hAnsi="Noto Sans" w:eastAsia="Noto Sans"/>
                <w:b/>
                <w:color w:val="FFFFFF"/>
                <w:sz w:val="16"/>
              </w:rPr>
              <w:t>Gate class</w:t>
            </w:r>
          </w:p>
        </w:tc>
        <w:tc>
          <w:tcPr>
            <w:tcW w:type="dxa" w:w="3362"/>
            <w:shd w:fill="2F5D7E"/>
            <w:vAlign w:val="center"/>
          </w:tcPr>
          <w:p>
            <w:r>
              <w:rPr>
                <w:rFonts w:ascii="Noto Sans" w:hAnsi="Noto Sans" w:eastAsia="Noto Sans"/>
                <w:b/>
                <w:color w:val="FFFFFF"/>
                <w:sz w:val="16"/>
              </w:rPr>
              <w:t>Contract/integration</w:t>
            </w:r>
          </w:p>
        </w:tc>
        <w:tc>
          <w:tcPr>
            <w:tcW w:type="dxa" w:w="3362"/>
            <w:shd w:fill="2F5D7E"/>
            <w:vAlign w:val="center"/>
          </w:tcPr>
          <w:p>
            <w:r>
              <w:rPr>
                <w:rFonts w:ascii="Noto Sans" w:hAnsi="Noto Sans" w:eastAsia="Noto Sans"/>
                <w:b/>
                <w:color w:val="FFFFFF"/>
                <w:sz w:val="16"/>
              </w:rPr>
              <w:t>Representative acceptance/production</w:t>
            </w:r>
          </w:p>
        </w:tc>
      </w:tr>
      <w:tr>
        <w:tc>
          <w:tcPr>
            <w:tcW w:type="dxa" w:w="3362"/>
            <w:vAlign w:val="top"/>
          </w:tcPr>
          <w:p>
            <w:r>
              <w:rPr>
                <w:rFonts w:ascii="Noto Sans" w:hAnsi="Noto Sans" w:eastAsia="Noto Sans"/>
                <w:b w:val="0"/>
                <w:sz w:val="16"/>
              </w:rPr>
              <w:t>A/B/C + actual issuer/JWKS/audience/claims</w:t>
            </w:r>
          </w:p>
        </w:tc>
        <w:tc>
          <w:tcPr>
            <w:tcW w:type="dxa" w:w="3362"/>
            <w:vAlign w:val="top"/>
          </w:tcPr>
          <w:p>
            <w:r>
              <w:rPr>
                <w:rFonts w:ascii="Noto Sans" w:hAnsi="Noto Sans" w:eastAsia="Noto Sans"/>
                <w:b w:val="0"/>
                <w:sz w:val="16"/>
              </w:rPr>
              <w:t>Scenario-neutral mocks permitted; no application branching.</w:t>
            </w:r>
          </w:p>
        </w:tc>
        <w:tc>
          <w:tcPr>
            <w:tcW w:type="dxa" w:w="3362"/>
            <w:vAlign w:val="top"/>
          </w:tcPr>
          <w:p>
            <w:r>
              <w:rPr>
                <w:rFonts w:ascii="Noto Sans" w:hAnsi="Noto Sans" w:eastAsia="Noto Sans"/>
                <w:b w:val="0"/>
                <w:sz w:val="16"/>
              </w:rPr>
              <w:t>Actual selected/configured binding required.</w:t>
            </w:r>
          </w:p>
        </w:tc>
      </w:tr>
      <w:tr>
        <w:tc>
          <w:tcPr>
            <w:tcW w:type="dxa" w:w="3362"/>
            <w:vAlign w:val="top"/>
          </w:tcPr>
          <w:p>
            <w:r>
              <w:rPr>
                <w:rFonts w:ascii="Noto Sans" w:hAnsi="Noto Sans" w:eastAsia="Noto Sans"/>
                <w:b w:val="0"/>
                <w:sz w:val="16"/>
              </w:rPr>
              <w:t>Service identity lifecycle</w:t>
            </w:r>
          </w:p>
        </w:tc>
        <w:tc>
          <w:tcPr>
            <w:tcW w:type="dxa" w:w="3362"/>
            <w:vAlign w:val="top"/>
          </w:tcPr>
          <w:p>
            <w:r>
              <w:rPr>
                <w:rFonts w:ascii="Noto Sans" w:hAnsi="Noto Sans" w:eastAsia="Noto Sans"/>
                <w:b w:val="0"/>
                <w:sz w:val="16"/>
              </w:rPr>
              <w:t>Synthetic/integration identity permitted.</w:t>
            </w:r>
          </w:p>
        </w:tc>
        <w:tc>
          <w:tcPr>
            <w:tcW w:type="dxa" w:w="3362"/>
            <w:vAlign w:val="top"/>
          </w:tcPr>
          <w:p>
            <w:r>
              <w:rPr>
                <w:rFonts w:ascii="Noto Sans" w:hAnsi="Noto Sans" w:eastAsia="Noto Sans"/>
                <w:b w:val="0"/>
                <w:sz w:val="16"/>
              </w:rPr>
              <w:t>Provisioning/rotation lifecycle required.</w:t>
            </w:r>
          </w:p>
        </w:tc>
      </w:tr>
      <w:tr>
        <w:tc>
          <w:tcPr>
            <w:tcW w:type="dxa" w:w="3362"/>
            <w:vAlign w:val="top"/>
          </w:tcPr>
          <w:p>
            <w:r>
              <w:rPr>
                <w:rFonts w:ascii="Noto Sans" w:hAnsi="Noto Sans" w:eastAsia="Noto Sans"/>
                <w:b w:val="0"/>
                <w:sz w:val="16"/>
              </w:rPr>
              <w:t>Routes/secrets/storage</w:t>
            </w:r>
          </w:p>
        </w:tc>
        <w:tc>
          <w:tcPr>
            <w:tcW w:type="dxa" w:w="3362"/>
            <w:vAlign w:val="top"/>
          </w:tcPr>
          <w:p>
            <w:r>
              <w:rPr>
                <w:rFonts w:ascii="Noto Sans" w:hAnsi="Noto Sans" w:eastAsia="Noto Sans"/>
                <w:b w:val="0"/>
                <w:sz w:val="16"/>
              </w:rPr>
              <w:t>Logical refs/stubs/Testcontainers permitted.</w:t>
            </w:r>
          </w:p>
        </w:tc>
        <w:tc>
          <w:tcPr>
            <w:tcW w:type="dxa" w:w="3362"/>
            <w:vAlign w:val="top"/>
          </w:tcPr>
          <w:p>
            <w:r>
              <w:rPr>
                <w:rFonts w:ascii="Noto Sans" w:hAnsi="Noto Sans" w:eastAsia="Noto Sans"/>
                <w:b w:val="0"/>
                <w:sz w:val="16"/>
              </w:rPr>
              <w:t>Actual environment bindings required.</w:t>
            </w:r>
          </w:p>
        </w:tc>
      </w:tr>
      <w:tr>
        <w:tc>
          <w:tcPr>
            <w:tcW w:type="dxa" w:w="3362"/>
            <w:vAlign w:val="top"/>
          </w:tcPr>
          <w:p>
            <w:r>
              <w:rPr>
                <w:rFonts w:ascii="Noto Sans" w:hAnsi="Noto Sans" w:eastAsia="Noto Sans"/>
                <w:b w:val="0"/>
                <w:sz w:val="16"/>
              </w:rPr>
              <w:t>RPO/RTO / representative environment</w:t>
            </w:r>
          </w:p>
        </w:tc>
        <w:tc>
          <w:tcPr>
            <w:tcW w:type="dxa" w:w="3362"/>
            <w:vAlign w:val="top"/>
          </w:tcPr>
          <w:p>
            <w:r>
              <w:rPr>
                <w:rFonts w:ascii="Noto Sans" w:hAnsi="Noto Sans" w:eastAsia="Noto Sans"/>
                <w:b w:val="0"/>
                <w:sz w:val="16"/>
              </w:rPr>
              <w:t>Not a functional coding blocker.</w:t>
            </w:r>
          </w:p>
        </w:tc>
        <w:tc>
          <w:tcPr>
            <w:tcW w:type="dxa" w:w="3362"/>
            <w:vAlign w:val="top"/>
          </w:tcPr>
          <w:p>
            <w:r>
              <w:rPr>
                <w:rFonts w:ascii="Noto Sans" w:hAnsi="Noto Sans" w:eastAsia="Noto Sans"/>
                <w:b w:val="0"/>
                <w:sz w:val="16"/>
              </w:rPr>
              <w:t>Required for final operational acceptance.</w:t>
            </w:r>
          </w:p>
        </w:tc>
      </w:tr>
    </w:tbl>
    <w:p>
      <w:pPr>
        <w:pStyle w:val="Heading1"/>
      </w:pPr>
      <w:r>
        <w:rPr>
          <w:rFonts w:ascii="Noto Sans" w:hAnsi="Noto Sans" w:eastAsia="Noto Sans"/>
        </w:rPr>
        <w:t>5. Coherence exit criteria</w:t>
      </w:r>
    </w:p>
    <w:p>
      <w:pPr>
        <w:pStyle w:val="ListBullet"/>
      </w:pPr>
      <w:r>
        <w:rPr>
          <w:rFonts w:ascii="Noto Sans" w:hAnsi="Noto Sans" w:eastAsia="Noto Sans"/>
          <w:b w:val="0"/>
          <w:sz w:val="18"/>
        </w:rPr>
        <w:t>Blueprint v0.3 is current L0 integration authority.</w:t>
      </w:r>
    </w:p>
    <w:p>
      <w:pPr>
        <w:pStyle w:val="ListBullet"/>
      </w:pPr>
      <w:r>
        <w:rPr>
          <w:rFonts w:ascii="Noto Sans" w:hAnsi="Noto Sans" w:eastAsia="Noto Sans"/>
          <w:b w:val="0"/>
          <w:sz w:val="18"/>
        </w:rPr>
        <w:t>E2E v0.3 is the only canonical cross-module scenario catalogue.</w:t>
      </w:r>
    </w:p>
    <w:p>
      <w:pPr>
        <w:pStyle w:val="ListBullet"/>
      </w:pPr>
      <w:r>
        <w:rPr>
          <w:rFonts w:ascii="Noto Sans" w:hAnsi="Noto Sans" w:eastAsia="Noto Sans"/>
          <w:b w:val="0"/>
          <w:sz w:val="18"/>
        </w:rPr>
        <w:t>WBS v0.4 includes MCP implementation and THS Protected Operations.</w:t>
      </w:r>
    </w:p>
    <w:p>
      <w:pPr>
        <w:pStyle w:val="ListBullet"/>
      </w:pPr>
      <w:r>
        <w:rPr>
          <w:rFonts w:ascii="Noto Sans" w:hAnsi="Noto Sans" w:eastAsia="Noto Sans"/>
          <w:b w:val="0"/>
          <w:sz w:val="18"/>
        </w:rPr>
        <w:t>Readiness Matrix v1.2 distinguishes internal development readiness from representative environment readiness.</w:t>
      </w:r>
    </w:p>
    <w:p>
      <w:pPr>
        <w:pStyle w:val="ListBullet"/>
      </w:pPr>
      <w:r>
        <w:rPr>
          <w:rFonts w:ascii="Noto Sans" w:hAnsi="Noto Sans" w:eastAsia="Noto Sans"/>
          <w:b w:val="0"/>
          <w:sz w:val="18"/>
        </w:rPr>
        <w:t>Contract repository rc3-coherence has one current-status authority and archived historical reports.</w:t>
      </w:r>
    </w:p>
    <w:p>
      <w:pPr>
        <w:pStyle w:val="ListBullet"/>
      </w:pPr>
      <w:r>
        <w:rPr>
          <w:rFonts w:ascii="Noto Sans" w:hAnsi="Noto Sans" w:eastAsia="Noto Sans"/>
          <w:b w:val="0"/>
          <w:sz w:val="18"/>
        </w:rPr>
        <w:t>Starter Kit v0.2.1 makes Helm lint/template a blocking target-CI gate and wires network-policy ingress/egress values.</w:t>
      </w:r>
    </w:p>
    <w:p>
      <w:r>
        <w:br w:type="page"/>
      </w:r>
    </w:p>
    <w:p>
      <w:pPr>
        <w:pStyle w:val="Heading1"/>
      </w:pPr>
      <w:r>
        <w:t>6. Operational Awareness cross-module alignment</w:t>
      </w:r>
    </w:p>
    <w:p>
      <w:r>
        <w:t>This section is normative for all implementation work performed after Matrix v1.7. It introduces no new central incident microservice. Producer modules remain authoritative for their own operational state; MCP is the human-facing conversational projection and aggregation layer.</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Concern</w:t>
            </w:r>
          </w:p>
        </w:tc>
        <w:tc>
          <w:tcPr>
            <w:tcW w:type="dxa" w:w="2017"/>
          </w:tcPr>
          <w:p>
            <w:r>
              <w:rPr>
                <w:b/>
              </w:rPr>
              <w:t>Authoritative owner</w:t>
            </w:r>
          </w:p>
        </w:tc>
        <w:tc>
          <w:tcPr>
            <w:tcW w:type="dxa" w:w="2017"/>
          </w:tcPr>
          <w:p>
            <w:r>
              <w:rPr>
                <w:b/>
              </w:rPr>
              <w:t>Persistence</w:t>
            </w:r>
          </w:p>
        </w:tc>
        <w:tc>
          <w:tcPr>
            <w:tcW w:type="dxa" w:w="2017"/>
          </w:tcPr>
          <w:p>
            <w:r>
              <w:rPr>
                <w:b/>
              </w:rPr>
              <w:t>MCP exposure</w:t>
            </w:r>
          </w:p>
        </w:tc>
        <w:tc>
          <w:tcPr>
            <w:tcW w:type="dxa" w:w="2017"/>
          </w:tcPr>
          <w:p>
            <w:r>
              <w:rPr>
                <w:b/>
              </w:rPr>
              <w:t>Key invariant</w:t>
            </w:r>
          </w:p>
        </w:tc>
      </w:tr>
      <w:tr>
        <w:tc>
          <w:tcPr>
            <w:tcW w:type="dxa" w:w="2017"/>
          </w:tcPr>
          <w:p>
            <w:r>
              <w:t>Ingestion run/source faults</w:t>
            </w:r>
          </w:p>
        </w:tc>
        <w:tc>
          <w:tcPr>
            <w:tcW w:type="dxa" w:w="2017"/>
          </w:tcPr>
          <w:p>
            <w:r>
              <w:t>Ingestion Runtime</w:t>
            </w:r>
          </w:p>
        </w:tc>
        <w:tc>
          <w:tcPr>
            <w:tcW w:type="dxa" w:w="2017"/>
          </w:tcPr>
          <w:p>
            <w:r>
              <w:t>Ingestion datastore</w:t>
            </w:r>
          </w:p>
        </w:tc>
        <w:tc>
          <w:tcPr>
            <w:tcW w:type="dxa" w:w="2017"/>
          </w:tcPr>
          <w:p>
            <w:r>
              <w:t>ingestion.status/history + operations.*</w:t>
            </w:r>
          </w:p>
        </w:tc>
        <w:tc>
          <w:tcPr>
            <w:tcW w:type="dxa" w:w="2017"/>
          </w:tcPr>
          <w:p>
            <w:r>
              <w:t>Offline catch-up survives client disconnect</w:t>
            </w:r>
          </w:p>
        </w:tc>
      </w:tr>
      <w:tr>
        <w:tc>
          <w:tcPr>
            <w:tcW w:type="dxa" w:w="2017"/>
          </w:tcPr>
          <w:p>
            <w:r>
              <w:t>Source schedule/retry/misfire policy</w:t>
            </w:r>
          </w:p>
        </w:tc>
        <w:tc>
          <w:tcPr>
            <w:tcW w:type="dxa" w:w="2017"/>
          </w:tcPr>
          <w:p>
            <w:r>
              <w:t>Source Onboarding</w:t>
            </w:r>
          </w:p>
        </w:tc>
        <w:tc>
          <w:tcPr>
            <w:tcW w:type="dxa" w:w="2017"/>
          </w:tcPr>
          <w:p>
            <w:r>
              <w:t>Versioned PublishedConfigurationBundle</w:t>
            </w:r>
          </w:p>
        </w:tc>
        <w:tc>
          <w:tcPr>
            <w:tcW w:type="dxa" w:w="2017"/>
          </w:tcPr>
          <w:p>
            <w:r>
              <w:t>read-only projection as needed</w:t>
            </w:r>
          </w:p>
        </w:tc>
        <w:tc>
          <w:tcPr>
            <w:tcW w:type="dxa" w:w="2017"/>
          </w:tcPr>
          <w:p>
            <w:r>
              <w:t>Runtime does not invent scheduler policy</w:t>
            </w:r>
          </w:p>
        </w:tc>
      </w:tr>
      <w:tr>
        <w:tc>
          <w:tcPr>
            <w:tcW w:type="dxa" w:w="2017"/>
          </w:tcPr>
          <w:p>
            <w:r>
              <w:t>Gateway routing/publication/etcd/trust faults</w:t>
            </w:r>
          </w:p>
        </w:tc>
        <w:tc>
          <w:tcPr>
            <w:tcW w:type="dxa" w:w="2017"/>
          </w:tcPr>
          <w:p>
            <w:r>
              <w:t>Urban API Gateway</w:t>
            </w:r>
          </w:p>
        </w:tc>
        <w:tc>
          <w:tcPr>
            <w:tcW w:type="dxa" w:w="2017"/>
          </w:tcPr>
          <w:p>
            <w:r>
              <w:t>Gateway operational/audit persistence</w:t>
            </w:r>
          </w:p>
        </w:tc>
        <w:tc>
          <w:tcPr>
            <w:tcW w:type="dxa" w:w="2017"/>
          </w:tcPr>
          <w:p>
            <w:r>
              <w:t>system.status + operations.*</w:t>
            </w:r>
          </w:p>
        </w:tc>
        <w:tc>
          <w:tcPr>
            <w:tcW w:type="dxa" w:w="2017"/>
          </w:tcPr>
          <w:p>
            <w:r>
              <w:t>No raw APISIX/etcd telemetry exposed</w:t>
            </w:r>
          </w:p>
        </w:tc>
      </w:tr>
      <w:tr>
        <w:tc>
          <w:tcPr>
            <w:tcW w:type="dxa" w:w="2017"/>
          </w:tcPr>
          <w:p>
            <w:r>
              <w:t>Authorization/redaction decision</w:t>
            </w:r>
          </w:p>
        </w:tc>
        <w:tc>
          <w:tcPr>
            <w:tcW w:type="dxa" w:w="2017"/>
          </w:tcPr>
          <w:p>
            <w:r>
              <w:t>Authorization</w:t>
            </w:r>
          </w:p>
        </w:tc>
        <w:tc>
          <w:tcPr>
            <w:tcW w:type="dxa" w:w="2017"/>
          </w:tcPr>
          <w:p>
            <w:r>
              <w:t>Authorization/audit evidence</w:t>
            </w:r>
          </w:p>
        </w:tc>
        <w:tc>
          <w:tcPr>
            <w:tcW w:type="dxa" w:w="2017"/>
          </w:tcPr>
          <w:p>
            <w:r>
              <w:t>applied to every operational query</w:t>
            </w:r>
          </w:p>
        </w:tc>
        <w:tc>
          <w:tcPr>
            <w:tcW w:type="dxa" w:w="2017"/>
          </w:tcPr>
          <w:p>
            <w:r>
              <w:t>NOT_AUTHORIZED != NO_INCIDENTS</w:t>
            </w:r>
          </w:p>
        </w:tc>
      </w:tr>
      <w:tr>
        <w:tc>
          <w:tcPr>
            <w:tcW w:type="dxa" w:w="2017"/>
          </w:tcPr>
          <w:p>
            <w:r>
              <w:t>Cross-module conversational summary</w:t>
            </w:r>
          </w:p>
        </w:tc>
        <w:tc>
          <w:tcPr>
            <w:tcW w:type="dxa" w:w="2017"/>
          </w:tcPr>
          <w:p>
            <w:r>
              <w:t>MCP Server</w:t>
            </w:r>
          </w:p>
        </w:tc>
        <w:tc>
          <w:tcPr>
            <w:tcW w:type="dxa" w:w="2017"/>
          </w:tcPr>
          <w:p>
            <w:r>
              <w:t>No new producer truth; optional bounded cursor state only</w:t>
            </w:r>
          </w:p>
        </w:tc>
        <w:tc>
          <w:tcPr>
            <w:tcW w:type="dxa" w:w="2017"/>
          </w:tcPr>
          <w:p>
            <w:r>
              <w:t>primary chatbot surface</w:t>
            </w:r>
          </w:p>
        </w:tc>
        <w:tc>
          <w:tcPr>
            <w:tcW w:type="dxa" w:w="2017"/>
          </w:tcPr>
          <w:p>
            <w:r>
              <w:t>MCP cannot manufacture HEALTHY when evidence is missing</w:t>
            </w:r>
          </w:p>
        </w:tc>
      </w:tr>
      <w:tr>
        <w:tc>
          <w:tcPr>
            <w:tcW w:type="dxa" w:w="2017"/>
          </w:tcPr>
          <w:p>
            <w:r>
              <w:t>Protected operational detail / corrective human action</w:t>
            </w:r>
          </w:p>
        </w:tc>
        <w:tc>
          <w:tcPr>
            <w:tcW w:type="dxa" w:w="2017"/>
          </w:tcPr>
          <w:p>
            <w:r>
              <w:t>THS + domain owner</w:t>
            </w:r>
          </w:p>
        </w:tc>
        <w:tc>
          <w:tcPr>
            <w:tcW w:type="dxa" w:w="2017"/>
          </w:tcPr>
          <w:p>
            <w:r>
              <w:t>owner audit/evidence</w:t>
            </w:r>
          </w:p>
        </w:tc>
        <w:tc>
          <w:tcPr>
            <w:tcW w:type="dxa" w:w="2017"/>
          </w:tcPr>
          <w:p>
            <w:r>
              <w:t>handoff only</w:t>
            </w:r>
          </w:p>
        </w:tc>
        <w:tc>
          <w:tcPr>
            <w:tcW w:type="dxa" w:w="2017"/>
          </w:tcPr>
          <w:p>
            <w:r>
              <w:t>HUMAN_USER authority preserved</w:t>
            </w:r>
          </w:p>
        </w:tc>
      </w:tr>
    </w:tbl>
    <w:p>
      <w:pPr>
        <w:pStyle w:val="Heading2"/>
      </w:pPr>
      <w:r>
        <w:t>6.1 Canonical lifecycle and severity</w:t>
      </w:r>
    </w:p>
    <w:p/>
    <w:p>
      <w:r>
        <w:t>lifecycleState = OPEN | RECOVERING | RESOLVED; severity = INFO | WARNING | ERROR | CRITICAL</w:t>
      </w:r>
    </w:p>
    <w:p>
      <w:pPr>
        <w:pStyle w:val="ListBullet"/>
      </w:pPr>
      <w:r>
        <w:t>Operational events are durable semantic transitions, not a mirror of logs/metrics.</w:t>
      </w:r>
    </w:p>
    <w:p>
      <w:pPr>
        <w:pStyle w:val="ListBullet"/>
      </w:pPr>
      <w:r>
        <w:t>dedupKey + incidentId aggregate equivalent retry/fault events; recovery closes the same incident when causally equivalent.</w:t>
      </w:r>
    </w:p>
    <w:p>
      <w:pPr>
        <w:pStyle w:val="ListBullet"/>
      </w:pPr>
      <w:r>
        <w:t>Each event carries module ownership, timestamps, correlation context, visibility class, safe impact summary and evidence references.</w:t>
      </w:r>
    </w:p>
    <w:p>
      <w:pPr>
        <w:pStyle w:val="ListBullet"/>
      </w:pPr>
      <w:r>
        <w:t>Live notification is optional; persistent catch-up is mandatory.</w:t>
      </w:r>
    </w:p>
    <w:p>
      <w:pPr>
        <w:pStyle w:val="Heading2"/>
      </w:pPr>
      <w:r>
        <w:t>6.2 Canonical chatbot scenarios</w:t>
      </w:r>
    </w:p>
    <w:p>
      <w:pPr>
        <w:pStyle w:val="ListBullet"/>
      </w:pPr>
      <w:r>
        <w:t>OUF-OA-001 — User reconnects after scheduled ingestion transient failure that self-recovered: summary reports RESOLVED incident, duration, retry count and no action required.</w:t>
      </w:r>
    </w:p>
    <w:p>
      <w:pPr>
        <w:pStyle w:val="ListBullet"/>
      </w:pPr>
      <w:r>
        <w:t>OUF-OA-002 — User reconnects after terminal scheduled ingestion failure: OPEN incident reports source/job, safe error code, last attempt and action required.</w:t>
      </w:r>
    </w:p>
    <w:p>
      <w:pPr>
        <w:pStyle w:val="ListBullet"/>
      </w:pPr>
      <w:r>
        <w:t>OUF-OA-003 — Gateway cannot reach one producer while other modules are healthy: system.status is PARTIAL/UNKNOWN for the missing producer, not global HEALTHY.</w:t>
      </w:r>
    </w:p>
    <w:p>
      <w:pPr>
        <w:pStyle w:val="ListBullet"/>
      </w:pPr>
      <w:r>
        <w:t>OUF-OA-004 — Security-sensitive fault exists but actor lacks permission: response preserves redaction/authorization semantics without disclosing protected detail.</w:t>
      </w:r>
    </w:p>
    <w:p>
      <w:pPr>
        <w:pStyle w:val="ListBullet"/>
      </w:pPr>
      <w:r>
        <w:t>OUF-OA-005 — Repeated equivalent timeout generates one incident timeline rather than notification storm.</w:t>
      </w:r>
    </w:p>
    <w:p>
      <w:pPr>
        <w:pStyle w:val="ListBullet"/>
      </w:pPr>
      <w:r>
        <w:t>OUF-OA-006 — Lost live notification followed by reconnect still returns the persisted incident through summary/history.</w:t>
      </w:r>
    </w:p>
    <w:p>
      <w:pPr>
        <w:pStyle w:val="Heading2"/>
      </w:pPr>
      <w:r>
        <w:t>6.3 Release gates</w:t>
      </w:r>
    </w:p>
    <w:p>
      <w:pPr>
        <w:pStyle w:val="ListBullet"/>
      </w:pPr>
      <w:r>
        <w:t>Each producer PET has persistent operational-event requirements and retention.</w:t>
      </w:r>
    </w:p>
    <w:p>
      <w:pPr>
        <w:pStyle w:val="ListBullet"/>
      </w:pPr>
      <w:r>
        <w:t>MCP PET exposes bounded operational capabilities and preserves partial/unknown semantics.</w:t>
      </w:r>
    </w:p>
    <w:p>
      <w:pPr>
        <w:pStyle w:val="ListBullet"/>
      </w:pPr>
      <w:r>
        <w:t>Gateway routes and authorizes operational queries without new network bypasses.</w:t>
      </w:r>
    </w:p>
    <w:p>
      <w:pPr>
        <w:pStyle w:val="ListBullet"/>
      </w:pPr>
      <w:r>
        <w:t>Authorization defines detail-level/visibility-class policy and audit evidence.</w:t>
      </w:r>
    </w:p>
    <w:p>
      <w:pPr>
        <w:pStyle w:val="ListBullet"/>
      </w:pPr>
      <w:r>
        <w:t>Pairwise tests cover Ingestion↔Gateway↔MCP and denial/redaction cases.</w:t>
      </w:r>
    </w:p>
    <w:p>
      <w:pPr>
        <w:pStyle w:val="ListBullet"/>
      </w:pPr>
      <w:r>
        <w:t>Full-path acceptance includes offline fault → persisted incident → later chatbot catch-up.</w:t>
      </w:r>
    </w:p>
    <w:p>
      <w:r>
        <w:br w:type="page"/>
      </w:r>
    </w:p>
    <w:p>
      <w:pPr>
        <w:pStyle w:val="Heading1"/>
      </w:pPr>
      <w:r>
        <w:t>7. Channel-neutral human-facing capability alignment</w:t>
      </w:r>
    </w:p>
    <w:p>
      <w:r>
        <w:t>This section is normative for all work after Matrix v1.7. It corrects an MCP-centric ambiguity introduced during the first Operational Awareness implementation slice.</w:t>
      </w:r>
    </w:p>
    <w:tbl>
      <w:tblPr>
        <w:tblStyle w:val="TableGrid"/>
        <w:tblW w:type="auto" w:w="0"/>
        <w:tblLook w:firstColumn="1" w:firstRow="1" w:lastColumn="0" w:lastRow="0" w:noHBand="0" w:noVBand="1" w:val="04A0"/>
      </w:tblPr>
      <w:tblGrid>
        <w:gridCol w:w="5043"/>
        <w:gridCol w:w="5043"/>
      </w:tblGrid>
      <w:tr>
        <w:tc>
          <w:tcPr>
            <w:tcW w:type="dxa" w:w="5043"/>
          </w:tcPr>
          <w:p>
            <w:r>
              <w:rPr>
                <w:b/>
              </w:rPr>
              <w:t>Invariant</w:t>
            </w:r>
          </w:p>
        </w:tc>
        <w:tc>
          <w:tcPr>
            <w:tcW w:type="dxa" w:w="5043"/>
          </w:tcPr>
          <w:p>
            <w:r>
              <w:rPr>
                <w:b/>
              </w:rPr>
              <w:t>Alignment rule</w:t>
            </w:r>
          </w:p>
        </w:tc>
      </w:tr>
      <w:tr>
        <w:tc>
          <w:tcPr>
            <w:tcW w:type="dxa" w:w="5043"/>
          </w:tcPr>
          <w:p>
            <w:r>
              <w:t>Capability identity</w:t>
            </w:r>
          </w:p>
        </w:tc>
        <w:tc>
          <w:tcPr>
            <w:tcW w:type="dxa" w:w="5043"/>
          </w:tcPr>
          <w:p>
            <w:r>
              <w:t>Human-facing OUF functionality is defined as a channel-neutral capability, not as an MCP-only tool.</w:t>
            </w:r>
          </w:p>
        </w:tc>
      </w:tr>
      <w:tr>
        <w:tc>
          <w:tcPr>
            <w:tcW w:type="dxa" w:w="5043"/>
          </w:tcPr>
          <w:p>
            <w:r>
              <w:t>Common mediation</w:t>
            </w:r>
          </w:p>
        </w:tc>
        <w:tc>
          <w:tcPr>
            <w:tcW w:type="dxa" w:w="5043"/>
          </w:tcPr>
          <w:p>
            <w:r>
              <w:t>Urban API Gateway mediates approved human-facing capability execution for MCP, UI, CLI and automation channels.</w:t>
            </w:r>
          </w:p>
        </w:tc>
      </w:tr>
      <w:tr>
        <w:tc>
          <w:tcPr>
            <w:tcW w:type="dxa" w:w="5043"/>
          </w:tcPr>
          <w:p>
            <w:r>
              <w:t>MCP role</w:t>
            </w:r>
          </w:p>
        </w:tc>
        <w:tc>
          <w:tcPr>
            <w:tcW w:type="dxa" w:w="5043"/>
          </w:tcPr>
          <w:p>
            <w:r>
              <w:t>MCP provides governed conversational discovery/invocation; it does not own exclusive application access.</w:t>
            </w:r>
          </w:p>
        </w:tc>
      </w:tr>
      <w:tr>
        <w:tc>
          <w:tcPr>
            <w:tcW w:type="dxa" w:w="5043"/>
          </w:tcPr>
          <w:p>
            <w:r>
              <w:t>Owner role</w:t>
            </w:r>
          </w:p>
        </w:tc>
        <w:tc>
          <w:tcPr>
            <w:tcW w:type="dxa" w:w="5043"/>
          </w:tcPr>
          <w:p>
            <w:r>
              <w:t>Each physical module exposes a private owner API for its capabilities, including MCP-owned capabilities.</w:t>
            </w:r>
          </w:p>
        </w:tc>
      </w:tr>
      <w:tr>
        <w:tc>
          <w:tcPr>
            <w:tcW w:type="dxa" w:w="5043"/>
          </w:tcPr>
          <w:p>
            <w:r>
              <w:t>No recursion</w:t>
            </w:r>
          </w:p>
        </w:tc>
        <w:tc>
          <w:tcPr>
            <w:tcW w:type="dxa" w:w="5043"/>
          </w:tcPr>
          <w:p>
            <w:r>
              <w:t>Gateway -&gt; MCP owner API is permitted; Gateway -&gt; /mcp for MCP-owned capability execution is forbidden.</w:t>
            </w:r>
          </w:p>
        </w:tc>
      </w:tr>
      <w:tr>
        <w:tc>
          <w:tcPr>
            <w:tcW w:type="dxa" w:w="5043"/>
          </w:tcPr>
          <w:p>
            <w:r>
              <w:t>Security equivalence</w:t>
            </w:r>
          </w:p>
        </w:tc>
        <w:tc>
          <w:tcPr>
            <w:tcW w:type="dxa" w:w="5043"/>
          </w:tcPr>
          <w:p>
            <w:r>
              <w:t>Authorization, tenant isolation, redaction, audit and evidence semantics do not weaken or change by presentation channel.</w:t>
            </w:r>
          </w:p>
        </w:tc>
      </w:tr>
      <w:tr>
        <w:tc>
          <w:tcPr>
            <w:tcW w:type="dxa" w:w="5043"/>
          </w:tcPr>
          <w:p>
            <w:r>
              <w:t>Network boundary</w:t>
            </w:r>
          </w:p>
        </w:tc>
        <w:tc>
          <w:tcPr>
            <w:tcW w:type="dxa" w:w="5043"/>
          </w:tcPr>
          <w:p>
            <w:r>
              <w:t>Private owner APIs are reachable only from approved Gateway/control-plane identities according to NetworkPolicy/trust policy.</w:t>
            </w:r>
          </w:p>
        </w:tc>
      </w:tr>
    </w:tbl>
    <w:p>
      <w:pPr>
        <w:pStyle w:val="Heading2"/>
      </w:pPr>
      <w:r>
        <w:t>7.1 Corrected ouf.system.status topology</w:t>
      </w:r>
    </w:p>
    <w:p>
      <w:r>
        <w:t>Chatbot path: Human -&gt; chatbot/MCP client -&gt; MCP protocol/tool projection -&gt; Urban API Gateway -&gt; MCP private owner API -&gt; MCP authoritative datastore projection.</w:t>
      </w:r>
    </w:p>
    <w:p>
      <w:r>
        <w:t>Future UI path: Human -&gt; UI -&gt; Urban API Gateway -&gt; MCP private owner API -&gt; MCP authoritative datastore projection.</w:t>
      </w:r>
    </w:p>
    <w:p>
      <w:r>
        <w:t>The two paths share the same capability identity and backend owner contract. Their authentication mechanism may differ, but Authorization and information-disclosure semantics remain governed and comparable.</w:t>
      </w:r>
    </w:p>
    <w:p>
      <w:pPr>
        <w:pStyle w:val="Heading2"/>
      </w:pPr>
      <w:r>
        <w:t>7.2 Alignment gates</w:t>
      </w:r>
    </w:p>
    <w:p>
      <w:pPr>
        <w:pStyle w:val="ListBullet"/>
      </w:pPr>
      <w:r>
        <w:t>OUF-OA-CN-001 — No human-facing capability is implemented only as an MCP-local datastore shortcut.</w:t>
      </w:r>
    </w:p>
    <w:p>
      <w:pPr>
        <w:pStyle w:val="ListBullet"/>
      </w:pPr>
      <w:r>
        <w:t>OUF-OA-CN-002 — Pairwise test proves MCP -&gt; Gateway -&gt; MCP owner API binding for ouf.system.status.</w:t>
      </w:r>
    </w:p>
    <w:p>
      <w:pPr>
        <w:pStyle w:val="ListBullet"/>
      </w:pPr>
      <w:r>
        <w:t>OUF-OA-CN-003 — Gateway contract test proves a non-MCP presentation channel can bind the same capability subject to Authorization.</w:t>
      </w:r>
    </w:p>
    <w:p>
      <w:pPr>
        <w:pStyle w:val="ListBullet"/>
      </w:pPr>
      <w:r>
        <w:t>OUF-OA-CN-004 — NetworkPolicy/trust evidence proves the owner API is not directly exposed to ordinary clients.</w:t>
      </w:r>
    </w:p>
    <w:p>
      <w:pPr>
        <w:pStyle w:val="ListBullet"/>
      </w:pPr>
      <w:r>
        <w:t>OUF-OA-CN-005 — No recursive Gateway -&gt; /mcp dispatch is present.</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Noto Sans"/>
    </w:rPr>
  </w:style>
  <w:style w:type="character" w:customStyle="1" w:styleId="HeaderChar">
    <w:name w:val="Header Char"/>
    <w:basedOn w:val="DefaultParagraphFont"/>
    <w:link w:val="Header"/>
    <w:uiPriority w:val="99"/>
    <w:rsid w:val="00E618BF"/>
    <w:rPr>
      <w:rFonts w:ascii="Aptos" w:hAnsi="Aptos" w:eastAsia="Not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Noto Sans"/>
    </w:rPr>
  </w:style>
  <w:style w:type="character" w:customStyle="1" w:styleId="FooterChar">
    <w:name w:val="Footer Char"/>
    <w:basedOn w:val="DefaultParagraphFont"/>
    <w:link w:val="Footer"/>
    <w:uiPriority w:val="99"/>
    <w:rsid w:val="00E618BF"/>
    <w:rPr>
      <w:rFonts w:ascii="Aptos" w:hAnsi="Aptos" w:eastAsia="Not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Noto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Noto San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Not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eastAsia="Not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eastAsia="Not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eastAsia="Not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eastAsia="Not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eastAsia="Noto Sans"/>
      <w:i/>
      <w:iCs/>
      <w:color w:val="404040" w:themeColor="text1" w:themeTint="BF"/>
      <w:sz w:val="20"/>
      <w:szCs w:val="20"/>
    </w:rPr>
  </w:style>
  <w:style w:type="character" w:default="1" w:styleId="DefaultParagraphFont">
    <w:name w:val="Default Paragraph Font"/>
    <w:uiPriority w:val="1"/>
    <w:semiHidden/>
    <w:unhideWhenUsed/>
    <w:rPr>
      <w:rFonts w:ascii="Aptos" w:hAnsi="Aptos" w:eastAsia="Noto Sans"/>
    </w:rPr>
  </w:style>
  <w:style w:type="table" w:default="1" w:styleId="TableNormal">
    <w:name w:val="Normal Table"/>
    <w:uiPriority w:val="99"/>
    <w:semiHidden/>
    <w:unhideWhenUsed/>
    <w:rPr>
      <w:rFonts w:ascii="Aptos" w:hAnsi="Aptos" w:eastAsia="Not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eastAsia="Not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eastAsia="Not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eastAsia="Not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eastAsia="Not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eastAsia="Not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eastAsia="Not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Noto Sans"/>
    </w:rPr>
  </w:style>
  <w:style w:type="paragraph" w:styleId="BodyText">
    <w:name w:val="Body Text"/>
    <w:basedOn w:val="Normal"/>
    <w:link w:val="BodyTextChar"/>
    <w:uiPriority w:val="99"/>
    <w:unhideWhenUsed/>
    <w:rsid w:val="00AA1D8D"/>
    <w:pPr>
      <w:spacing w:after="120"/>
    </w:pPr>
    <w:rPr>
      <w:rFonts w:ascii="Aptos" w:hAnsi="Aptos" w:eastAsia="Noto Sans"/>
    </w:rPr>
  </w:style>
  <w:style w:type="character" w:customStyle="1" w:styleId="BodyTextChar">
    <w:name w:val="Body Text Char"/>
    <w:basedOn w:val="DefaultParagraphFont"/>
    <w:link w:val="BodyText"/>
    <w:uiPriority w:val="99"/>
    <w:rsid w:val="00AA1D8D"/>
    <w:rPr>
      <w:rFonts w:ascii="Aptos" w:hAnsi="Aptos" w:eastAsia="Noto Sans"/>
    </w:rPr>
  </w:style>
  <w:style w:type="paragraph" w:styleId="BodyText2">
    <w:name w:val="Body Text 2"/>
    <w:basedOn w:val="Normal"/>
    <w:link w:val="BodyText2Char"/>
    <w:uiPriority w:val="99"/>
    <w:unhideWhenUsed/>
    <w:rsid w:val="00AA1D8D"/>
    <w:pPr>
      <w:spacing w:after="120" w:line="480" w:lineRule="auto"/>
    </w:pPr>
    <w:rPr>
      <w:rFonts w:ascii="Aptos" w:hAnsi="Aptos" w:eastAsia="Noto Sans"/>
    </w:rPr>
  </w:style>
  <w:style w:type="character" w:customStyle="1" w:styleId="BodyText2Char">
    <w:name w:val="Body Text 2 Char"/>
    <w:basedOn w:val="DefaultParagraphFont"/>
    <w:link w:val="BodyText2"/>
    <w:uiPriority w:val="99"/>
    <w:rsid w:val="00AA1D8D"/>
    <w:rPr>
      <w:rFonts w:ascii="Aptos" w:hAnsi="Aptos" w:eastAsia="Noto Sans"/>
    </w:rPr>
  </w:style>
  <w:style w:type="paragraph" w:styleId="BodyText3">
    <w:name w:val="Body Text 3"/>
    <w:basedOn w:val="Normal"/>
    <w:link w:val="BodyText3Char"/>
    <w:uiPriority w:val="99"/>
    <w:unhideWhenUsed/>
    <w:rsid w:val="00AA1D8D"/>
    <w:pPr>
      <w:spacing w:after="120"/>
    </w:pPr>
    <w:rPr>
      <w:rFonts w:ascii="Aptos" w:hAnsi="Aptos" w:eastAsia="Noto Sans"/>
      <w:sz w:val="16"/>
      <w:szCs w:val="16"/>
    </w:rPr>
  </w:style>
  <w:style w:type="character" w:customStyle="1" w:styleId="BodyText3Char">
    <w:name w:val="Body Text 3 Char"/>
    <w:basedOn w:val="DefaultParagraphFont"/>
    <w:link w:val="BodyText3"/>
    <w:uiPriority w:val="99"/>
    <w:rsid w:val="00AA1D8D"/>
    <w:rPr>
      <w:rFonts w:ascii="Aptos" w:hAnsi="Aptos" w:eastAsia="Noto Sans"/>
      <w:sz w:val="16"/>
      <w:szCs w:val="16"/>
    </w:rPr>
  </w:style>
  <w:style w:type="paragraph" w:styleId="List">
    <w:name w:val="List"/>
    <w:basedOn w:val="Normal"/>
    <w:uiPriority w:val="99"/>
    <w:unhideWhenUsed/>
    <w:rsid w:val="00AA1D8D"/>
    <w:pPr>
      <w:ind w:left="360" w:hanging="360"/>
      <w:contextualSpacing/>
    </w:pPr>
    <w:rPr>
      <w:rFonts w:ascii="Aptos" w:hAnsi="Aptos" w:eastAsia="Noto Sans"/>
    </w:rPr>
  </w:style>
  <w:style w:type="paragraph" w:styleId="List2">
    <w:name w:val="List 2"/>
    <w:basedOn w:val="Normal"/>
    <w:uiPriority w:val="99"/>
    <w:unhideWhenUsed/>
    <w:rsid w:val="00326F90"/>
    <w:pPr>
      <w:ind w:left="720" w:hanging="360"/>
      <w:contextualSpacing/>
    </w:pPr>
    <w:rPr>
      <w:rFonts w:ascii="Aptos" w:hAnsi="Aptos" w:eastAsia="Noto Sans"/>
    </w:rPr>
  </w:style>
  <w:style w:type="paragraph" w:styleId="List3">
    <w:name w:val="List 3"/>
    <w:basedOn w:val="Normal"/>
    <w:uiPriority w:val="99"/>
    <w:unhideWhenUsed/>
    <w:rsid w:val="00326F90"/>
    <w:pPr>
      <w:ind w:left="1080" w:hanging="360"/>
      <w:contextualSpacing/>
    </w:pPr>
    <w:rPr>
      <w:rFonts w:ascii="Aptos" w:hAnsi="Aptos" w:eastAsia="Noto Sans"/>
    </w:rPr>
  </w:style>
  <w:style w:type="paragraph" w:styleId="ListBullet">
    <w:name w:val="List Bullet"/>
    <w:basedOn w:val="Normal"/>
    <w:uiPriority w:val="99"/>
    <w:unhideWhenUsed/>
    <w:rsid w:val="00326F90"/>
    <w:pPr>
      <w:numPr>
        <w:numId w:val="1"/>
      </w:numPr>
      <w:contextualSpacing/>
    </w:pPr>
    <w:rPr>
      <w:rFonts w:ascii="Aptos" w:hAnsi="Aptos" w:eastAsia="Noto Sans"/>
    </w:rPr>
  </w:style>
  <w:style w:type="paragraph" w:styleId="ListBullet2">
    <w:name w:val="List Bullet 2"/>
    <w:basedOn w:val="Normal"/>
    <w:uiPriority w:val="99"/>
    <w:unhideWhenUsed/>
    <w:rsid w:val="00326F90"/>
    <w:pPr>
      <w:numPr>
        <w:numId w:val="2"/>
      </w:numPr>
      <w:contextualSpacing/>
    </w:pPr>
    <w:rPr>
      <w:rFonts w:ascii="Aptos" w:hAnsi="Aptos" w:eastAsia="Noto Sans"/>
    </w:rPr>
  </w:style>
  <w:style w:type="paragraph" w:styleId="ListBullet3">
    <w:name w:val="List Bullet 3"/>
    <w:basedOn w:val="Normal"/>
    <w:uiPriority w:val="99"/>
    <w:unhideWhenUsed/>
    <w:rsid w:val="00326F90"/>
    <w:pPr>
      <w:numPr>
        <w:numId w:val="3"/>
      </w:numPr>
      <w:contextualSpacing/>
    </w:pPr>
    <w:rPr>
      <w:rFonts w:ascii="Aptos" w:hAnsi="Aptos" w:eastAsia="Noto Sans"/>
    </w:rPr>
  </w:style>
  <w:style w:type="paragraph" w:styleId="ListNumber">
    <w:name w:val="List Number"/>
    <w:basedOn w:val="Normal"/>
    <w:uiPriority w:val="99"/>
    <w:unhideWhenUsed/>
    <w:rsid w:val="00326F90"/>
    <w:pPr>
      <w:numPr>
        <w:numId w:val="5"/>
      </w:numPr>
      <w:contextualSpacing/>
    </w:pPr>
    <w:rPr>
      <w:rFonts w:ascii="Aptos" w:hAnsi="Aptos" w:eastAsia="Noto Sans"/>
    </w:rPr>
  </w:style>
  <w:style w:type="paragraph" w:styleId="ListNumber2">
    <w:name w:val="List Number 2"/>
    <w:basedOn w:val="Normal"/>
    <w:uiPriority w:val="99"/>
    <w:unhideWhenUsed/>
    <w:rsid w:val="0029639D"/>
    <w:pPr>
      <w:numPr>
        <w:numId w:val="6"/>
      </w:numPr>
      <w:contextualSpacing/>
    </w:pPr>
    <w:rPr>
      <w:rFonts w:ascii="Aptos" w:hAnsi="Aptos" w:eastAsia="Noto Sans"/>
    </w:rPr>
  </w:style>
  <w:style w:type="paragraph" w:styleId="ListNumber3">
    <w:name w:val="List Number 3"/>
    <w:basedOn w:val="Normal"/>
    <w:uiPriority w:val="99"/>
    <w:unhideWhenUsed/>
    <w:rsid w:val="0029639D"/>
    <w:pPr>
      <w:numPr>
        <w:numId w:val="7"/>
      </w:numPr>
      <w:contextualSpacing/>
    </w:pPr>
    <w:rPr>
      <w:rFonts w:ascii="Aptos" w:hAnsi="Aptos" w:eastAsia="Noto Sans"/>
    </w:rPr>
  </w:style>
  <w:style w:type="paragraph" w:styleId="ListContinue">
    <w:name w:val="List Continue"/>
    <w:basedOn w:val="Normal"/>
    <w:uiPriority w:val="99"/>
    <w:unhideWhenUsed/>
    <w:rsid w:val="0029639D"/>
    <w:pPr>
      <w:spacing w:after="120"/>
      <w:ind w:left="360"/>
      <w:contextualSpacing/>
    </w:pPr>
    <w:rPr>
      <w:rFonts w:ascii="Aptos" w:hAnsi="Aptos" w:eastAsia="Noto Sans"/>
    </w:rPr>
  </w:style>
  <w:style w:type="paragraph" w:styleId="ListContinue2">
    <w:name w:val="List Continue 2"/>
    <w:basedOn w:val="Normal"/>
    <w:uiPriority w:val="99"/>
    <w:unhideWhenUsed/>
    <w:rsid w:val="0029639D"/>
    <w:pPr>
      <w:spacing w:after="120"/>
      <w:ind w:left="720"/>
      <w:contextualSpacing/>
    </w:pPr>
    <w:rPr>
      <w:rFonts w:ascii="Aptos" w:hAnsi="Aptos" w:eastAsia="Noto Sans"/>
    </w:rPr>
  </w:style>
  <w:style w:type="paragraph" w:styleId="ListContinue3">
    <w:name w:val="List Continue 3"/>
    <w:basedOn w:val="Normal"/>
    <w:uiPriority w:val="99"/>
    <w:unhideWhenUsed/>
    <w:rsid w:val="0029639D"/>
    <w:pPr>
      <w:spacing w:after="120"/>
      <w:ind w:left="1080"/>
      <w:contextualSpacing/>
    </w:pPr>
    <w:rPr>
      <w:rFonts w:ascii="Aptos" w:hAnsi="Aptos" w:eastAsia="Not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eastAsia="Noto Sans"/>
      <w:sz w:val="20"/>
      <w:szCs w:val="20"/>
    </w:rPr>
  </w:style>
  <w:style w:type="character" w:customStyle="1" w:styleId="MacroTextChar">
    <w:name w:val="Macro Text Char"/>
    <w:basedOn w:val="DefaultParagraphFont"/>
    <w:link w:val="MacroText"/>
    <w:uiPriority w:val="99"/>
    <w:rsid w:val="0029639D"/>
    <w:rPr>
      <w:rFonts w:ascii="Aptos" w:hAnsi="Aptos" w:eastAsia="Noto Sans"/>
      <w:sz w:val="20"/>
      <w:szCs w:val="20"/>
    </w:rPr>
  </w:style>
  <w:style w:type="paragraph" w:styleId="Quote">
    <w:name w:val="Quote"/>
    <w:basedOn w:val="Normal"/>
    <w:next w:val="Normal"/>
    <w:link w:val="QuoteChar"/>
    <w:uiPriority w:val="29"/>
    <w:qFormat/>
    <w:rsid w:val="00FC693F"/>
    <w:rPr>
      <w:rFonts w:ascii="Aptos" w:hAnsi="Aptos" w:eastAsia="Noto Sans"/>
      <w:i/>
      <w:iCs/>
      <w:color w:val="000000" w:themeColor="text1"/>
    </w:rPr>
  </w:style>
  <w:style w:type="character" w:customStyle="1" w:styleId="QuoteChar">
    <w:name w:val="Quote Char"/>
    <w:basedOn w:val="DefaultParagraphFont"/>
    <w:link w:val="Quote"/>
    <w:uiPriority w:val="29"/>
    <w:rsid w:val="00FC693F"/>
    <w:rPr>
      <w:rFonts w:ascii="Aptos" w:hAnsi="Aptos" w:eastAsia="Not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eastAsia="Not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eastAsia="Not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eastAsia="Not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eastAsia="Not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eastAsia="Not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eastAsia="Not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Noto Sans"/>
      <w:b/>
      <w:bCs/>
      <w:color w:val="4F81BD" w:themeColor="accent1"/>
      <w:sz w:val="18"/>
      <w:szCs w:val="18"/>
    </w:rPr>
  </w:style>
  <w:style w:type="character" w:styleId="Strong">
    <w:name w:val="Strong"/>
    <w:basedOn w:val="DefaultParagraphFont"/>
    <w:uiPriority w:val="22"/>
    <w:qFormat/>
    <w:rsid w:val="00FC693F"/>
    <w:rPr>
      <w:rFonts w:ascii="Aptos" w:hAnsi="Aptos" w:eastAsia="Noto Sans"/>
      <w:b/>
      <w:bCs/>
    </w:rPr>
  </w:style>
  <w:style w:type="character" w:styleId="Emphasis">
    <w:name w:val="Emphasis"/>
    <w:basedOn w:val="DefaultParagraphFont"/>
    <w:uiPriority w:val="20"/>
    <w:qFormat/>
    <w:rsid w:val="00FC693F"/>
    <w:rPr>
      <w:rFonts w:ascii="Aptos" w:hAnsi="Aptos" w:eastAsia="Not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eastAsia="Noto Sans"/>
      <w:b/>
      <w:bCs/>
      <w:i/>
      <w:iCs/>
      <w:color w:val="4F81BD" w:themeColor="accent1"/>
    </w:rPr>
  </w:style>
  <w:style w:type="character" w:customStyle="1" w:styleId="IntenseQuoteChar">
    <w:name w:val="Intense Quote Char"/>
    <w:basedOn w:val="DefaultParagraphFont"/>
    <w:link w:val="IntenseQuote"/>
    <w:uiPriority w:val="30"/>
    <w:rsid w:val="00FC693F"/>
    <w:rPr>
      <w:rFonts w:ascii="Aptos" w:hAnsi="Aptos" w:eastAsia="Noto Sans"/>
      <w:b/>
      <w:bCs/>
      <w:i/>
      <w:iCs/>
      <w:color w:val="4F81BD" w:themeColor="accent1"/>
    </w:rPr>
  </w:style>
  <w:style w:type="character" w:styleId="SubtleEmphasis">
    <w:name w:val="Subtle Emphasis"/>
    <w:basedOn w:val="DefaultParagraphFont"/>
    <w:uiPriority w:val="19"/>
    <w:qFormat/>
    <w:rsid w:val="00FC693F"/>
    <w:rPr>
      <w:rFonts w:ascii="Aptos" w:hAnsi="Aptos" w:eastAsia="Noto Sans"/>
      <w:i/>
      <w:iCs/>
      <w:color w:val="808080" w:themeColor="text1" w:themeTint="7F"/>
    </w:rPr>
  </w:style>
  <w:style w:type="character" w:styleId="IntenseEmphasis">
    <w:name w:val="Intense Emphasis"/>
    <w:basedOn w:val="DefaultParagraphFont"/>
    <w:uiPriority w:val="21"/>
    <w:qFormat/>
    <w:rsid w:val="00FC693F"/>
    <w:rPr>
      <w:rFonts w:ascii="Aptos" w:hAnsi="Aptos" w:eastAsia="Noto Sans"/>
      <w:b/>
      <w:bCs/>
      <w:i/>
      <w:iCs/>
      <w:color w:val="4F81BD" w:themeColor="accent1"/>
    </w:rPr>
  </w:style>
  <w:style w:type="character" w:styleId="SubtleReference">
    <w:name w:val="Subtle Reference"/>
    <w:basedOn w:val="DefaultParagraphFont"/>
    <w:uiPriority w:val="31"/>
    <w:qFormat/>
    <w:rsid w:val="00FC693F"/>
    <w:rPr>
      <w:rFonts w:ascii="Aptos" w:hAnsi="Aptos" w:eastAsia="Noto Sans"/>
      <w:smallCaps/>
      <w:color w:val="C0504D" w:themeColor="accent2"/>
      <w:u w:val="single"/>
    </w:rPr>
  </w:style>
  <w:style w:type="character" w:styleId="IntenseReference">
    <w:name w:val="Intense Reference"/>
    <w:basedOn w:val="DefaultParagraphFont"/>
    <w:uiPriority w:val="32"/>
    <w:qFormat/>
    <w:rsid w:val="00FC693F"/>
    <w:rPr>
      <w:rFonts w:ascii="Aptos" w:hAnsi="Aptos" w:eastAsia="Noto Sans"/>
      <w:b/>
      <w:bCs/>
      <w:smallCaps/>
      <w:color w:val="C0504D" w:themeColor="accent2"/>
      <w:spacing w:val="5"/>
      <w:u w:val="single"/>
    </w:rPr>
  </w:style>
  <w:style w:type="character" w:styleId="BookTitle">
    <w:name w:val="Book Title"/>
    <w:basedOn w:val="DefaultParagraphFont"/>
    <w:uiPriority w:val="33"/>
    <w:qFormat/>
    <w:rsid w:val="00FC693F"/>
    <w:rPr>
      <w:rFonts w:ascii="Aptos" w:hAnsi="Aptos" w:eastAsia="Noto Sans"/>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eastAsia="Noto Sans"/>
    </w:rPr>
  </w:style>
  <w:style w:type="table" w:styleId="TableGrid">
    <w:name w:val="Table Grid"/>
    <w:basedOn w:val="TableNormal"/>
    <w:uiPriority w:val="59"/>
    <w:rsid w:val="00FC693F"/>
    <w:pPr>
      <w:spacing w:after="0" w:line="240" w:lineRule="auto"/>
    </w:pPr>
    <w:rPr>
      <w:rFonts w:ascii="Aptos" w:hAnsi="Aptos" w:eastAsia="Not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ptos" w:hAnsi="Aptos" w:eastAsia="Not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eastAsia="Not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eastAsia="Not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eastAsia="Not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eastAsia="Not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eastAsia="Not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eastAsia="Not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eastAsia="Not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eastAsia="Not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eastAsia="Not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eastAsia="Not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eastAsia="Not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eastAsia="Not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eastAsia="Not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eastAsia="Not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eastAsia="Not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eastAsia="Not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eastAsia="Not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eastAsia="Not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eastAsia="Not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eastAsia="Not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eastAsia="Not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eastAsia="Not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eastAsia="Not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eastAsia="Not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eastAsia="Not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eastAsia="Not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eastAsia="Not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eastAsia="Not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eastAsia="Not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eastAsia="Not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eastAsia="Not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eastAsia="Not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eastAsia="Not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eastAsia="Not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eastAsia="Not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eastAsia="Not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eastAsia="Not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eastAsia="Not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eastAsia="Not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eastAsia="Not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eastAsia="Not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eastAsia="Not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eastAsia="Not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eastAsia="Not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eastAsia="Not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eastAsia="Not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eastAsia="Not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eastAsia="Not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eastAsia="Not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OUF Cross Module Alignment Matrix v1.5 MCP Go Alignment</dc:title>
  <dc:subject>Controlled cross-module alignment for the MCP Go implementation baseline</dc:subject>
  <dc:creator>python-docx</dc:creator>
  <cp:keywords/>
  <dc:description>generated by python-docx</dc:description>
  <cp:lastModifiedBy/>
  <cp:revision>1</cp:revision>
  <dcterms:created xsi:type="dcterms:W3CDTF">2013-12-23T23:15:00Z</dcterms:created>
  <dcterms:modified xsi:type="dcterms:W3CDTF">2026-09-15T09:54:01Z</dcterms:modified>
  <cp:category/>
  <cp:version>1.5</cp:version>
</cp:coreProperties>
</file>