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8FF" w:rsidRPr="00AE68FF" w:rsidRDefault="00AE68FF" w:rsidP="00AE68FF">
      <w:pPr>
        <w:spacing w:before="360" w:after="15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</w:pPr>
      <w:r w:rsidRPr="00AE68FF"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  <w:t>Глава 4. РЕОРГАНИЗАЦИЯ ИНФОРМАЦИИ О КОНТРАГЕНТАХ</w:t>
      </w:r>
    </w:p>
    <w:p w:rsidR="00AE68FF" w:rsidRPr="00AE68FF" w:rsidRDefault="00AE68FF" w:rsidP="00AE68FF">
      <w:pPr>
        <w:spacing w:after="288" w:line="288" w:lineRule="atLeast"/>
        <w:rPr>
          <w:rFonts w:ascii="Arial" w:eastAsia="Times New Roman" w:hAnsi="Arial" w:cs="Times New Roman"/>
          <w:color w:val="000000"/>
          <w:lang w:eastAsia="ru-RU"/>
        </w:rPr>
      </w:pPr>
      <w:r w:rsidRPr="00AE68FF">
        <w:rPr>
          <w:rFonts w:ascii="Arial" w:eastAsia="Times New Roman" w:hAnsi="Arial" w:cs="Times New Roman"/>
          <w:color w:val="000000"/>
          <w:lang w:eastAsia="ru-RU"/>
        </w:rPr>
        <w:t>Справочник </w:t>
      </w:r>
      <w:r w:rsidRPr="00AE68FF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ru-RU"/>
        </w:rPr>
        <w:t>Контрагенты</w:t>
      </w:r>
      <w:r w:rsidRPr="00AE68FF">
        <w:rPr>
          <w:rFonts w:ascii="Arial" w:eastAsia="Times New Roman" w:hAnsi="Arial" w:cs="Times New Roman"/>
          <w:color w:val="000000"/>
          <w:lang w:eastAsia="ru-RU"/>
        </w:rPr>
        <w:t> может содержать сотни элементов. Для удобства поиска в нем необходимой информации он настроен как многоуровневый справочник.</w:t>
      </w:r>
    </w:p>
    <w:p w:rsidR="00AE68FF" w:rsidRDefault="00AE68FF" w:rsidP="00AE68FF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Описание структуры справочника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Воспользуемся предоставленной возможностью и реорганизуем введенную в справочник информацию о контрагентах.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этого на первом уровне выделим две группы: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Физические лица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группу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Физические лица</w:t>
      </w:r>
      <w:r>
        <w:rPr>
          <w:rFonts w:ascii="Arial" w:hAnsi="Arial" w:cs="Arial"/>
          <w:color w:val="000000"/>
        </w:rPr>
        <w:t> будем вводить конкретные фамилии.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группе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 откроем еще две группы –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Банки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Организации</w:t>
      </w:r>
      <w:r>
        <w:rPr>
          <w:rFonts w:ascii="Arial" w:hAnsi="Arial" w:cs="Arial"/>
          <w:color w:val="000000"/>
        </w:rPr>
        <w:t>, в которых будем указывать конкретные банки и организации (рис. 4-1).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438650" cy="1362075"/>
            <wp:effectExtent l="0" t="0" r="0" b="9525"/>
            <wp:docPr id="1" name="Рисунок 1" descr="https://its.1c.ru/db/content/pubeconomicfacts/src/images/image10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102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4-1</w:t>
      </w:r>
      <w:r>
        <w:rPr>
          <w:rFonts w:ascii="Arial" w:hAnsi="Arial" w:cs="Arial"/>
          <w:color w:val="000000"/>
          <w:sz w:val="20"/>
          <w:szCs w:val="20"/>
        </w:rPr>
        <w:t>. Иерархическая структура информации о контрагентах</w:t>
      </w:r>
    </w:p>
    <w:p w:rsidR="00AE68FF" w:rsidRDefault="00AE68FF" w:rsidP="00AE68FF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Создание элементов-групп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4-1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Введите в справочник «Контрагенты» элементы-группы первого уровня – «Физические лица» и «Юридические лица».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AE68FF" w:rsidRDefault="00AE68FF" w:rsidP="00AE68FF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справочник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Покупки → Справочники → Контрагенты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E68FF" w:rsidRDefault="00AE68FF" w:rsidP="00AE68FF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щелчком мыши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52525" cy="257175"/>
            <wp:effectExtent l="0" t="0" r="9525" b="9525"/>
            <wp:docPr id="8" name="Рисунок 8" descr="https://its.1c.ru/db/content/pubeconomicfacts/src/images/image10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economicfacts/src/images/image103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вывести на экран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 (Создание группы)</w:t>
      </w:r>
      <w:r>
        <w:rPr>
          <w:rFonts w:ascii="Arial" w:hAnsi="Arial" w:cs="Arial"/>
          <w:color w:val="000000"/>
          <w:sz w:val="25"/>
          <w:szCs w:val="25"/>
        </w:rPr>
        <w:t> (рис. 4-1);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91182" cy="3619500"/>
            <wp:effectExtent l="0" t="0" r="0" b="0"/>
            <wp:docPr id="7" name="Рисунок 7" descr="https://its.1c.ru/db/content/pubeconomicfacts/src/images/image10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pubeconomicfacts/src/images/image104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19" cy="36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4-1</w:t>
      </w:r>
      <w:r>
        <w:rPr>
          <w:rFonts w:ascii="Arial" w:hAnsi="Arial" w:cs="Arial"/>
          <w:color w:val="000000"/>
          <w:sz w:val="20"/>
          <w:szCs w:val="20"/>
        </w:rPr>
        <w:t>. Форма «Контрагенты»</w:t>
      </w:r>
    </w:p>
    <w:p w:rsidR="00AE68FF" w:rsidRDefault="00AE68FF" w:rsidP="00AE68FF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Наименование</w:t>
      </w:r>
      <w:r>
        <w:rPr>
          <w:rFonts w:ascii="Arial" w:hAnsi="Arial" w:cs="Arial"/>
          <w:color w:val="000000"/>
          <w:sz w:val="25"/>
          <w:szCs w:val="25"/>
        </w:rPr>
        <w:t> записать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Физические лица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E68FF" w:rsidRDefault="00AE68FF" w:rsidP="00AE68FF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сохранить данные 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&lt;ОК&gt;.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Аналогичным образом нужно ввести группу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на верхнем уровне будут созданы два групповых элемента. Элементы-группы в крайней левой колонке помечены значком папки, слева от которого указан значок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7150" cy="85725"/>
            <wp:effectExtent l="0" t="0" r="0" b="9525"/>
            <wp:docPr id="6" name="Рисунок 6" descr="https://its.1c.ru/db/content/pubeconomicfacts/src/images/image10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pubeconomicfacts/src/images/image105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(рис. 4-2).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спуститься на уровень вниз (например, из корня на уровень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), нужно из контекстного меню выбрать команду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Перейти на уровень ниже</w:t>
      </w:r>
      <w:r>
        <w:rPr>
          <w:rFonts w:ascii="Arial" w:hAnsi="Arial" w:cs="Arial"/>
          <w:color w:val="000000"/>
        </w:rPr>
        <w:t> или, что проще, открыть папку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 двойным щелчком по значку папки в служебной колонке формы или одинарным щелчком по значку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7150" cy="85725"/>
            <wp:effectExtent l="0" t="0" r="0" b="9525"/>
            <wp:docPr id="5" name="Рисунок 5" descr="https://its.1c.ru/db/content/pubeconomicfacts/src/images/image10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pubeconomicfacts/src/images/image105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вернуться на верхний уровень (например, перейти с уровня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 на уровень корня), нужно ввести команду контекстного меню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Перейти на уровень выше</w:t>
      </w:r>
      <w:r>
        <w:rPr>
          <w:rFonts w:ascii="Arial" w:hAnsi="Arial" w:cs="Arial"/>
          <w:color w:val="000000"/>
        </w:rPr>
        <w:t> или, что проще, дважды щелкнуть мышью по пиктограмме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180975" cy="152400"/>
            <wp:effectExtent l="0" t="0" r="9525" b="0"/>
            <wp:docPr id="4" name="Рисунок 4" descr="https://its.1c.ru/db/content/pubeconomicfacts/src/images/image10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pubeconomicfacts/src/images/image106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строке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 или одинарным щелчком по значку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85725" cy="57150"/>
            <wp:effectExtent l="0" t="0" r="9525" b="0"/>
            <wp:docPr id="3" name="Рисунок 3" descr="https://its.1c.ru/db/content/pubeconomicfacts/src/images/image10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pubeconomicfacts/src/images/image107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расположенным левее соответствующей папки.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329273" cy="2066925"/>
            <wp:effectExtent l="0" t="0" r="5080" b="0"/>
            <wp:docPr id="2" name="Рисунок 2" descr="https://its.1c.ru/db/content/pubeconomicfacts/src/images/image10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pubeconomicfacts/src/images/image108.png?_=15982858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30" cy="20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4-2</w:t>
      </w:r>
      <w:r>
        <w:rPr>
          <w:rFonts w:ascii="Arial" w:hAnsi="Arial" w:cs="Arial"/>
          <w:color w:val="000000"/>
          <w:sz w:val="20"/>
          <w:szCs w:val="20"/>
        </w:rPr>
        <w:t>. Группы «Банки» и «Организации» вложены в группу «Юридические лица»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4-2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 группе «Юридические лица» создайте элементы-группы второго уровня – «Банки» и «Организации».</w:t>
      </w:r>
    </w:p>
    <w:p w:rsidR="00AE68FF" w:rsidRDefault="00AE68FF" w:rsidP="00AE68FF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Перенос конечных элементов в группы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4-3</w:t>
      </w:r>
    </w:p>
    <w:p w:rsidR="00AE68FF" w:rsidRDefault="00AE68FF" w:rsidP="00AE68FF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Перенести учредителей АО ЭПОС в соответствующие группы справочника «Контрагенты».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Процесс переноса схематично показан на рис. 4-3 и предполагает последовательное выполнение следующих действий:</w:t>
      </w:r>
    </w:p>
    <w:p w:rsidR="00AE68FF" w:rsidRDefault="00AE68FF" w:rsidP="00AE68FF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списке справочника выделить курсором тот элемент или группу, которую необходимо перенести в другое место (действие 1);</w:t>
      </w:r>
    </w:p>
    <w:p w:rsidR="00AE68FF" w:rsidRDefault="00AE68FF" w:rsidP="00AE68FF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из меню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Еще</w:t>
      </w:r>
      <w:proofErr w:type="gramEnd"/>
      <w:r>
        <w:rPr>
          <w:rFonts w:ascii="Arial" w:hAnsi="Arial" w:cs="Arial"/>
          <w:color w:val="000000"/>
          <w:sz w:val="25"/>
          <w:szCs w:val="25"/>
        </w:rPr>
        <w:t> (действие 2) или из контекстного меню выбрать команду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Переместить в группу</w:t>
      </w:r>
      <w:r>
        <w:rPr>
          <w:rFonts w:ascii="Arial" w:hAnsi="Arial" w:cs="Arial"/>
          <w:color w:val="000000"/>
          <w:sz w:val="25"/>
          <w:szCs w:val="25"/>
        </w:rPr>
        <w:t> (действие 3);</w:t>
      </w:r>
    </w:p>
    <w:p w:rsidR="00AE68FF" w:rsidRDefault="00AE68FF" w:rsidP="00AE68FF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двойным щелчком выбрать группу, в которую необходимо перенести элемент (действие 4), или нажатием кнопки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&lt;Выбрать&gt;</w:t>
      </w:r>
      <w:r>
        <w:rPr>
          <w:rFonts w:ascii="Arial" w:hAnsi="Arial" w:cs="Arial"/>
          <w:color w:val="000000"/>
          <w:sz w:val="25"/>
          <w:szCs w:val="25"/>
        </w:rPr>
        <w:t> (действие 5).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81700" cy="4097465"/>
            <wp:effectExtent l="0" t="0" r="0" b="0"/>
            <wp:docPr id="15" name="Рисунок 15" descr="https://its.1c.ru/db/content/pubeconomicfacts/src/images/image10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pubeconomicfacts/src/images/image109.png?_=15982858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00" cy="409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4-3.</w:t>
      </w:r>
      <w:r>
        <w:rPr>
          <w:rFonts w:ascii="Arial" w:hAnsi="Arial" w:cs="Arial"/>
          <w:color w:val="000000"/>
          <w:sz w:val="20"/>
          <w:szCs w:val="20"/>
        </w:rPr>
        <w:t> Перенос конечного элемента в группу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правильном выполнении задания:</w:t>
      </w:r>
    </w:p>
    <w:p w:rsidR="00AE68FF" w:rsidRDefault="00AE68FF" w:rsidP="00AE68FF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учредители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Шурупов, Чурбанов, 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Доскин</w:t>
      </w:r>
      <w:proofErr w:type="spellEnd"/>
      <w:r>
        <w:rPr>
          <w:rFonts w:ascii="Arial" w:hAnsi="Arial" w:cs="Arial"/>
          <w:color w:val="000000"/>
          <w:sz w:val="25"/>
          <w:szCs w:val="25"/>
        </w:rPr>
        <w:t> должны оказаться в группе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Физические лица</w:t>
      </w:r>
      <w:r>
        <w:rPr>
          <w:rFonts w:ascii="Arial" w:hAnsi="Arial" w:cs="Arial"/>
          <w:color w:val="000000"/>
          <w:sz w:val="25"/>
          <w:szCs w:val="25"/>
        </w:rPr>
        <w:t> (рис. 4-4),</w:t>
      </w:r>
    </w:p>
    <w:p w:rsidR="00AE68FF" w:rsidRDefault="00AE68FF" w:rsidP="00AE68FF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НПО «Боровик»</w:t>
      </w:r>
      <w:r>
        <w:rPr>
          <w:rFonts w:ascii="Arial" w:hAnsi="Arial" w:cs="Arial"/>
          <w:color w:val="000000"/>
          <w:sz w:val="25"/>
          <w:szCs w:val="25"/>
        </w:rPr>
        <w:t> – в группе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Организации</w:t>
      </w:r>
      <w:r>
        <w:rPr>
          <w:rFonts w:ascii="Arial" w:hAnsi="Arial" w:cs="Arial"/>
          <w:color w:val="000000"/>
          <w:sz w:val="25"/>
          <w:szCs w:val="25"/>
        </w:rPr>
        <w:t> (рис. 4-5),</w:t>
      </w:r>
    </w:p>
    <w:p w:rsidR="00AE68FF" w:rsidRDefault="00AE68FF" w:rsidP="00AE68FF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КБ «Топ-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инвест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»</w:t>
      </w:r>
      <w:r>
        <w:rPr>
          <w:rFonts w:ascii="Arial" w:hAnsi="Arial" w:cs="Arial"/>
          <w:color w:val="000000"/>
          <w:sz w:val="25"/>
          <w:szCs w:val="25"/>
        </w:rPr>
        <w:t> – в группе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Банки</w:t>
      </w:r>
      <w:r>
        <w:rPr>
          <w:rFonts w:ascii="Arial" w:hAnsi="Arial" w:cs="Arial"/>
          <w:color w:val="000000"/>
          <w:sz w:val="25"/>
          <w:szCs w:val="25"/>
        </w:rPr>
        <w:t> (рис. 4-6).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86425" cy="2784676"/>
            <wp:effectExtent l="0" t="0" r="0" b="0"/>
            <wp:docPr id="14" name="Рисунок 14" descr="https://its.1c.ru/db/content/pubeconomicfacts/src/images/image11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pubeconomicfacts/src/images/image110.png?_=15982858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67" cy="278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4-4.</w:t>
      </w:r>
      <w:r>
        <w:rPr>
          <w:rFonts w:ascii="Arial" w:hAnsi="Arial" w:cs="Arial"/>
          <w:color w:val="000000"/>
          <w:sz w:val="20"/>
          <w:szCs w:val="20"/>
        </w:rPr>
        <w:t> Группа «Физические лица» в справочнике «Контрагенты»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86475" cy="2274820"/>
            <wp:effectExtent l="0" t="0" r="0" b="0"/>
            <wp:docPr id="13" name="Рисунок 13" descr="https://its.1c.ru/db/content/pubeconomicfacts/src/images/image11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s.1c.ru/db/content/pubeconomicfacts/src/images/image111.png?_=1598285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85" cy="227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4-5.</w:t>
      </w:r>
      <w:r>
        <w:rPr>
          <w:rFonts w:ascii="Arial" w:hAnsi="Arial" w:cs="Arial"/>
          <w:color w:val="000000"/>
          <w:sz w:val="20"/>
          <w:szCs w:val="20"/>
        </w:rPr>
        <w:t> Контрагенты группы «Организации»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реорганизации справочника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Контрагенты</w:t>
      </w:r>
      <w:r>
        <w:rPr>
          <w:rFonts w:ascii="Arial" w:hAnsi="Arial" w:cs="Arial"/>
          <w:color w:val="000000"/>
        </w:rPr>
        <w:t>, по сути, осуществлено преобразование системы аналитического учета, обеспечивающее переход от одноуровневого аналитического учета к многоуровневому. Произошедшие изменения в организации учетной информации хорошо видны по влиянию на содержание отчета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-сальдовая ведомость по счету 75</w:t>
      </w:r>
      <w:r>
        <w:rPr>
          <w:rFonts w:ascii="Arial" w:hAnsi="Arial" w:cs="Arial"/>
          <w:color w:val="000000"/>
        </w:rPr>
        <w:t> (или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80</w:t>
      </w:r>
      <w:r>
        <w:rPr>
          <w:rFonts w:ascii="Arial" w:hAnsi="Arial" w:cs="Arial"/>
          <w:color w:val="000000"/>
        </w:rPr>
        <w:t>).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Так, если теперь обратиться к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-сальдовой ведомости по счету 75</w:t>
      </w:r>
      <w:r>
        <w:rPr>
          <w:rFonts w:ascii="Arial" w:hAnsi="Arial" w:cs="Arial"/>
          <w:color w:val="000000"/>
        </w:rPr>
        <w:t> в разрезе аналитических объектов, можно увидеть, что помимо индивидуальной информации о задолженности каждого конкретного учредителя по вкладу в уставный капитал появилась и обобщающая информация о задолженности групп учредителей.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Теперь в ведомости можно увидеть (см. рис. 4-7), что задолженность всех физических лиц на момент составления документа оценивается в 1 075 000,00 руб., а совокупная задолженность юридических лиц – в 1 925 000,00 руб.</w:t>
      </w:r>
    </w:p>
    <w:p w:rsidR="00AE68FF" w:rsidRDefault="00AE68FF" w:rsidP="00AE68FF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Кроме того, в ведомости отражена итоговая информация по таким группам учредителей, как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Банки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Организации</w:t>
      </w:r>
      <w:r>
        <w:rPr>
          <w:rFonts w:ascii="Arial" w:hAnsi="Arial" w:cs="Arial"/>
          <w:color w:val="000000"/>
        </w:rPr>
        <w:t>. В силу того, что каждая из последних двух групп включает только по одному элементу, итоги по группе, естественно, совпадают со значением каждого элемента.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91200" cy="2005203"/>
            <wp:effectExtent l="0" t="0" r="0" b="0"/>
            <wp:docPr id="12" name="Рисунок 12" descr="https://its.1c.ru/db/content/pubeconomicfacts/src/images/image11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ts.1c.ru/db/content/pubeconomicfacts/src/images/image112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04" cy="20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4-6</w:t>
      </w:r>
      <w:r>
        <w:rPr>
          <w:rFonts w:ascii="Arial" w:hAnsi="Arial" w:cs="Arial"/>
          <w:color w:val="000000"/>
          <w:sz w:val="20"/>
          <w:szCs w:val="20"/>
        </w:rPr>
        <w:t>. Контрагенты группы «Банки»</w:t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886450" cy="3274338"/>
            <wp:effectExtent l="0" t="0" r="0" b="2540"/>
            <wp:docPr id="11" name="Рисунок 11" descr="https://its.1c.ru/db/content/pubeconomicfacts/src/images/image11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s.1c.ru/db/content/pubeconomicfacts/src/images/image113.png?_=15982858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53" cy="327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2155789"/>
            <wp:effectExtent l="0" t="0" r="0" b="0"/>
            <wp:docPr id="10" name="Рисунок 10" descr="https://its.1c.ru/db/content/pubeconomicfacts/src/images/image11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ts.1c.ru/db/content/pubeconomicfacts/src/images/image114.png?_=1598285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54" cy="216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FF" w:rsidRDefault="00AE68FF" w:rsidP="00AE68FF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95975" cy="1708493"/>
            <wp:effectExtent l="0" t="0" r="0" b="6350"/>
            <wp:docPr id="9" name="Рисунок 9" descr="https://its.1c.ru/db/content/pubeconomicfacts/src/images/image11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ts.1c.ru/db/content/pubeconomicfacts/src/images/image115.png?_=1598285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49" cy="17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68FF" w:rsidRDefault="00AE68FF" w:rsidP="00AE68FF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4-7</w:t>
      </w:r>
      <w:r>
        <w:rPr>
          <w:rFonts w:ascii="Arial" w:hAnsi="Arial" w:cs="Arial"/>
          <w:color w:val="000000"/>
          <w:sz w:val="20"/>
          <w:szCs w:val="20"/>
        </w:rPr>
        <w:t>. Получение аналитической информации по группам контрагентов в стандартных отчетах</w:t>
      </w:r>
    </w:p>
    <w:p w:rsidR="00B2047D" w:rsidRDefault="00B2047D"/>
    <w:sectPr w:rsidR="00B2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7CD"/>
    <w:multiLevelType w:val="multilevel"/>
    <w:tmpl w:val="C3E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B6B96"/>
    <w:multiLevelType w:val="multilevel"/>
    <w:tmpl w:val="6B9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17EDD"/>
    <w:multiLevelType w:val="multilevel"/>
    <w:tmpl w:val="7D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D797E"/>
    <w:multiLevelType w:val="multilevel"/>
    <w:tmpl w:val="3A3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7D"/>
    <w:rsid w:val="00AE68FF"/>
    <w:rsid w:val="00B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8722D-20D2-4B5E-8AB3-A9DE1864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8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ld">
    <w:name w:val="bold"/>
    <w:basedOn w:val="a0"/>
    <w:rsid w:val="00AE68FF"/>
  </w:style>
  <w:style w:type="character" w:customStyle="1" w:styleId="30">
    <w:name w:val="Заголовок 3 Знак"/>
    <w:basedOn w:val="a0"/>
    <w:link w:val="3"/>
    <w:uiPriority w:val="9"/>
    <w:semiHidden/>
    <w:rsid w:val="00AE68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ursiv">
    <w:name w:val="kursiv"/>
    <w:basedOn w:val="a0"/>
    <w:rsid w:val="00AE68FF"/>
  </w:style>
  <w:style w:type="paragraph" w:customStyle="1" w:styleId="picyakor">
    <w:name w:val="picyakor"/>
    <w:basedOn w:val="a"/>
    <w:rsid w:val="00AE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AE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body0">
    <w:name w:val="vrezkabody0"/>
    <w:basedOn w:val="a"/>
    <w:rsid w:val="00AE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2020-10-18T09:11:00Z</dcterms:created>
  <dcterms:modified xsi:type="dcterms:W3CDTF">2020-10-18T09:13:00Z</dcterms:modified>
</cp:coreProperties>
</file>