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>Domande d’esame di Tec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</w:t>
      </w:r>
      <w:proofErr w:type="spellEnd"/>
      <w:r>
        <w:t>-size,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>- le media query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L’approccio mobile first consiste nel andare a creare un design prima vincolante e poi progressivamente più ricco, questo metodo viene anche chiamato progressive </w:t>
      </w:r>
      <w:proofErr w:type="spellStart"/>
      <w:r>
        <w:rPr>
          <w:rFonts w:asciiTheme="majorHAnsi" w:hAnsiTheme="majorHAnsi" w:cstheme="majorHAnsi"/>
        </w:rPr>
        <w:t>enhancement</w:t>
      </w:r>
      <w:proofErr w:type="spellEnd"/>
      <w:r>
        <w:rPr>
          <w:rFonts w:asciiTheme="majorHAnsi" w:hAnsiTheme="majorHAnsi" w:cstheme="majorHAnsi"/>
        </w:rPr>
        <w:t>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Derivando da un design più complesso (quando si è in un device mobile) è più semplice trasferire il layout in un design più semplice (device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>Seguire le tendenze del mercato: Data la crescente prevalenza dell'uso di dispositivi mobili, seguire un approccio mobile first è in linea con le tendenze del mercato e assicura che il tuo sito o app sia allineato alle esigenze attuali degli utenti.</w:t>
      </w:r>
    </w:p>
    <w:p w14:paraId="00009580" w14:textId="77777777" w:rsidR="005B6C79" w:rsidRPr="004B3961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proofErr w:type="spellStart"/>
      <w:r w:rsidRPr="004B3961">
        <w:rPr>
          <w:rFonts w:ascii="Arial" w:hAnsi="Arial" w:cs="Arial"/>
          <w:b/>
          <w:kern w:val="1"/>
        </w:rPr>
        <w:t>enhancement</w:t>
      </w:r>
      <w:proofErr w:type="spellEnd"/>
      <w:r w:rsidRPr="004B3961">
        <w:rPr>
          <w:rFonts w:ascii="Arial" w:hAnsi="Arial" w:cs="Arial"/>
          <w:b/>
          <w:kern w:val="1"/>
        </w:rPr>
        <w:t xml:space="preserve"> e </w:t>
      </w:r>
      <w:proofErr w:type="spellStart"/>
      <w:r w:rsidRPr="004B3961">
        <w:rPr>
          <w:rFonts w:ascii="Arial" w:hAnsi="Arial" w:cs="Arial"/>
          <w:b/>
          <w:kern w:val="1"/>
        </w:rPr>
        <w:t>graceful</w:t>
      </w:r>
      <w:proofErr w:type="spellEnd"/>
      <w:r w:rsidRPr="004B3961">
        <w:rPr>
          <w:rFonts w:ascii="Arial" w:hAnsi="Arial" w:cs="Arial"/>
          <w:b/>
          <w:kern w:val="1"/>
        </w:rPr>
        <w:t xml:space="preserve"> </w:t>
      </w:r>
      <w:proofErr w:type="spellStart"/>
      <w:r w:rsidRPr="004B3961">
        <w:rPr>
          <w:rFonts w:ascii="Arial" w:hAnsi="Arial" w:cs="Arial"/>
          <w:b/>
          <w:kern w:val="1"/>
        </w:rPr>
        <w:t>degradation</w:t>
      </w:r>
      <w:proofErr w:type="spellEnd"/>
      <w:r w:rsidRPr="004B3961">
        <w:rPr>
          <w:rFonts w:ascii="Arial" w:hAnsi="Arial" w:cs="Arial"/>
          <w:b/>
          <w:kern w:val="1"/>
        </w:rPr>
        <w:t>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enhancement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r w:rsidR="00B1774E">
        <w:rPr>
          <w:rFonts w:asciiTheme="majorHAnsi" w:hAnsiTheme="majorHAnsi" w:cstheme="majorHAnsi"/>
          <w:kern w:val="1"/>
        </w:rPr>
        <w:t xml:space="preserve">e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graceful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degra</w:t>
      </w:r>
      <w:r w:rsidRPr="002F0E5E">
        <w:rPr>
          <w:rFonts w:asciiTheme="majorHAnsi" w:hAnsiTheme="majorHAnsi" w:cstheme="majorHAnsi"/>
          <w:kern w:val="1"/>
        </w:rPr>
        <w:t>dation</w:t>
      </w:r>
      <w:proofErr w:type="spellEnd"/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proofErr w:type="spellStart"/>
      <w:r w:rsidRPr="001117C2">
        <w:rPr>
          <w:rFonts w:asciiTheme="majorHAnsi" w:hAnsiTheme="majorHAnsi" w:cstheme="majorHAnsi"/>
          <w:kern w:val="1"/>
        </w:rPr>
        <w:t>enhancement</w:t>
      </w:r>
      <w:proofErr w:type="spellEnd"/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proofErr w:type="spellStart"/>
      <w:r w:rsidRPr="001117C2">
        <w:rPr>
          <w:rFonts w:asciiTheme="majorHAnsi" w:hAnsiTheme="majorHAnsi" w:cstheme="majorHAnsi"/>
          <w:kern w:val="1"/>
        </w:rPr>
        <w:t>graceful</w:t>
      </w:r>
      <w:proofErr w:type="spellEnd"/>
      <w:r w:rsidRPr="001117C2">
        <w:rPr>
          <w:rFonts w:asciiTheme="majorHAnsi" w:hAnsiTheme="majorHAnsi" w:cstheme="majorHAnsi"/>
          <w:kern w:val="1"/>
        </w:rPr>
        <w:t xml:space="preserve"> </w:t>
      </w:r>
      <w:proofErr w:type="spellStart"/>
      <w:r w:rsidRPr="001117C2">
        <w:rPr>
          <w:rFonts w:asciiTheme="majorHAnsi" w:hAnsiTheme="majorHAnsi" w:cstheme="majorHAnsi"/>
          <w:kern w:val="1"/>
        </w:rPr>
        <w:t>degradation</w:t>
      </w:r>
      <w:proofErr w:type="spellEnd"/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</w:p>
    <w:p w14:paraId="5F797AE6" w14:textId="77777777" w:rsidR="004B3961" w:rsidRDefault="004B3961" w:rsidP="005B6C79">
      <w:pPr>
        <w:contextualSpacing/>
        <w:rPr>
          <w:rFonts w:ascii="Arial" w:hAnsi="Arial" w:cs="Arial"/>
          <w:b/>
          <w:kern w:val="2"/>
        </w:rPr>
      </w:pPr>
    </w:p>
    <w:p w14:paraId="526CAC62" w14:textId="5D72340A" w:rsidR="004B3961" w:rsidRDefault="004B3961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>Un protocollo che rende sicuro la trasmissione dei dati dal browser al server è il protocollo HTTPS, dove S sta per Secure, grazie a questo protocollo ogni volta che mandiamo dei dati personali o non al server verranno criptati grazie a una chiave che è stata data dalle autorità, per averla si deve pagare l’azienda che la crea oppure uno se la può creare per se.</w:t>
      </w:r>
    </w:p>
    <w:p w14:paraId="21E508C6" w14:textId="11D2D148" w:rsidR="00100C47" w:rsidRPr="00100C47" w:rsidRDefault="00100C47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Validare tutti i dati inviati dal browser lato server per evitare di tipo injection </w:t>
      </w:r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(ad esempio, SQL injection o JavaScript injection).</w:t>
      </w:r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5CDEB473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le principali differenze tra le WCAG 2.0 e i requisiti definiti nell’ambito della Legge Stanca (L. 4/2004):</w:t>
      </w:r>
    </w:p>
    <w:p w14:paraId="437439EB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6BD95F0" w14:textId="6B8E8463" w:rsidR="00100C47" w:rsidRDefault="00777ADD" w:rsidP="00100C4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principali differenze tra le WCAG 2.0 e i requisiti provenienti dalla Legge Stanca sono:</w:t>
      </w:r>
    </w:p>
    <w:p w14:paraId="5579AB12" w14:textId="2BCF897D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è entrata in vigore nel 2004 mentre la WCAG nel 2008 (in seguito);</w:t>
      </w:r>
    </w:p>
    <w:p w14:paraId="53DA3921" w14:textId="2FB1A81B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riguarda l’accessibilità ed è specifica per l’Italia ed è applicabile solo ai siti web delle pubbliche amministrazioni italiane; mentre le WCAG riguarda sempre le linee guida per l’accessibilità ma è applicabile in tutti i siti web (globale);</w:t>
      </w:r>
    </w:p>
    <w:p w14:paraId="4D8AE6D4" w14:textId="47795F03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WCAG utilizza 4 principi principali e sono: percepibile, utilizzabile, comprensibili e robusto; mentre, la legge stanca è più flessibile è stabilisce requisiti generali per l’accessibilità.</w:t>
      </w:r>
    </w:p>
    <w:p w14:paraId="122E0330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77DD5FDE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2B3C2AF" w14:textId="77777777" w:rsidR="00100C47" w:rsidRDefault="00100C47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0A62143A" w14:textId="3E23A4AF" w:rsidR="000772BB" w:rsidRDefault="000772BB" w:rsidP="005B6C79">
      <w:pPr>
        <w:autoSpaceDE w:val="0"/>
        <w:autoSpaceDN w:val="0"/>
        <w:adjustRightInd w:val="0"/>
        <w:contextualSpacing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HTML 5 è stato pubblicato nel 2014 dai membri del WHAT</w:t>
      </w:r>
      <w:r w:rsidR="00765A9F">
        <w:rPr>
          <w:rFonts w:asciiTheme="majorHAnsi" w:hAnsiTheme="majorHAnsi" w:cstheme="majorHAnsi"/>
          <w:kern w:val="1"/>
        </w:rPr>
        <w:t>WG</w:t>
      </w:r>
      <w:r>
        <w:rPr>
          <w:rFonts w:asciiTheme="majorHAnsi" w:hAnsiTheme="majorHAnsi" w:cstheme="majorHAnsi"/>
          <w:kern w:val="1"/>
        </w:rPr>
        <w:t xml:space="preserve"> e furono ammesse dal W3C</w:t>
      </w:r>
      <w:r w:rsidR="00E54FE5">
        <w:rPr>
          <w:rFonts w:asciiTheme="majorHAnsi" w:hAnsiTheme="majorHAnsi" w:cstheme="majorHAnsi"/>
          <w:kern w:val="1"/>
        </w:rPr>
        <w:t>. Le principali novità che ci sono state in HTML5 tra cui:</w:t>
      </w:r>
    </w:p>
    <w:p w14:paraId="294AB893" w14:textId="3049AA37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La categoria embedded è contenuto che importa un’alta risorsa nel documento (come per esempio: audio, video, SVG, </w:t>
      </w:r>
      <w:proofErr w:type="spellStart"/>
      <w:r>
        <w:rPr>
          <w:rFonts w:asciiTheme="majorHAnsi" w:hAnsiTheme="majorHAnsi" w:cstheme="majorHAnsi"/>
          <w:kern w:val="1"/>
        </w:rPr>
        <w:t>MathML</w:t>
      </w:r>
      <w:proofErr w:type="spellEnd"/>
      <w:r>
        <w:rPr>
          <w:rFonts w:asciiTheme="majorHAnsi" w:hAnsiTheme="majorHAnsi" w:cstheme="majorHAnsi"/>
          <w:kern w:val="1"/>
        </w:rPr>
        <w:t xml:space="preserve">, Canvas, </w:t>
      </w:r>
      <w:proofErr w:type="spellStart"/>
      <w:r>
        <w:rPr>
          <w:rFonts w:asciiTheme="majorHAnsi" w:hAnsiTheme="majorHAnsi" w:cstheme="majorHAnsi"/>
          <w:kern w:val="1"/>
        </w:rPr>
        <w:t>etc</w:t>
      </w:r>
      <w:proofErr w:type="spellEnd"/>
      <w:r>
        <w:rPr>
          <w:rFonts w:asciiTheme="majorHAnsi" w:hAnsiTheme="majorHAnsi" w:cstheme="majorHAnsi"/>
          <w:kern w:val="1"/>
        </w:rPr>
        <w:t>…);</w:t>
      </w:r>
    </w:p>
    <w:p w14:paraId="26168EE4" w14:textId="36D1C735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Accessibilità migliorata, aggiungendo nuovi attributi su TAG;</w:t>
      </w:r>
    </w:p>
    <w:p w14:paraId="09F82930" w14:textId="6A66B60F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La categoria interactive è per il contenuto inteso per l’interazione con gli utenti (multimedia, mappe, </w:t>
      </w:r>
      <w:proofErr w:type="spellStart"/>
      <w:r>
        <w:rPr>
          <w:rFonts w:asciiTheme="majorHAnsi" w:hAnsiTheme="majorHAnsi" w:cstheme="majorHAnsi"/>
          <w:kern w:val="1"/>
        </w:rPr>
        <w:t>form</w:t>
      </w:r>
      <w:proofErr w:type="spellEnd"/>
      <w:r>
        <w:rPr>
          <w:rFonts w:asciiTheme="majorHAnsi" w:hAnsiTheme="majorHAnsi" w:cstheme="majorHAnsi"/>
          <w:kern w:val="1"/>
        </w:rPr>
        <w:t>);</w:t>
      </w:r>
    </w:p>
    <w:p w14:paraId="01634FCB" w14:textId="0B31E79A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Aggiunta di nuovi elementi semantici, che fanno parte della categoria </w:t>
      </w:r>
      <w:proofErr w:type="spellStart"/>
      <w:r>
        <w:rPr>
          <w:rFonts w:asciiTheme="majorHAnsi" w:hAnsiTheme="majorHAnsi" w:cstheme="majorHAnsi"/>
          <w:kern w:val="1"/>
        </w:rPr>
        <w:t>sectioning</w:t>
      </w:r>
      <w:proofErr w:type="spellEnd"/>
      <w:r>
        <w:rPr>
          <w:rFonts w:asciiTheme="majorHAnsi" w:hAnsiTheme="majorHAnsi" w:cstheme="majorHAnsi"/>
          <w:kern w:val="1"/>
        </w:rPr>
        <w:t xml:space="preserve"> (esempio: </w:t>
      </w:r>
      <w:proofErr w:type="spellStart"/>
      <w:r>
        <w:rPr>
          <w:rFonts w:asciiTheme="majorHAnsi" w:hAnsiTheme="majorHAnsi" w:cstheme="majorHAnsi"/>
          <w:kern w:val="1"/>
        </w:rPr>
        <w:t>navigation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section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etc</w:t>
      </w:r>
      <w:proofErr w:type="spellEnd"/>
      <w:r>
        <w:rPr>
          <w:rFonts w:asciiTheme="majorHAnsi" w:hAnsiTheme="majorHAnsi" w:cstheme="majorHAnsi"/>
          <w:kern w:val="1"/>
        </w:rPr>
        <w:t>…)</w:t>
      </w:r>
    </w:p>
    <w:p w14:paraId="6FAE9D01" w14:textId="77777777" w:rsidR="000772BB" w:rsidRDefault="000772BB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67F2ADFE" w14:textId="6409CD3A" w:rsid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148EC010" w14:textId="77777777" w:rsidR="00E54FE5" w:rsidRDefault="00E54FE5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5B064B50" w14:textId="77777777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Tra i più importanti abbiamo: </w:t>
      </w:r>
    </w:p>
    <w:p w14:paraId="1A4F1FDC" w14:textId="354E9C52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l’ASCII con 7 bit per caratteri;</w:t>
      </w:r>
    </w:p>
    <w:p w14:paraId="436AD35E" w14:textId="3312D959" w:rsid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ISO Latin 1 ha alcune lingue europee e utilizza 8 bit; </w:t>
      </w:r>
    </w:p>
    <w:p w14:paraId="02A1DAED" w14:textId="6AF7F664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Unicode è a 4 byte, risolve problemi di codifica delle lingue non europee, ma consumano molta memoria;</w:t>
      </w:r>
    </w:p>
    <w:p w14:paraId="7560308A" w14:textId="7A6B54D1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UTF-8 utilizza un numero compreso tra 1 e 4 byte: dove 1 byte viene usato per l’ASCII, 2 byte per l’alfabeto latino e gli script non-ideografici, 3 byte per i codici ideografici e 4 byte per i codici dei piani alti</w:t>
      </w:r>
    </w:p>
    <w:p w14:paraId="78908334" w14:textId="77777777" w:rsidR="00765A9F" w:rsidRP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le principali differenze tra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usability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e user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experience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:</w:t>
      </w:r>
    </w:p>
    <w:p w14:paraId="3F2E97E2" w14:textId="3F144A98" w:rsidR="009F5067" w:rsidRDefault="009F5067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 xml:space="preserve">La principale differenza è che la user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da una piacevole esperienza all’utente; mentre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punta ad un sistema più semplice e veloce</w:t>
      </w:r>
      <w:r w:rsidR="00190FBF">
        <w:rPr>
          <w:rFonts w:asciiTheme="majorHAnsi" w:hAnsiTheme="majorHAnsi" w:cstheme="majorHAnsi"/>
          <w:bdr w:val="none" w:sz="0" w:space="0" w:color="auto" w:frame="1"/>
        </w:rPr>
        <w:t>.</w:t>
      </w:r>
    </w:p>
    <w:p w14:paraId="087E83E3" w14:textId="53118FCB" w:rsidR="00190FBF" w:rsidRPr="009F5067" w:rsidRDefault="00190FBF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 xml:space="preserve">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e la user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sono due concetti correlati;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si concentra sulla facilità e efficacia nell’uso del prodotto, mentre la user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si estende oltre la semplice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includendo aspetti più ampli nell’interazione per creare un’esperienza completa e soddisfacente per l’utente.</w:t>
      </w:r>
    </w:p>
    <w:p w14:paraId="594BCB98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7C31529" w14:textId="77777777" w:rsidR="00190FBF" w:rsidRDefault="00190FBF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5036144" w14:textId="53D24C2B" w:rsidR="00190FBF" w:rsidRPr="00190FBF" w:rsidRDefault="00190FBF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Con accessibilità si intende:</w:t>
      </w:r>
    </w:p>
    <w:p w14:paraId="220FB3F7" w14:textId="31B96A4A" w:rsidR="00190FBF" w:rsidRDefault="00190FBF" w:rsidP="005B6C79">
      <w:pPr>
        <w:spacing w:after="0" w:line="240" w:lineRule="auto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</w:t>
      </w:r>
      <w:r w:rsidRPr="00190FBF">
        <w:rPr>
          <w:rFonts w:asciiTheme="majorHAnsi" w:hAnsiTheme="majorHAnsi" w:cstheme="majorHAnsi"/>
          <w:bdr w:val="none" w:sz="0" w:space="0" w:color="auto" w:frame="1"/>
        </w:rPr>
        <w:t>a capacità dei sistemi informatici, di erogare servizi e fornire informazioni fruibili, anche da parte di coloro che a causa di disabilità necessitano di tecnologie assistive o configurazioni particolari;</w:t>
      </w:r>
    </w:p>
    <w:p w14:paraId="71C2A728" w14:textId="2BBBE327" w:rsidR="00190FBF" w:rsidRPr="00190FBF" w:rsidRDefault="00EE011B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>
        <w:rPr>
          <w:rFonts w:asciiTheme="majorHAnsi" w:hAnsiTheme="majorHAnsi" w:cstheme="majorHAnsi"/>
          <w:bdr w:val="none" w:sz="0" w:space="0" w:color="auto" w:frame="1"/>
        </w:rPr>
        <w:t>Mentre l’</w:t>
      </w:r>
      <w:r w:rsidR="00190FBF">
        <w:rPr>
          <w:rFonts w:asciiTheme="majorHAnsi" w:hAnsiTheme="majorHAnsi" w:cstheme="majorHAnsi"/>
          <w:bdr w:val="none" w:sz="0" w:space="0" w:color="auto" w:frame="1"/>
        </w:rPr>
        <w:t xml:space="preserve">usabilità </w:t>
      </w:r>
      <w:r>
        <w:rPr>
          <w:rFonts w:asciiTheme="majorHAnsi" w:hAnsiTheme="majorHAnsi" w:cstheme="majorHAnsi"/>
          <w:bdr w:val="none" w:sz="0" w:space="0" w:color="auto" w:frame="1"/>
        </w:rPr>
        <w:t xml:space="preserve">è </w:t>
      </w:r>
      <w:r w:rsidR="00190FBF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una caratteristica del sistema che si concentra sulla facilità e efficacia nel suo utilizzo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.</w:t>
      </w:r>
    </w:p>
    <w:p w14:paraId="0E2C829A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FC6F62" w14:textId="77777777" w:rsidR="00F45830" w:rsidRPr="00F94588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brevemente le metodologie di codifica dei colori nelle pagine Web e nei fogli di stile CSS:</w:t>
      </w:r>
    </w:p>
    <w:p w14:paraId="2F49E1D6" w14:textId="77777777" w:rsid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69A369" w14:textId="29E760F0" w:rsidR="00F45830" w:rsidRDefault="00F45830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metodologie di codifica dei colori usate nelle pagine Web sono:</w:t>
      </w:r>
    </w:p>
    <w:p w14:paraId="2C7E9228" w14:textId="6DD2B831" w:rsidR="00F45830" w:rsidRDefault="00F45830" w:rsidP="00F45830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 w:rsidRPr="00F45830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RGB che sta per Red, Green and B</w:t>
      </w: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lue, la sua rappresentazione può essere in esadecimale #RRGGBB oppure può essere scritta in decimale </w:t>
      </w:r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dove ogni valore di val (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rgb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(val, val, val, opa)) è un valore tra 0 e 255; mentre opa stabilisce la trasparenza del colore;</w:t>
      </w:r>
    </w:p>
    <w:p w14:paraId="050AF6E2" w14:textId="5C5178CC" w:rsidR="00182163" w:rsidRPr="00182163" w:rsidRDefault="00182163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HSL che è l’acronimo di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Hue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Saturarion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Lightness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, fa riferimento al cerchi cromatico di colori, dove: h è il grado dell’angolo del cerchio, s è la saturazione del colore e l indica la luminosità. In CSS si scrive come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hsl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(h, s, l).</w:t>
      </w:r>
    </w:p>
    <w:p w14:paraId="7F3575FD" w14:textId="77777777" w:rsidR="00F45830" w:rsidRP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5DDEF694" w14:textId="77777777" w:rsidR="005B6C79" w:rsidRPr="00F45830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12D9E86C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2130AFE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273E09E4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4A95A9F" w14:textId="3581078C" w:rsidR="005B6C79" w:rsidRDefault="00182163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principali problemi di accessibilità che potrebbe avere questa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sono </w:t>
      </w:r>
      <w:r w:rsidR="007D3230">
        <w:rPr>
          <w:rFonts w:asciiTheme="majorHAnsi" w:eastAsia="Times New Roman" w:hAnsiTheme="majorHAnsi" w:cstheme="majorHAnsi"/>
          <w:color w:val="000000"/>
          <w:lang w:eastAsia="it-IT"/>
        </w:rPr>
        <w:t>l</w:t>
      </w:r>
      <w:r>
        <w:rPr>
          <w:rFonts w:asciiTheme="majorHAnsi" w:eastAsia="Times New Roman" w:hAnsiTheme="majorHAnsi" w:cstheme="majorHAnsi"/>
          <w:color w:val="000000"/>
          <w:lang w:eastAsia="it-IT"/>
        </w:rPr>
        <w:t>a mancanza:</w:t>
      </w:r>
    </w:p>
    <w:p w14:paraId="28CC0947" w14:textId="08D02DFD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i for nei label e id nel 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nei bottoni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, per far capire che il label fa riferimento a quell’input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bottone.</w:t>
      </w:r>
    </w:p>
    <w:p w14:paraId="6A36C735" w14:textId="100884A0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el label sui radio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button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, per far capire che quella è la selezione del sesso della persona.</w:t>
      </w:r>
    </w:p>
    <w:p w14:paraId="5B5BAFB1" w14:textId="78F889AB" w:rsidR="00182163" w:rsidRP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Di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fieldset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per tutta la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per far capire che fa riferimento all’inserimento di dati di una persona.</w:t>
      </w:r>
    </w:p>
    <w:p w14:paraId="5277948A" w14:textId="043BB358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52EFA9B" w14:textId="07953C50" w:rsidR="00FF1F38" w:rsidRDefault="00FF1F38" w:rsidP="00100C47"/>
    <w:p w14:paraId="417BBFA7" w14:textId="03377B45" w:rsidR="00100C47" w:rsidRPr="00100C47" w:rsidRDefault="007F64BA" w:rsidP="00100C47"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53ACF32" wp14:editId="54DEFE11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6120130" cy="2694508"/>
            <wp:effectExtent l="0" t="0" r="0" b="0"/>
            <wp:wrapTopAndBottom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E502F" w14:textId="35C2998D" w:rsidR="00FF1F3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F18737" w14:textId="66A9FA35" w:rsidR="007F64BA" w:rsidRDefault="007F64B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principali problemi di accessibilità che potrebbe avere questa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sono:</w:t>
      </w:r>
    </w:p>
    <w:p w14:paraId="6D58EF95" w14:textId="2AC7893F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La mancanza di for nei label e id nel input o nei bottoni, per far capire che il label fa riferimento a quell’input o bottone.</w:t>
      </w:r>
    </w:p>
    <w:p w14:paraId="62B73DB7" w14:textId="4FC94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L’input della label con scritto user password deve avere come attributo il tipo password.</w:t>
      </w:r>
    </w:p>
    <w:p w14:paraId="194A63AD" w14:textId="1EA91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La mancanza di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fieldset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legend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che racchiude il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>.</w:t>
      </w:r>
    </w:p>
    <w:p w14:paraId="4C83782D" w14:textId="07BFE569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AA64577" w14:textId="1497C03C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C3CE62" w14:textId="308925F8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DD14B82" w14:textId="00F2E045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14AA61F" w14:textId="1D22D9B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D3E2AF" w14:textId="45C10E0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6AC0ADF" w14:textId="052C82CD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29E8CC" w14:textId="6BF6BC32" w:rsidR="007F64BA" w:rsidRPr="00F94588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374188" w14:textId="1DE6D73B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BE9A42C" w14:textId="3B3F2CA6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D4C0D64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9AA9443" w14:textId="78A783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006AD80" w14:textId="7AF62EA8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0B3AD534" w14:textId="6B9FE53B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B11ED3A" w14:textId="2BEB6BD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9C6B2E6" w14:textId="249706A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6C9D987" w14:textId="0FC1096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8AADDD1" w14:textId="2A195AEA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E0C8998" w14:textId="12C671D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20770ED" w14:textId="46E460B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283EC5F" w14:textId="35A6500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A0FBBCC" w14:textId="3E9FF3B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78A45F4B" w14:textId="19547491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63E7734" wp14:editId="652E9843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6120130" cy="4228465"/>
            <wp:effectExtent l="0" t="0" r="0" b="635"/>
            <wp:wrapTopAndBottom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8A673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984273B" w14:textId="35B45421" w:rsidR="00892556" w:rsidRPr="00892556" w:rsidRDefault="00892556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 principali problemi di accessibilità potrebbero essere la mancanza dell’alt con scritto “schema ….”</w:t>
      </w:r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; ma anche la mancanza di un attributo </w:t>
      </w:r>
      <w:proofErr w:type="spellStart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longdesc</w:t>
      </w:r>
      <w:proofErr w:type="spellEnd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, in cui in un .</w:t>
      </w:r>
      <w:proofErr w:type="spellStart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txt</w:t>
      </w:r>
      <w:proofErr w:type="spellEnd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descrive la complessità dell’immagine ed infine uno può farla diventare una mappa con tanti alt che descrivono i vari livelli ISO che sono collegati a delle pagine web che spiegano come funziona.</w:t>
      </w:r>
    </w:p>
    <w:p w14:paraId="7DE1D0A8" w14:textId="77777777" w:rsidR="00892556" w:rsidRDefault="00892556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BC73335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Dare una definizione di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descrivere un caso di design centrato sull’utente.</w:t>
      </w:r>
    </w:p>
    <w:p w14:paraId="620C58D1" w14:textId="77777777" w:rsidR="0009007B" w:rsidRDefault="0009007B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EB83A2C" w14:textId="3146D2AF" w:rsidR="0009007B" w:rsidRPr="0009007B" w:rsidRDefault="0009007B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L’user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experience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definisce quanta soddisfazione ti dà nel usare l’applicazione e quanto semplice è per te usarla in base al layout che è stato dato. </w:t>
      </w:r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 un design user-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centered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è fondamentale centrare il target, cioè definire il gruppo di utente a cui si rivolge il progetto; creare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Personas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Scenarios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che servono per il supporto alla progettazione user-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centered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un esempio in particolare può essere l’app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MyUnibo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che viene usata dai studenti universitari, quindi ci dovranno essere servizi che vengono usati abitualmente da loro, tipo: gestione del libretto, esami da sostenere, orari delle lezioni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etc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…</w:t>
      </w:r>
    </w:p>
    <w:p w14:paraId="44043C24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83FA48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le principali differenze e analogie tra 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solution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stack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LAMP e MEAN:</w:t>
      </w:r>
    </w:p>
    <w:p w14:paraId="050D558D" w14:textId="77777777" w:rsidR="00C9575A" w:rsidRDefault="00C9575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B97AAC2" w14:textId="78A01D78" w:rsidR="00C9575A" w:rsidRDefault="00C9575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Ogni Solution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Stack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ha in comuno 4 elementi tra cui: il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lunguaggio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di programmazione, il database, il Web Server e il Sistema Operativo. Per quanto riguarda LAMP è un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solution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stack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in cui:</w:t>
      </w:r>
    </w:p>
    <w:p w14:paraId="319771FE" w14:textId="46C60936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Linux è il sistema operativo;</w:t>
      </w:r>
    </w:p>
    <w:p w14:paraId="365C3928" w14:textId="45AFFB2F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Apache è il web server;</w:t>
      </w:r>
    </w:p>
    <w:p w14:paraId="0B442081" w14:textId="5F66003A" w:rsidR="00C9575A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Il DBMS è MySQL;</w:t>
      </w:r>
    </w:p>
    <w:p w14:paraId="67238BBB" w14:textId="5D39701A" w:rsidR="00C74C74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Come linguaggi di programmazione abbiamo PHP,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Perl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Python.</w:t>
      </w:r>
    </w:p>
    <w:p w14:paraId="7F8E8C94" w14:textId="1BD311FB" w:rsidR="00C74C74" w:rsidRDefault="00C74C74" w:rsidP="00C74C7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Mentre MEAN è un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solution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stack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in cui:</w:t>
      </w:r>
    </w:p>
    <w:p w14:paraId="0B65836F" w14:textId="47EF80F9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MongoDB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è il database;</w:t>
      </w:r>
    </w:p>
    <w:p w14:paraId="4A33BA41" w14:textId="5DF03128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Express.js è framework di sviluppo di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Javascript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lato server;</w:t>
      </w:r>
    </w:p>
    <w:p w14:paraId="629ABD0C" w14:textId="378182E6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Angular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JS è sempre framework di JS lato client;</w:t>
      </w:r>
    </w:p>
    <w:p w14:paraId="7E879548" w14:textId="3374775B" w:rsidR="00C74C74" w:rsidRP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lastRenderedPageBreak/>
        <w:t>Node.js è l’ambiente di esecuzione per applicazioni server-side.</w:t>
      </w:r>
    </w:p>
    <w:p w14:paraId="6F2587C0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DD5CAA9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Scenarios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27D2926C" w14:textId="77777777" w:rsid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bdr w:val="none" w:sz="0" w:space="0" w:color="auto" w:frame="1"/>
          <w:lang w:eastAsia="it-IT"/>
        </w:rPr>
      </w:pPr>
    </w:p>
    <w:p w14:paraId="63D84FDA" w14:textId="4C55570D" w:rsid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Per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personas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scenarios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si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intede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il target di utenti che deve utilizzare l’applicazione e in quali possibili contesti possono essere utilizzati, un esempio può essere l’app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my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unibo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che utilizza gli studenti come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personas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e il contesto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univeristario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come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scenarios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permettendo più facile accesso a esami libretto voti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ecc</w:t>
      </w:r>
      <w:proofErr w:type="spellEnd"/>
    </w:p>
    <w:p w14:paraId="79DD74F0" w14:textId="77777777" w:rsidR="00F119B9" w:rsidRPr="00F119B9" w:rsidRDefault="00F119B9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671CEA9B" w14:textId="77777777" w:rsidR="00F119B9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8AF498D" w14:textId="77777777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E7C2926" w14:textId="7C439342" w:rsidR="00F119B9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Focus Group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6EE480B1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1136A0EF" w14:textId="4C062869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Un focus group è un gruppo di persone composte dagli sviluppatori e dagli utenti finali che discutono di come definire il design dell’applicazione per una migliore User 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>eXperience</w:t>
      </w:r>
      <w:proofErr w:type="spellEnd"/>
      <w:r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  <w:t xml:space="preserve"> così che gli sviluppatori possano avere subito pareri sulle loro idee e progettare in base alle esigenze reali dell’utente finale</w:t>
      </w:r>
    </w:p>
    <w:p w14:paraId="659A6368" w14:textId="626060D1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8EDE18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8F1093A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renderizzata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dal browser.</w:t>
      </w:r>
    </w:p>
    <w:p w14:paraId="057A8786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494F045A" w14:textId="3F5FB220" w:rsidR="00F119B9" w:rsidRDefault="002C0368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  <w:r>
        <w:t>il modello di funzionamento di HTTP prevede che l’interazione tra client e server sia iniziata esclusivamente dal client. Quindi il client attira a sé (pull) i contenuti richiesti.</w:t>
      </w:r>
    </w:p>
    <w:p w14:paraId="5344F80E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674B5008" w14:textId="77777777" w:rsidR="00F119B9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7C15058" w14:textId="77777777" w:rsidR="00F119B9" w:rsidRDefault="00F119B9" w:rsidP="00F119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Cs/>
          <w:color w:val="000000"/>
          <w:bdr w:val="none" w:sz="0" w:space="0" w:color="auto" w:frame="1"/>
          <w:lang w:eastAsia="it-IT"/>
        </w:rPr>
      </w:pPr>
    </w:p>
    <w:p w14:paraId="6B09885D" w14:textId="77777777" w:rsidR="00F119B9" w:rsidRPr="00F94588" w:rsidRDefault="00F119B9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1FBB71C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FD4C781" w14:textId="23D5E602" w:rsidR="007F64BA" w:rsidRP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inline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, fogli di stile interni e fogli di stile esterni.</w:t>
      </w:r>
    </w:p>
    <w:p w14:paraId="50F68132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204061C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come è possibile scambiare i valori delle variabili tra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Javascript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Php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5F6B1FA2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BA9844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Definire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target users e spiegarne le differenze.</w:t>
      </w:r>
    </w:p>
    <w:p w14:paraId="2144B6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4226E4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Illustrare le differenze, i vantaggi e gli svantaggi di fogli di stile esterni, interni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inline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17EDBE4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16A8DE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6774EC2B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B9517B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</w:p>
    <w:p w14:paraId="7C465A52" w14:textId="77777777" w:rsidR="007F64BA" w:rsidRPr="00FF1F38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4BF7" w14:textId="77777777" w:rsidR="00751338" w:rsidRDefault="00751338" w:rsidP="007F64BA">
      <w:pPr>
        <w:spacing w:after="0" w:line="240" w:lineRule="auto"/>
      </w:pPr>
      <w:r>
        <w:separator/>
      </w:r>
    </w:p>
  </w:endnote>
  <w:endnote w:type="continuationSeparator" w:id="0">
    <w:p w14:paraId="75CEA085" w14:textId="77777777" w:rsidR="00751338" w:rsidRDefault="00751338" w:rsidP="007F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99A3" w14:textId="77777777" w:rsidR="00751338" w:rsidRDefault="00751338" w:rsidP="007F64BA">
      <w:pPr>
        <w:spacing w:after="0" w:line="240" w:lineRule="auto"/>
      </w:pPr>
      <w:r>
        <w:separator/>
      </w:r>
    </w:p>
  </w:footnote>
  <w:footnote w:type="continuationSeparator" w:id="0">
    <w:p w14:paraId="0F206FFF" w14:textId="77777777" w:rsidR="00751338" w:rsidRDefault="00751338" w:rsidP="007F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493409">
    <w:abstractNumId w:val="1"/>
  </w:num>
  <w:num w:numId="2" w16cid:durableId="1577663768">
    <w:abstractNumId w:val="0"/>
  </w:num>
  <w:num w:numId="3" w16cid:durableId="1843548413">
    <w:abstractNumId w:val="2"/>
  </w:num>
  <w:num w:numId="4" w16cid:durableId="1030106694">
    <w:abstractNumId w:val="11"/>
  </w:num>
  <w:num w:numId="5" w16cid:durableId="639649122">
    <w:abstractNumId w:val="8"/>
  </w:num>
  <w:num w:numId="6" w16cid:durableId="747575823">
    <w:abstractNumId w:val="12"/>
  </w:num>
  <w:num w:numId="7" w16cid:durableId="587621845">
    <w:abstractNumId w:val="10"/>
  </w:num>
  <w:num w:numId="8" w16cid:durableId="81949588">
    <w:abstractNumId w:val="9"/>
  </w:num>
  <w:num w:numId="9" w16cid:durableId="121308730">
    <w:abstractNumId w:val="5"/>
  </w:num>
  <w:num w:numId="10" w16cid:durableId="797845202">
    <w:abstractNumId w:val="4"/>
  </w:num>
  <w:num w:numId="11" w16cid:durableId="580875267">
    <w:abstractNumId w:val="6"/>
  </w:num>
  <w:num w:numId="12" w16cid:durableId="129442075">
    <w:abstractNumId w:val="3"/>
  </w:num>
  <w:num w:numId="13" w16cid:durableId="1407990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61"/>
    <w:rsid w:val="000772BB"/>
    <w:rsid w:val="0009007B"/>
    <w:rsid w:val="00100C47"/>
    <w:rsid w:val="001117C2"/>
    <w:rsid w:val="00182163"/>
    <w:rsid w:val="00190FBF"/>
    <w:rsid w:val="002568E0"/>
    <w:rsid w:val="002C0368"/>
    <w:rsid w:val="002F0E5E"/>
    <w:rsid w:val="004B3961"/>
    <w:rsid w:val="005B6C79"/>
    <w:rsid w:val="00751338"/>
    <w:rsid w:val="00765A9F"/>
    <w:rsid w:val="007726BC"/>
    <w:rsid w:val="00777ADD"/>
    <w:rsid w:val="007D3230"/>
    <w:rsid w:val="007F64BA"/>
    <w:rsid w:val="00892556"/>
    <w:rsid w:val="008F5807"/>
    <w:rsid w:val="009609B8"/>
    <w:rsid w:val="009F5067"/>
    <w:rsid w:val="00A547E5"/>
    <w:rsid w:val="00B1774E"/>
    <w:rsid w:val="00C74C74"/>
    <w:rsid w:val="00C9575A"/>
    <w:rsid w:val="00DA4761"/>
    <w:rsid w:val="00E54FE5"/>
    <w:rsid w:val="00EE011B"/>
    <w:rsid w:val="00EE20BE"/>
    <w:rsid w:val="00F119B9"/>
    <w:rsid w:val="00F45830"/>
    <w:rsid w:val="00F94588"/>
    <w:rsid w:val="00FD306E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19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64BA"/>
  </w:style>
  <w:style w:type="paragraph" w:styleId="Pidipagina">
    <w:name w:val="footer"/>
    <w:basedOn w:val="Normale"/>
    <w:link w:val="Pidipagina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m25504</cp:lastModifiedBy>
  <cp:revision>16</cp:revision>
  <dcterms:created xsi:type="dcterms:W3CDTF">2024-01-21T14:57:00Z</dcterms:created>
  <dcterms:modified xsi:type="dcterms:W3CDTF">2024-01-28T16:48:00Z</dcterms:modified>
</cp:coreProperties>
</file>