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Calibri" w:cs="Calibri" w:eastAsia="Calibri" w:hAnsi="Calibri"/>
          <w:b/>
          <w:bCs/>
          <w:color w:val="0098CD"/>
          <w:sz w:val="32"/>
          <w:szCs w:val="32"/>
        </w:rPr>
        <w:t xml:space="preserve">4. Marco Matemático</w:t>
      </w:r>
    </w:p>
    <w:p>
      <w:pPr>
        <w:spacing w:after="160"/>
        <w:ind w:firstLine="360"/>
        <w:jc w:val="both"/>
      </w:pPr>
      <w:r>
        <w:rPr>
          <w:rFonts w:ascii="Calibri" w:cs="Calibri" w:eastAsia="Calibri" w:hAnsi="Calibri"/>
          <w:color w:val="333333"/>
          <w:sz w:val="22"/>
          <w:szCs w:val="22"/>
        </w:rPr>
        <w:t xml:space="preserve">Este capítulo desarrolla los fundamentos matemáticos que sustentan el pipeline de estimación de pose 6-DoF y generación de trayectorias de agarre propuesto en este TFM. Se presentan cuatro pilares teóricos interrelacionados: la geometría de los grupos de Lie SE(3) y SO(3) para la representación de poses, las distintas parametrizaciones de rotaciones y sus propiedades de continuidad, los mecanismos de atención multi-cabeza como operadores sobre representaciones geométricas, y las ecuaciones diferenciales estocásticas que fundamentan los modelos de difusión. La conexión entre estos fundamentos y su implementación en FoundationPose y Diffusion Policy se explicita en cada sección.</w:t>
      </w:r>
    </w:p>
    <w:p>
      <w:pPr>
        <w:pStyle w:val="Heading2"/>
        <w:spacing w:after="180" w:before="280"/>
      </w:pPr>
      <w:r>
        <w:rPr>
          <w:rFonts w:ascii="Calibri" w:cs="Calibri" w:eastAsia="Calibri" w:hAnsi="Calibri"/>
          <w:b/>
          <w:bCs/>
          <w:color w:val="006C8F"/>
          <w:sz w:val="26"/>
          <w:szCs w:val="26"/>
        </w:rPr>
        <w:t xml:space="preserve">4.1. Grupos de Lie: SE(3) como grupo de isometrías rígidas</w:t>
      </w:r>
    </w:p>
    <w:p>
      <w:pPr>
        <w:spacing w:after="160"/>
        <w:ind w:firstLine="360"/>
        <w:jc w:val="both"/>
      </w:pPr>
      <w:r>
        <w:rPr>
          <w:rFonts w:ascii="Calibri" w:cs="Calibri" w:eastAsia="Calibri" w:hAnsi="Calibri"/>
          <w:color w:val="333333"/>
          <w:sz w:val="22"/>
          <w:szCs w:val="22"/>
        </w:rPr>
        <w:t xml:space="preserve">La estimación de pose 6-DoF requiere una representación matemática rigurosa de las transformaciones rígidas del espacio tridimensional. El grupo especial euclídeo SE(3) proporciona esta estructura de forma natural, unificando rotación y traslación en un marco algebraico consistente (Sola et al., 2018).</w:t>
      </w:r>
    </w:p>
    <w:p>
      <w:pPr>
        <w:spacing w:after="120" w:before="220"/>
      </w:pPr>
      <w:r>
        <w:rPr>
          <w:rFonts w:ascii="Calibri" w:cs="Calibri" w:eastAsia="Calibri" w:hAnsi="Calibri"/>
          <w:b/>
          <w:bCs/>
          <w:color w:val="333333"/>
          <w:sz w:val="23"/>
          <w:szCs w:val="23"/>
        </w:rPr>
        <w:t xml:space="preserve">4.1.1. El grupo especial ortogonal SO(3)</w:t>
      </w:r>
    </w:p>
    <w:p>
      <w:pPr>
        <w:spacing w:after="160"/>
        <w:ind w:firstLine="360"/>
        <w:jc w:val="both"/>
      </w:pPr>
      <w:r>
        <w:rPr>
          <w:rFonts w:ascii="Calibri" w:cs="Calibri" w:eastAsia="Calibri" w:hAnsi="Calibri"/>
          <w:color w:val="333333"/>
          <w:sz w:val="22"/>
          <w:szCs w:val="22"/>
        </w:rPr>
        <w:t xml:space="preserve">El grupo especial ortogonal SO(3) es el grupo de todas las rotaciones en el espacio tridimensional, definido como el conjunto de matrices ortogonales con determinante unitario:</w:t>
      </w:r>
    </w:p>
    <w:p>
      <w:pPr>
        <w:spacing w:after="120" w:before="120"/>
        <w:jc w:val="center"/>
      </w:pPr>
      <w:r>
        <w:rPr>
          <w:rFonts w:ascii="Cambria Math" w:cs="Cambria Math" w:eastAsia="Cambria Math" w:hAnsi="Cambria Math"/>
          <w:i/>
          <w:iCs/>
          <w:color w:val="333333"/>
          <w:sz w:val="22"/>
          <w:szCs w:val="22"/>
        </w:rPr>
        <w:t xml:space="preserve">SO(3) = { R ∈ ℝ³ˣ³ : RᵀR = I₃, det(R) = 1 }</w:t>
      </w:r>
      <w:r>
        <w:rPr>
          <w:rFonts w:ascii="Calibri" w:cs="Calibri" w:eastAsia="Calibri" w:hAnsi="Calibri"/>
          <w:color w:val="858591"/>
          <w:sz w:val="20"/>
          <w:szCs w:val="20"/>
        </w:rPr>
        <w:t xml:space="preserve">     (4.1)</w:t>
      </w:r>
    </w:p>
    <w:p>
      <w:pPr>
        <w:spacing w:after="160"/>
        <w:ind w:firstLine="360"/>
        <w:jc w:val="both"/>
      </w:pPr>
      <w:r>
        <w:rPr>
          <w:rFonts w:ascii="Calibri" w:cs="Calibri" w:eastAsia="Calibri" w:hAnsi="Calibri"/>
          <w:color w:val="333333"/>
          <w:sz w:val="22"/>
          <w:szCs w:val="22"/>
        </w:rPr>
        <w:t xml:space="preserve">SO(3) es un grupo de Lie tridimensional, compacto y conexo, cuya topología es la del espacio proyectivo real RP³ (equivalentemente, la 3-esfera S³ con puntos antipodales identificados). Esta topología tiene implicaciones prácticas directas: no existe una parametrización global de SO(3) que sea simultáneamente continua y sin singularidades (Stuelpnagel, 1964). Este resultado fundamental motiva el uso de representaciones alternativas como los cuaterniones unitarios o la representación 6D continua (Zhou et al., 2019), analizadas en la Sección 4.2.</w:t>
      </w:r>
    </w:p>
    <w:p>
      <w:pPr>
        <w:spacing w:after="160"/>
        <w:ind w:firstLine="360"/>
        <w:jc w:val="both"/>
      </w:pPr>
      <w:r>
        <w:rPr>
          <w:rFonts w:ascii="Calibri" w:cs="Calibri" w:eastAsia="Calibri" w:hAnsi="Calibri"/>
          <w:color w:val="333333"/>
          <w:sz w:val="22"/>
          <w:szCs w:val="22"/>
        </w:rPr>
        <w:t xml:space="preserve">El álgebra de Lie so(3), tangente a SO(3) en la identidad, está formada por las matrices antisimétricas 3×3. Existe un isomorfismo natural entre so(3) y ℝ³ dado por el operador </w:t>
      </w:r>
      <w:r>
        <w:rPr>
          <w:rFonts w:ascii="Calibri" w:cs="Calibri" w:eastAsia="Calibri" w:hAnsi="Calibri"/>
          <w:i/>
          <w:iCs/>
          <w:color w:val="333333"/>
          <w:sz w:val="22"/>
          <w:szCs w:val="22"/>
        </w:rPr>
        <w:t xml:space="preserve">hat</w:t>
      </w:r>
      <w:r>
        <w:rPr>
          <w:rFonts w:ascii="Calibri" w:cs="Calibri" w:eastAsia="Calibri" w:hAnsi="Calibri"/>
          <w:color w:val="333333"/>
          <w:sz w:val="22"/>
          <w:szCs w:val="22"/>
        </w:rPr>
        <w:t xml:space="preserve"> (skew-symmetric):</w:t>
      </w:r>
    </w:p>
    <w:p>
      <w:pPr>
        <w:spacing w:after="120" w:before="120"/>
        <w:jc w:val="center"/>
      </w:pPr>
      <w:r>
        <w:rPr>
          <w:rFonts w:ascii="Cambria Math" w:cs="Cambria Math" w:eastAsia="Cambria Math" w:hAnsi="Cambria Math"/>
          <w:i/>
          <w:iCs/>
          <w:color w:val="333333"/>
          <w:sz w:val="22"/>
          <w:szCs w:val="22"/>
        </w:rPr>
        <w:t xml:space="preserve">[ω]× = ⎡  0  -ω₃  ω₂ ⎤
        ⎢ ω₃   0  -ω₁ ⎥
        ⎣-ω₂  ω₁   0  ⎦</w:t>
      </w:r>
      <w:r>
        <w:rPr>
          <w:rFonts w:ascii="Calibri" w:cs="Calibri" w:eastAsia="Calibri" w:hAnsi="Calibri"/>
          <w:color w:val="858591"/>
          <w:sz w:val="20"/>
          <w:szCs w:val="20"/>
        </w:rPr>
        <w:t xml:space="preserve">     (4.2)</w:t>
      </w:r>
    </w:p>
    <w:p>
      <w:pPr>
        <w:spacing w:after="160"/>
        <w:ind w:firstLine="360"/>
        <w:jc w:val="both"/>
      </w:pPr>
      <w:r>
        <w:rPr>
          <w:rFonts w:ascii="Calibri" w:cs="Calibri" w:eastAsia="Calibri" w:hAnsi="Calibri"/>
          <w:color w:val="333333"/>
          <w:sz w:val="22"/>
          <w:szCs w:val="22"/>
        </w:rPr>
        <w:t xml:space="preserve">El mapa exponencial exp: so(3) → SO(3) se calcula mediante la fórmula de Rodrigues:</w:t>
      </w:r>
    </w:p>
    <w:p>
      <w:pPr>
        <w:spacing w:after="120" w:before="120"/>
        <w:jc w:val="center"/>
      </w:pPr>
      <w:r>
        <w:rPr>
          <w:rFonts w:ascii="Cambria Math" w:cs="Cambria Math" w:eastAsia="Cambria Math" w:hAnsi="Cambria Math"/>
          <w:i/>
          <w:iCs/>
          <w:color w:val="333333"/>
          <w:sz w:val="22"/>
          <w:szCs w:val="22"/>
        </w:rPr>
        <w:t xml:space="preserve">exp([ω]×) = I + (sin θ / θ)[ω]× + ((1 - cos θ) / θ²)[ω]×²</w:t>
      </w:r>
      <w:r>
        <w:rPr>
          <w:rFonts w:ascii="Calibri" w:cs="Calibri" w:eastAsia="Calibri" w:hAnsi="Calibri"/>
          <w:color w:val="858591"/>
          <w:sz w:val="20"/>
          <w:szCs w:val="20"/>
        </w:rPr>
        <w:t xml:space="preserve">     (4.3)</w:t>
      </w:r>
    </w:p>
    <w:p>
      <w:pPr>
        <w:spacing w:after="160"/>
        <w:ind w:firstLine="360"/>
        <w:jc w:val="both"/>
      </w:pPr>
      <w:r>
        <w:rPr>
          <w:rFonts w:ascii="Calibri" w:cs="Calibri" w:eastAsia="Calibri" w:hAnsi="Calibri"/>
          <w:i w:val="false"/>
          <w:iCs w:val="false"/>
          <w:color w:val="333333"/>
          <w:sz w:val="22"/>
          <w:szCs w:val="22"/>
        </w:rPr>
        <w:t xml:space="preserve">donde θ = ‖ω‖ es el ángulo de rotación. El mapa logarítmico log: SO(3) → so(3) invierte esta operación, permitiendo computar el "vector de rotación" que conecta dos orientaciones. En nuestra implementación (</w:t>
      </w:r>
      <w:r>
        <w:rPr>
          <w:rFonts w:ascii="Calibri" w:cs="Calibri" w:eastAsia="Calibri" w:hAnsi="Calibri"/>
          <w:i/>
          <w:iCs/>
          <w:color w:val="333333"/>
          <w:sz w:val="22"/>
          <w:szCs w:val="22"/>
        </w:rPr>
        <w:t xml:space="preserve">src/utils/lie_groups.py</w:t>
      </w:r>
      <w:r>
        <w:rPr>
          <w:rFonts w:ascii="Calibri" w:cs="Calibri" w:eastAsia="Calibri" w:hAnsi="Calibri"/>
          <w:color w:val="333333"/>
          <w:sz w:val="22"/>
          <w:szCs w:val="22"/>
        </w:rPr>
        <w:t xml:space="preserve">), ambos mapas están implementados con manejo de casos singulares: θ ≈ 0 (cerca de la identidad) y θ ≈ π (rotaciones de media vuelta), siguiendo las recomendaciones de Sola et al. (2018).</w:t>
      </w:r>
    </w:p>
    <w:p>
      <w:pPr>
        <w:spacing w:after="160"/>
        <w:ind w:firstLine="360"/>
        <w:jc w:val="both"/>
      </w:pPr>
      <w:r>
        <w:rPr>
          <w:rFonts w:ascii="Calibri" w:cs="Calibri" w:eastAsia="Calibri" w:hAnsi="Calibri"/>
          <w:color w:val="333333"/>
          <w:sz w:val="22"/>
          <w:szCs w:val="22"/>
        </w:rPr>
        <w:t xml:space="preserve">La distancia geodésica en SO(3) entre dos rotaciones R₁ y R₂ se define como:</w:t>
      </w:r>
    </w:p>
    <w:p>
      <w:pPr>
        <w:spacing w:after="120" w:before="120"/>
        <w:jc w:val="center"/>
      </w:pPr>
      <w:r>
        <w:rPr>
          <w:rFonts w:ascii="Cambria Math" w:cs="Cambria Math" w:eastAsia="Cambria Math" w:hAnsi="Cambria Math"/>
          <w:i/>
          <w:iCs/>
          <w:color w:val="333333"/>
          <w:sz w:val="22"/>
          <w:szCs w:val="22"/>
        </w:rPr>
        <w:t xml:space="preserve">d(R₁, R₂) = ‖log(R₁ᵀR₂)‖ = arccos((tr(R₁ᵀR₂) - 1) / 2)</w:t>
      </w:r>
      <w:r>
        <w:rPr>
          <w:rFonts w:ascii="Calibri" w:cs="Calibri" w:eastAsia="Calibri" w:hAnsi="Calibri"/>
          <w:color w:val="858591"/>
          <w:sz w:val="20"/>
          <w:szCs w:val="20"/>
        </w:rPr>
        <w:t xml:space="preserve">     (4.4)</w:t>
      </w:r>
    </w:p>
    <w:p>
      <w:pPr>
        <w:spacing w:after="160"/>
        <w:ind w:firstLine="360"/>
        <w:jc w:val="both"/>
      </w:pPr>
      <w:r>
        <w:rPr>
          <w:rFonts w:ascii="Calibri" w:cs="Calibri" w:eastAsia="Calibri" w:hAnsi="Calibri"/>
          <w:color w:val="333333"/>
          <w:sz w:val="22"/>
          <w:szCs w:val="22"/>
        </w:rPr>
        <w:t xml:space="preserve">Esta métrica es fundamental para evaluar la precisión de la estimación de pose, y se relaciona directamente con el ángulo mínimo de rotación necesario para alinear las dos orientaciones. En el BOP Challenge, las métricas MSSD y MSPD utilizan implícitamente esta distancia al comparar poses estimadas con ground truth (Hodaň et al., 2025).</w:t>
      </w:r>
    </w:p>
    <w:p>
      <w:pPr>
        <w:spacing w:after="120" w:before="220"/>
      </w:pPr>
      <w:r>
        <w:rPr>
          <w:rFonts w:ascii="Calibri" w:cs="Calibri" w:eastAsia="Calibri" w:hAnsi="Calibri"/>
          <w:b/>
          <w:bCs/>
          <w:color w:val="333333"/>
          <w:sz w:val="23"/>
          <w:szCs w:val="23"/>
        </w:rPr>
        <w:t xml:space="preserve">4.1.2. El grupo especial euclídeo SE(3)</w:t>
      </w:r>
    </w:p>
    <w:p>
      <w:pPr>
        <w:spacing w:after="160"/>
        <w:ind w:firstLine="360"/>
        <w:jc w:val="both"/>
      </w:pPr>
      <w:r>
        <w:rPr>
          <w:rFonts w:ascii="Calibri" w:cs="Calibri" w:eastAsia="Calibri" w:hAnsi="Calibri"/>
          <w:color w:val="333333"/>
          <w:sz w:val="22"/>
          <w:szCs w:val="22"/>
        </w:rPr>
        <w:t xml:space="preserve">SE(3) es el grupo de isometrías rígidas del espacio euclídeo tridimensional, que combina rotación y traslación:</w:t>
      </w:r>
    </w:p>
    <w:p>
      <w:pPr>
        <w:spacing w:after="120" w:before="120"/>
        <w:jc w:val="center"/>
      </w:pPr>
      <w:r>
        <w:rPr>
          <w:rFonts w:ascii="Cambria Math" w:cs="Cambria Math" w:eastAsia="Cambria Math" w:hAnsi="Cambria Math"/>
          <w:i/>
          <w:iCs/>
          <w:color w:val="333333"/>
          <w:sz w:val="22"/>
          <w:szCs w:val="22"/>
        </w:rPr>
        <w:t xml:space="preserve">SE(3) = { T = [R | t] ∈ ℝ⁴ˣ⁴ : R ∈ SO(3), t ∈ ℝ³ }</w:t>
      </w:r>
      <w:r>
        <w:rPr>
          <w:rFonts w:ascii="Calibri" w:cs="Calibri" w:eastAsia="Calibri" w:hAnsi="Calibri"/>
          <w:color w:val="858591"/>
          <w:sz w:val="20"/>
          <w:szCs w:val="20"/>
        </w:rPr>
        <w:t xml:space="preserve">     (4.5)</w:t>
      </w:r>
    </w:p>
    <w:p>
      <w:pPr>
        <w:spacing w:after="160"/>
        <w:ind w:firstLine="360"/>
        <w:jc w:val="both"/>
      </w:pPr>
      <w:r>
        <w:rPr>
          <w:rFonts w:ascii="Calibri" w:cs="Calibri" w:eastAsia="Calibri" w:hAnsi="Calibri"/>
          <w:color w:val="333333"/>
          <w:sz w:val="22"/>
          <w:szCs w:val="22"/>
        </w:rPr>
        <w:t xml:space="preserve">donde T es la </w:t>
      </w:r>
      <w:r>
        <w:rPr>
          <w:rFonts w:ascii="Calibri" w:cs="Calibri" w:eastAsia="Calibri" w:hAnsi="Calibri"/>
          <w:i/>
          <w:iCs/>
          <w:color w:val="333333"/>
          <w:sz w:val="22"/>
          <w:szCs w:val="22"/>
        </w:rPr>
        <w:t xml:space="preserve">matriz de transformación homogénea</w:t>
      </w:r>
      <w:r>
        <w:rPr>
          <w:rFonts w:ascii="Calibri" w:cs="Calibri" w:eastAsia="Calibri" w:hAnsi="Calibri"/>
          <w:color w:val="333333"/>
          <w:sz w:val="22"/>
          <w:szCs w:val="22"/>
        </w:rPr>
        <w:t xml:space="preserve"> 4×4. SE(3) es un grupo de Lie de dimensión 6, lo que justifica la denominación "6 grados de libertad" (6-DoF): tres para la traslación y tres para la rotación. La composición de transformaciones se realiza mediante multiplicación matricial, y la inversa tiene forma cerrada eficiente:</w:t>
      </w:r>
    </w:p>
    <w:p>
      <w:pPr>
        <w:spacing w:after="120" w:before="120"/>
        <w:jc w:val="center"/>
      </w:pPr>
      <w:r>
        <w:rPr>
          <w:rFonts w:ascii="Cambria Math" w:cs="Cambria Math" w:eastAsia="Cambria Math" w:hAnsi="Cambria Math"/>
          <w:i/>
          <w:iCs/>
          <w:color w:val="333333"/>
          <w:sz w:val="22"/>
          <w:szCs w:val="22"/>
        </w:rPr>
        <w:t xml:space="preserve">T⁻¹ = [Rᵀ | -Rᵀt]</w:t>
      </w:r>
      <w:r>
        <w:rPr>
          <w:rFonts w:ascii="Calibri" w:cs="Calibri" w:eastAsia="Calibri" w:hAnsi="Calibri"/>
          <w:color w:val="858591"/>
          <w:sz w:val="20"/>
          <w:szCs w:val="20"/>
        </w:rPr>
        <w:t xml:space="preserve">     (4.6)</w:t>
      </w:r>
    </w:p>
    <w:p>
      <w:pPr>
        <w:spacing w:after="160"/>
        <w:ind w:firstLine="360"/>
        <w:jc w:val="both"/>
      </w:pPr>
      <w:r>
        <w:rPr>
          <w:rFonts w:ascii="Calibri" w:cs="Calibri" w:eastAsia="Calibri" w:hAnsi="Calibri"/>
          <w:color w:val="333333"/>
          <w:sz w:val="22"/>
          <w:szCs w:val="22"/>
        </w:rPr>
        <w:t xml:space="preserve">El álgebra de Lie se(3) tiene dimensión 6, y sus elementos se denominan twists. Un twist ξ = (v, ω) ∈ ℝ⁶ codifica velocidad lineal v y angular ω. El mapa exponencial exp: se(3) → SE(3) generaliza la fórmula de Rodrigues incorporando la matriz Jacobiana izquierda V de SO(3):</w:t>
      </w:r>
    </w:p>
    <w:p>
      <w:pPr>
        <w:spacing w:after="120" w:before="120"/>
        <w:jc w:val="center"/>
      </w:pPr>
      <w:r>
        <w:rPr>
          <w:rFonts w:ascii="Cambria Math" w:cs="Cambria Math" w:eastAsia="Cambria Math" w:hAnsi="Cambria Math"/>
          <w:i/>
          <w:iCs/>
          <w:color w:val="333333"/>
          <w:sz w:val="22"/>
          <w:szCs w:val="22"/>
        </w:rPr>
        <w:t xml:space="preserve">exp(ξ) = [exp([ω]×) | Vv],  donde V = I + ((1-cos θ)/θ²)[ω]× + ((θ-sin θ)/θ³)[ω]×²</w:t>
      </w:r>
      <w:r>
        <w:rPr>
          <w:rFonts w:ascii="Calibri" w:cs="Calibri" w:eastAsia="Calibri" w:hAnsi="Calibri"/>
          <w:color w:val="858591"/>
          <w:sz w:val="20"/>
          <w:szCs w:val="20"/>
        </w:rPr>
        <w:t xml:space="preserve">     (4.7)</w:t>
      </w:r>
    </w:p>
    <w:p>
      <w:pPr>
        <w:spacing w:after="160"/>
        <w:ind w:firstLine="360"/>
        <w:jc w:val="both"/>
      </w:pPr>
      <w:r>
        <w:rPr>
          <w:rFonts w:ascii="Calibri" w:cs="Calibri" w:eastAsia="Calibri" w:hAnsi="Calibri"/>
          <w:color w:val="333333"/>
          <w:sz w:val="22"/>
          <w:szCs w:val="22"/>
        </w:rPr>
        <w:t xml:space="preserve">La representación adjunta Ad_T ∈ ℝ⁶ˣ⁶ permite transformar twists entre diferentes marcos de referencia, operación esencial cuando se integran datos de múltiples sensores o se transforman poses entre el marco de la cámara y el del robot (Lynch y Park, 2017).</w:t>
      </w:r>
    </w:p>
    <w:p>
      <w:pPr>
        <w:spacing w:after="160"/>
        <w:ind w:firstLine="360"/>
        <w:jc w:val="both"/>
      </w:pPr>
      <w:r>
        <w:rPr>
          <w:rFonts w:ascii="Calibri" w:cs="Calibri" w:eastAsia="Calibri" w:hAnsi="Calibri"/>
          <w:color w:val="333333"/>
          <w:sz w:val="22"/>
          <w:szCs w:val="22"/>
        </w:rPr>
        <w:t xml:space="preserve">En el contexto de nuestro pipeline, FoundationPose opera internamente en SE(3) para el refinamiento iterativo de poses, mientras que la comunicación con el módulo de planificación (Diffusion Policy) y el de simulación (CoppeliaSim + ROS 2) utiliza representaciones en ℝ³ × SO(3), convertidas mediante las funciones </w:t>
      </w:r>
      <w:r>
        <w:rPr>
          <w:rFonts w:ascii="Calibri" w:cs="Calibri" w:eastAsia="Calibri" w:hAnsi="Calibri"/>
          <w:i/>
          <w:iCs/>
          <w:color w:val="333333"/>
          <w:sz w:val="22"/>
          <w:szCs w:val="22"/>
        </w:rPr>
        <w:t xml:space="preserve">pose_from_Rt</w:t>
      </w:r>
      <w:r>
        <w:rPr>
          <w:rFonts w:ascii="Calibri" w:cs="Calibri" w:eastAsia="Calibri" w:hAnsi="Calibri"/>
          <w:color w:val="333333"/>
          <w:sz w:val="22"/>
          <w:szCs w:val="22"/>
        </w:rPr>
        <w:t xml:space="preserve"> y </w:t>
      </w:r>
      <w:r>
        <w:rPr>
          <w:rFonts w:ascii="Calibri" w:cs="Calibri" w:eastAsia="Calibri" w:hAnsi="Calibri"/>
          <w:i/>
          <w:iCs/>
          <w:color w:val="333333"/>
          <w:sz w:val="22"/>
          <w:szCs w:val="22"/>
        </w:rPr>
        <w:t xml:space="preserve">pose_to_Rt</w:t>
      </w:r>
      <w:r>
        <w:rPr>
          <w:rFonts w:ascii="Calibri" w:cs="Calibri" w:eastAsia="Calibri" w:hAnsi="Calibri"/>
          <w:color w:val="333333"/>
          <w:sz w:val="22"/>
          <w:szCs w:val="22"/>
        </w:rPr>
        <w:t xml:space="preserve"> implementadas en nuestro módulo de utilidades.</w:t>
      </w:r>
    </w:p>
    <w:p>
      <w:r>
        <w:br w:type="page"/>
      </w:r>
    </w:p>
    <w:p>
      <w:pPr>
        <w:pStyle w:val="Heading2"/>
        <w:spacing w:after="180" w:before="280"/>
      </w:pPr>
      <w:r>
        <w:rPr>
          <w:rFonts w:ascii="Calibri" w:cs="Calibri" w:eastAsia="Calibri" w:hAnsi="Calibri"/>
          <w:b/>
          <w:bCs/>
          <w:color w:val="006C8F"/>
          <w:sz w:val="26"/>
          <w:szCs w:val="26"/>
        </w:rPr>
        <w:t xml:space="preserve">4.2. Representaciones de rotación: singularidades y continuidad</w:t>
      </w:r>
    </w:p>
    <w:p>
      <w:pPr>
        <w:spacing w:after="160"/>
        <w:ind w:firstLine="360"/>
        <w:jc w:val="both"/>
      </w:pPr>
      <w:r>
        <w:rPr>
          <w:rFonts w:ascii="Calibri" w:cs="Calibri" w:eastAsia="Calibri" w:hAnsi="Calibri"/>
          <w:color w:val="333333"/>
          <w:sz w:val="22"/>
          <w:szCs w:val="22"/>
        </w:rPr>
        <w:t xml:space="preserve">La elección de la representación de rotación es una decisión crítica de diseño en redes neuronales para estimación de pose. Diferentes parametrizaciones presentan distintas propiedades topológicas que afectan directamente la capacidad de aprendizaje del modelo (Zhou et al., 2019).</w:t>
      </w:r>
    </w:p>
    <w:p>
      <w:pPr>
        <w:spacing w:after="120" w:before="220"/>
      </w:pPr>
      <w:r>
        <w:rPr>
          <w:rFonts w:ascii="Calibri" w:cs="Calibri" w:eastAsia="Calibri" w:hAnsi="Calibri"/>
          <w:b/>
          <w:bCs/>
          <w:color w:val="333333"/>
          <w:sz w:val="23"/>
          <w:szCs w:val="23"/>
        </w:rPr>
        <w:t xml:space="preserve">4.2.1. Ángulos de Euler y gimbal lock</w:t>
      </w:r>
    </w:p>
    <w:p>
      <w:pPr>
        <w:spacing w:after="160"/>
        <w:ind w:firstLine="360"/>
        <w:jc w:val="both"/>
      </w:pPr>
      <w:r>
        <w:rPr>
          <w:rFonts w:ascii="Calibri" w:cs="Calibri" w:eastAsia="Calibri" w:hAnsi="Calibri"/>
          <w:color w:val="333333"/>
          <w:sz w:val="22"/>
          <w:szCs w:val="22"/>
        </w:rPr>
        <w:t xml:space="preserve">Los ángulos de Euler (φ, θ, ψ) parametrizan SO(3) mediante tres rotaciones sucesivas alrededor de ejes coordinados. Aunque intuitivos, presentan dos problemas fundamentales:</w:t>
      </w:r>
    </w:p>
    <w:p>
      <w:pPr>
        <w:spacing w:after="160"/>
        <w:ind w:firstLine="360"/>
        <w:jc w:val="both"/>
      </w:pPr>
      <w:r>
        <w:rPr>
          <w:rFonts w:ascii="Calibri" w:cs="Calibri" w:eastAsia="Calibri" w:hAnsi="Calibri"/>
          <w:b/>
          <w:bCs/>
          <w:color w:val="333333"/>
          <w:sz w:val="22"/>
          <w:szCs w:val="22"/>
        </w:rPr>
        <w:t xml:space="preserve">Gimbal lock:</w:t>
      </w:r>
      <w:r>
        <w:rPr>
          <w:rFonts w:ascii="Calibri" w:cs="Calibri" w:eastAsia="Calibri" w:hAnsi="Calibri"/>
          <w:color w:val="333333"/>
          <w:sz w:val="22"/>
          <w:szCs w:val="22"/>
        </w:rPr>
        <w:t xml:space="preserve"> cuando θ = ±π/2, se pierde un grado de libertad porque dos ejes de rotación se alinean, provocando una singularidad en la que infinitas combinaciones de (φ, ψ) producen la misma rotación. Este fenómeno no es un artefacto numérico sino una consecuencia topológica inevitable de parametrizar SO(3) (que no es homeomorfo a ℝ³) con tres variables reales.</w:t>
      </w:r>
    </w:p>
    <w:p>
      <w:pPr>
        <w:spacing w:after="160"/>
        <w:ind w:firstLine="360"/>
        <w:jc w:val="both"/>
      </w:pPr>
      <w:r>
        <w:rPr>
          <w:rFonts w:ascii="Calibri" w:cs="Calibri" w:eastAsia="Calibri" w:hAnsi="Calibri"/>
          <w:b/>
          <w:bCs/>
          <w:color w:val="333333"/>
          <w:sz w:val="22"/>
          <w:szCs w:val="22"/>
        </w:rPr>
        <w:t xml:space="preserve">Discontinuidad:</w:t>
      </w:r>
      <w:r>
        <w:rPr>
          <w:rFonts w:ascii="Calibri" w:cs="Calibri" w:eastAsia="Calibri" w:hAnsi="Calibri"/>
          <w:color w:val="333333"/>
          <w:sz w:val="22"/>
          <w:szCs w:val="22"/>
        </w:rPr>
        <w:t xml:space="preserve"> la parametrización de Euler es discontinua en los bordes de su dominio. Una rotación que cruza θ = π/2 produce un salto abrupto en los ángulos, lo que genera gradientes incorrectos durante el entrenamiento por backpropagation. Por estas razones, los ángulos de Euler se descartan como representación de salida en redes modernas de estimación de pose.</w:t>
      </w:r>
    </w:p>
    <w:p>
      <w:pPr>
        <w:spacing w:after="120" w:before="220"/>
      </w:pPr>
      <w:r>
        <w:rPr>
          <w:rFonts w:ascii="Calibri" w:cs="Calibri" w:eastAsia="Calibri" w:hAnsi="Calibri"/>
          <w:b/>
          <w:bCs/>
          <w:color w:val="333333"/>
          <w:sz w:val="23"/>
          <w:szCs w:val="23"/>
        </w:rPr>
        <w:t xml:space="preserve">4.2.2. Cuaterniones unitarios</w:t>
      </w:r>
    </w:p>
    <w:p>
      <w:pPr>
        <w:spacing w:after="160"/>
        <w:ind w:firstLine="360"/>
        <w:jc w:val="both"/>
      </w:pPr>
      <w:r>
        <w:rPr>
          <w:rFonts w:ascii="Calibri" w:cs="Calibri" w:eastAsia="Calibri" w:hAnsi="Calibri"/>
          <w:color w:val="333333"/>
          <w:sz w:val="22"/>
          <w:szCs w:val="22"/>
        </w:rPr>
        <w:t xml:space="preserve">Los cuaterniones unitarios q ∈ S³ ⊂ ℝ⁴ proporcionan una parametrización libre de gimbal lock:</w:t>
      </w:r>
    </w:p>
    <w:p>
      <w:pPr>
        <w:spacing w:after="120" w:before="120"/>
        <w:jc w:val="center"/>
      </w:pPr>
      <w:r>
        <w:rPr>
          <w:rFonts w:ascii="Cambria Math" w:cs="Cambria Math" w:eastAsia="Cambria Math" w:hAnsi="Cambria Math"/>
          <w:i/>
          <w:iCs/>
          <w:color w:val="333333"/>
          <w:sz w:val="22"/>
          <w:szCs w:val="22"/>
        </w:rPr>
        <w:t xml:space="preserve">q = w + xi + yj + zk,   ‖q‖ = 1</w:t>
      </w:r>
      <w:r>
        <w:rPr>
          <w:rFonts w:ascii="Calibri" w:cs="Calibri" w:eastAsia="Calibri" w:hAnsi="Calibri"/>
          <w:color w:val="858591"/>
          <w:sz w:val="20"/>
          <w:szCs w:val="20"/>
        </w:rPr>
        <w:t xml:space="preserve">     (4.8)</w:t>
      </w:r>
    </w:p>
    <w:p>
      <w:pPr>
        <w:spacing w:after="160"/>
        <w:ind w:firstLine="360"/>
        <w:jc w:val="both"/>
      </w:pPr>
      <w:r>
        <w:rPr>
          <w:rFonts w:ascii="Calibri" w:cs="Calibri" w:eastAsia="Calibri" w:hAnsi="Calibri"/>
          <w:color w:val="333333"/>
          <w:sz w:val="22"/>
          <w:szCs w:val="22"/>
        </w:rPr>
        <w:t xml:space="preserve">La conversión a matriz de rotación viene dada por:</w:t>
      </w:r>
    </w:p>
    <w:p>
      <w:pPr>
        <w:spacing w:after="120" w:before="120"/>
        <w:jc w:val="center"/>
      </w:pPr>
      <w:r>
        <w:rPr>
          <w:rFonts w:ascii="Cambria Math" w:cs="Cambria Math" w:eastAsia="Cambria Math" w:hAnsi="Cambria Math"/>
          <w:i/>
          <w:iCs/>
          <w:color w:val="333333"/>
          <w:sz w:val="22"/>
          <w:szCs w:val="22"/>
        </w:rPr>
        <w:t xml:space="preserve">R(q) = (2w² - 1)I + 2(vvᵀ + w[v]×),   v = (x, y, z)ᵀ</w:t>
      </w:r>
      <w:r>
        <w:rPr>
          <w:rFonts w:ascii="Calibri" w:cs="Calibri" w:eastAsia="Calibri" w:hAnsi="Calibri"/>
          <w:color w:val="858591"/>
          <w:sz w:val="20"/>
          <w:szCs w:val="20"/>
        </w:rPr>
        <w:t xml:space="preserve">     (4.9)</w:t>
      </w:r>
    </w:p>
    <w:p>
      <w:pPr>
        <w:spacing w:after="160"/>
        <w:ind w:firstLine="360"/>
        <w:jc w:val="both"/>
      </w:pPr>
      <w:r>
        <w:rPr>
          <w:rFonts w:ascii="Calibri" w:cs="Calibri" w:eastAsia="Calibri" w:hAnsi="Calibri"/>
          <w:color w:val="333333"/>
          <w:sz w:val="22"/>
          <w:szCs w:val="22"/>
        </w:rPr>
        <w:t xml:space="preserve">Los cuaterniones son una cobertura doble de SO(3): q y −q representan la misma rotación, lo que introduce una </w:t>
      </w:r>
      <w:r>
        <w:rPr>
          <w:rFonts w:ascii="Calibri" w:cs="Calibri" w:eastAsia="Calibri" w:hAnsi="Calibri"/>
          <w:i/>
          <w:iCs/>
          <w:color w:val="333333"/>
          <w:sz w:val="22"/>
          <w:szCs w:val="22"/>
        </w:rPr>
        <w:t xml:space="preserve">ambigüedad antipodal</w:t>
      </w:r>
      <w:r>
        <w:rPr>
          <w:rFonts w:ascii="Calibri" w:cs="Calibri" w:eastAsia="Calibri" w:hAnsi="Calibri"/>
          <w:color w:val="333333"/>
          <w:sz w:val="22"/>
          <w:szCs w:val="22"/>
        </w:rPr>
        <w:t xml:space="preserve"> que complica el entrenamiento. Además, imponen la restricción ‖q‖ = 1, que debe mantenerse explícitamente durante la inferencia. GDR-Net (Wang et al., 2021) utiliza cuaterniones como representación intermedia, normalizando la salida de la red para proyectarla sobre S³.</w:t>
      </w:r>
    </w:p>
    <w:p>
      <w:pPr>
        <w:spacing w:after="120" w:before="220"/>
      </w:pPr>
      <w:r>
        <w:rPr>
          <w:rFonts w:ascii="Calibri" w:cs="Calibri" w:eastAsia="Calibri" w:hAnsi="Calibri"/>
          <w:b/>
          <w:bCs/>
          <w:color w:val="333333"/>
          <w:sz w:val="23"/>
          <w:szCs w:val="23"/>
        </w:rPr>
        <w:t xml:space="preserve">4.2.3. Representación 6D continua (Zhou et al., 2019)</w:t>
      </w:r>
    </w:p>
    <w:p>
      <w:pPr>
        <w:spacing w:after="160"/>
        <w:ind w:firstLine="360"/>
        <w:jc w:val="both"/>
      </w:pPr>
      <w:r>
        <w:rPr>
          <w:rFonts w:ascii="Calibri" w:cs="Calibri" w:eastAsia="Calibri" w:hAnsi="Calibri"/>
          <w:color w:val="333333"/>
          <w:sz w:val="22"/>
          <w:szCs w:val="22"/>
        </w:rPr>
        <w:t xml:space="preserve">Zhou et al. (2019) demostraron que cualquier representación de SO(3) en ℝⁿ con n ≤ 4 es necesariamente discontinua, y que n = 5 o n = 6 son suficientes para lograr continuidad. La representación 6D toma las dos primeras columnas de la matriz de rotación:</w:t>
      </w:r>
    </w:p>
    <w:p>
      <w:pPr>
        <w:spacing w:after="120" w:before="120"/>
        <w:jc w:val="center"/>
      </w:pPr>
      <w:r>
        <w:rPr>
          <w:rFonts w:ascii="Cambria Math" w:cs="Cambria Math" w:eastAsia="Cambria Math" w:hAnsi="Cambria Math"/>
          <w:i/>
          <w:iCs/>
          <w:color w:val="333333"/>
          <w:sz w:val="22"/>
          <w:szCs w:val="22"/>
        </w:rPr>
        <w:t xml:space="preserve">r₆D = (R[:,0], R[:,1]) ∈ ℝ⁶</w:t>
      </w:r>
      <w:r>
        <w:rPr>
          <w:rFonts w:ascii="Calibri" w:cs="Calibri" w:eastAsia="Calibri" w:hAnsi="Calibri"/>
          <w:color w:val="858591"/>
          <w:sz w:val="20"/>
          <w:szCs w:val="20"/>
        </w:rPr>
        <w:t xml:space="preserve">     (4.10)</w:t>
      </w:r>
    </w:p>
    <w:p>
      <w:pPr>
        <w:spacing w:after="160"/>
        <w:ind w:firstLine="360"/>
        <w:jc w:val="both"/>
      </w:pPr>
      <w:r>
        <w:rPr>
          <w:rFonts w:ascii="Calibri" w:cs="Calibri" w:eastAsia="Calibri" w:hAnsi="Calibri"/>
          <w:color w:val="333333"/>
          <w:sz w:val="22"/>
          <w:szCs w:val="22"/>
        </w:rPr>
        <w:t xml:space="preserve">La reconstrucción utiliza ortogonalización de Gram-Schmidt:</w:t>
      </w:r>
    </w:p>
    <w:p>
      <w:pPr>
        <w:spacing w:after="120" w:before="120"/>
        <w:jc w:val="center"/>
      </w:pPr>
      <w:r>
        <w:rPr>
          <w:rFonts w:ascii="Cambria Math" w:cs="Cambria Math" w:eastAsia="Cambria Math" w:hAnsi="Cambria Math"/>
          <w:i/>
          <w:iCs/>
          <w:color w:val="333333"/>
          <w:sz w:val="22"/>
          <w:szCs w:val="22"/>
        </w:rPr>
        <w:t xml:space="preserve">b₁ = a₁/‖a₁‖,   b₂ = (a₂ - ⟨b₁,a₂⟩b₁) / ‖...‖,   b₃ = b₁ × b₂</w:t>
      </w:r>
      <w:r>
        <w:rPr>
          <w:rFonts w:ascii="Calibri" w:cs="Calibri" w:eastAsia="Calibri" w:hAnsi="Calibri"/>
          <w:color w:val="858591"/>
          <w:sz w:val="20"/>
          <w:szCs w:val="20"/>
        </w:rPr>
        <w:t xml:space="preserve">     (4.11)</w:t>
      </w:r>
    </w:p>
    <w:p>
      <w:pPr>
        <w:spacing w:after="160"/>
        <w:ind w:firstLine="360"/>
        <w:jc w:val="both"/>
      </w:pPr>
      <w:r>
        <w:rPr>
          <w:rFonts w:ascii="Calibri" w:cs="Calibri" w:eastAsia="Calibri" w:hAnsi="Calibri"/>
          <w:i w:val="false"/>
          <w:iCs w:val="false"/>
          <w:color w:val="333333"/>
          <w:sz w:val="22"/>
          <w:szCs w:val="22"/>
        </w:rPr>
        <w:t xml:space="preserve">Esta operación es diferenciable, lo que permite entrenar redes que predicen directamente los 6 valores continuos sin restricciones de normalización. En nuestra implementación (</w:t>
      </w:r>
      <w:r>
        <w:rPr>
          <w:rFonts w:ascii="Calibri" w:cs="Calibri" w:eastAsia="Calibri" w:hAnsi="Calibri"/>
          <w:i/>
          <w:iCs/>
          <w:color w:val="333333"/>
          <w:sz w:val="22"/>
          <w:szCs w:val="22"/>
        </w:rPr>
        <w:t xml:space="preserve">src/utils/rotations.py</w:t>
      </w:r>
      <w:r>
        <w:rPr>
          <w:rFonts w:ascii="Calibri" w:cs="Calibri" w:eastAsia="Calibri" w:hAnsi="Calibri"/>
          <w:color w:val="333333"/>
          <w:sz w:val="22"/>
          <w:szCs w:val="22"/>
        </w:rPr>
        <w:t xml:space="preserve">), proporcionamos versiones tanto NumPy como PyTorch diferenciables de esta conversión. FoundationPose utiliza internamente la representación 6D para el refinamiento de poses, y verificamos experimentalmente (Notebook 04) que la convergencia durante el entrenamiento es significativamente más rápida y estable que con cuaterniones.</w:t>
      </w:r>
    </w:p>
    <w:p>
      <w:r>
        <w:br w:type="page"/>
      </w:r>
    </w:p>
    <w:p>
      <w:pPr>
        <w:pStyle w:val="Heading2"/>
        <w:spacing w:after="180" w:before="280"/>
      </w:pPr>
      <w:r>
        <w:rPr>
          <w:rFonts w:ascii="Calibri" w:cs="Calibri" w:eastAsia="Calibri" w:hAnsi="Calibri"/>
          <w:b/>
          <w:bCs/>
          <w:color w:val="006C8F"/>
          <w:sz w:val="26"/>
          <w:szCs w:val="26"/>
        </w:rPr>
        <w:t xml:space="preserve">4.3. Mecanismo de atención multi-cabeza como operador en SE(3)</w:t>
      </w:r>
    </w:p>
    <w:p>
      <w:pPr>
        <w:spacing w:after="160"/>
        <w:ind w:firstLine="360"/>
        <w:jc w:val="both"/>
      </w:pPr>
      <w:r>
        <w:rPr>
          <w:rFonts w:ascii="Calibri" w:cs="Calibri" w:eastAsia="Calibri" w:hAnsi="Calibri"/>
          <w:color w:val="333333"/>
          <w:sz w:val="22"/>
          <w:szCs w:val="22"/>
        </w:rPr>
        <w:t xml:space="preserve">Los mecanismos de atención, introducidos por Vaswani et al. (2017) en el contexto de procesamiento de lenguaje natural, se han convertido en un componente fundamental de las arquitecturas modernas de estimación de pose. FoundationPose (Wen et al., 2024) emplea atención cruzada entre representaciones 2D (features RGB) y 3D (nubes de puntos del modelo CAD) para establecer correspondencias geométricas que permiten estimar la pose.</w:t>
      </w:r>
    </w:p>
    <w:p>
      <w:pPr>
        <w:spacing w:after="120" w:before="220"/>
      </w:pPr>
      <w:r>
        <w:rPr>
          <w:rFonts w:ascii="Calibri" w:cs="Calibri" w:eastAsia="Calibri" w:hAnsi="Calibri"/>
          <w:b/>
          <w:bCs/>
          <w:color w:val="333333"/>
          <w:sz w:val="23"/>
          <w:szCs w:val="23"/>
        </w:rPr>
        <w:t xml:space="preserve">4.3.1. Atención escalada por producto punto</w:t>
      </w:r>
    </w:p>
    <w:p>
      <w:pPr>
        <w:spacing w:after="160"/>
        <w:ind w:firstLine="360"/>
        <w:jc w:val="both"/>
      </w:pPr>
      <w:r>
        <w:rPr>
          <w:rFonts w:ascii="Calibri" w:cs="Calibri" w:eastAsia="Calibri" w:hAnsi="Calibri"/>
          <w:color w:val="333333"/>
          <w:sz w:val="22"/>
          <w:szCs w:val="22"/>
        </w:rPr>
        <w:t xml:space="preserve">Dadas matrices de queries Q ∈ ℝⁿˣᵈ, keys K ∈ ℝᵐˣᵈ y values V ∈ ℝᵐˣᵈᵥ, la atención escalada se define como:</w:t>
      </w:r>
    </w:p>
    <w:p>
      <w:pPr>
        <w:spacing w:after="120" w:before="120"/>
        <w:jc w:val="center"/>
      </w:pPr>
      <w:r>
        <w:rPr>
          <w:rFonts w:ascii="Cambria Math" w:cs="Cambria Math" w:eastAsia="Cambria Math" w:hAnsi="Cambria Math"/>
          <w:i/>
          <w:iCs/>
          <w:color w:val="333333"/>
          <w:sz w:val="22"/>
          <w:szCs w:val="22"/>
        </w:rPr>
        <w:t xml:space="preserve">Attention(Q, K, V) = softmax(QKᵀ / √d) V</w:t>
      </w:r>
      <w:r>
        <w:rPr>
          <w:rFonts w:ascii="Calibri" w:cs="Calibri" w:eastAsia="Calibri" w:hAnsi="Calibri"/>
          <w:color w:val="858591"/>
          <w:sz w:val="20"/>
          <w:szCs w:val="20"/>
        </w:rPr>
        <w:t xml:space="preserve">     (4.12)</w:t>
      </w:r>
    </w:p>
    <w:p>
      <w:pPr>
        <w:spacing w:after="160"/>
        <w:ind w:firstLine="360"/>
        <w:jc w:val="both"/>
      </w:pPr>
      <w:r>
        <w:rPr>
          <w:rFonts w:ascii="Calibri" w:cs="Calibri" w:eastAsia="Calibri" w:hAnsi="Calibri"/>
          <w:color w:val="333333"/>
          <w:sz w:val="22"/>
          <w:szCs w:val="22"/>
        </w:rPr>
        <w:t xml:space="preserve">donde d es la dimensión de las keys, y el factor 1/√d estabiliza los gradientes al evitar que los productos punto crezcan con la dimensión. La operación softmax actúa por filas, produciendo pesos de atención normalizados que suman 1. Intuitivamente, cada query "consulta" todas las keys y agrega los values según la similitud.</w:t>
      </w:r>
    </w:p>
    <w:p>
      <w:pPr>
        <w:spacing w:after="120" w:before="220"/>
      </w:pPr>
      <w:r>
        <w:rPr>
          <w:rFonts w:ascii="Calibri" w:cs="Calibri" w:eastAsia="Calibri" w:hAnsi="Calibri"/>
          <w:b/>
          <w:bCs/>
          <w:color w:val="333333"/>
          <w:sz w:val="23"/>
          <w:szCs w:val="23"/>
        </w:rPr>
        <w:t xml:space="preserve">4.3.2. Atención multi-cabeza</w:t>
      </w:r>
    </w:p>
    <w:p>
      <w:pPr>
        <w:spacing w:after="160"/>
        <w:ind w:firstLine="360"/>
        <w:jc w:val="both"/>
      </w:pPr>
      <w:r>
        <w:rPr>
          <w:rFonts w:ascii="Calibri" w:cs="Calibri" w:eastAsia="Calibri" w:hAnsi="Calibri"/>
          <w:color w:val="333333"/>
          <w:sz w:val="22"/>
          <w:szCs w:val="22"/>
        </w:rPr>
        <w:t xml:space="preserve">La atención multi-cabeza extiende este mecanismo mediante h cabezas paralelas con proyecciones lineales independientes:</w:t>
      </w:r>
    </w:p>
    <w:p>
      <w:pPr>
        <w:spacing w:after="120" w:before="120"/>
        <w:jc w:val="center"/>
      </w:pPr>
      <w:r>
        <w:rPr>
          <w:rFonts w:ascii="Cambria Math" w:cs="Cambria Math" w:eastAsia="Cambria Math" w:hAnsi="Cambria Math"/>
          <w:i/>
          <w:iCs/>
          <w:color w:val="333333"/>
          <w:sz w:val="22"/>
          <w:szCs w:val="22"/>
        </w:rPr>
        <w:t xml:space="preserve">MultiHead(Q, K, V) = Concat(head₁, ..., headₕ) Wᴼ</w:t>
      </w:r>
      <w:r>
        <w:rPr>
          <w:rFonts w:ascii="Calibri" w:cs="Calibri" w:eastAsia="Calibri" w:hAnsi="Calibri"/>
          <w:color w:val="858591"/>
          <w:sz w:val="20"/>
          <w:szCs w:val="20"/>
        </w:rPr>
        <w:t xml:space="preserve">     (4.13)</w:t>
      </w:r>
    </w:p>
    <w:p>
      <w:pPr>
        <w:spacing w:after="120" w:before="120"/>
        <w:jc w:val="center"/>
      </w:pPr>
      <w:r>
        <w:rPr>
          <w:rFonts w:ascii="Cambria Math" w:cs="Cambria Math" w:eastAsia="Cambria Math" w:hAnsi="Cambria Math"/>
          <w:i/>
          <w:iCs/>
          <w:color w:val="333333"/>
          <w:sz w:val="22"/>
          <w:szCs w:val="22"/>
        </w:rPr>
        <w:t xml:space="preserve">headᵢ = Attention(QWᵢQ, KWᵢK, VWᵢV)</w:t>
      </w:r>
      <w:r>
        <w:rPr>
          <w:rFonts w:ascii="Calibri" w:cs="Calibri" w:eastAsia="Calibri" w:hAnsi="Calibri"/>
          <w:color w:val="858591"/>
          <w:sz w:val="20"/>
          <w:szCs w:val="20"/>
        </w:rPr>
        <w:t xml:space="preserve">     (4.14)</w:t>
      </w:r>
    </w:p>
    <w:p>
      <w:pPr>
        <w:spacing w:after="160"/>
        <w:ind w:firstLine="360"/>
        <w:jc w:val="both"/>
      </w:pPr>
      <w:r>
        <w:rPr>
          <w:rFonts w:ascii="Calibri" w:cs="Calibri" w:eastAsia="Calibri" w:hAnsi="Calibri"/>
          <w:i/>
          <w:iCs/>
          <w:color w:val="333333"/>
          <w:sz w:val="22"/>
          <w:szCs w:val="22"/>
        </w:rPr>
        <w:t xml:space="preserve">donde Wᵢ</w:t>
      </w:r>
      <w:r>
        <w:rPr>
          <w:rFonts w:ascii="Calibri" w:cs="Calibri" w:eastAsia="Calibri" w:hAnsi="Calibri"/>
          <w:color w:val="333333"/>
          <w:sz w:val="22"/>
          <w:szCs w:val="22"/>
        </w:rPr>
        <w:t xml:space="preserve">Q</w:t>
      </w:r>
      <w:r>
        <w:rPr>
          <w:rFonts w:ascii="Calibri" w:cs="Calibri" w:eastAsia="Calibri" w:hAnsi="Calibri"/>
          <w:i/>
          <w:iCs/>
          <w:color w:val="333333"/>
          <w:sz w:val="22"/>
          <w:szCs w:val="22"/>
        </w:rPr>
        <w:t xml:space="preserve"> ∈ ℝᵈˣᵈᵏ, Wᵢ</w:t>
      </w:r>
      <w:r>
        <w:rPr>
          <w:rFonts w:ascii="Calibri" w:cs="Calibri" w:eastAsia="Calibri" w:hAnsi="Calibri"/>
          <w:color w:val="333333"/>
          <w:sz w:val="22"/>
          <w:szCs w:val="22"/>
        </w:rPr>
        <w:t xml:space="preserve">K</w:t>
      </w:r>
      <w:r>
        <w:rPr>
          <w:rFonts w:ascii="Calibri" w:cs="Calibri" w:eastAsia="Calibri" w:hAnsi="Calibri"/>
          <w:i/>
          <w:iCs/>
          <w:color w:val="333333"/>
          <w:sz w:val="22"/>
          <w:szCs w:val="22"/>
        </w:rPr>
        <w:t xml:space="preserve"> ∈ ℝᵈˣᵈᵏ, Wᵢ</w:t>
      </w:r>
      <w:r>
        <w:rPr>
          <w:rFonts w:ascii="Calibri" w:cs="Calibri" w:eastAsia="Calibri" w:hAnsi="Calibri"/>
          <w:color w:val="333333"/>
          <w:sz w:val="22"/>
          <w:szCs w:val="22"/>
        </w:rPr>
        <w:t xml:space="preserve">V</w:t>
      </w:r>
      <w:r>
        <w:rPr>
          <w:rFonts w:ascii="Calibri" w:cs="Calibri" w:eastAsia="Calibri" w:hAnsi="Calibri"/>
          <w:color w:val="333333"/>
          <w:sz w:val="22"/>
          <w:szCs w:val="22"/>
        </w:rPr>
        <w:t xml:space="preserve"> ∈ ℝᵈˣᵈᵛ son las matrices de proyección de cada cabeza. Cada cabeza puede especializarse en capturar diferentes tipos de relaciones geométricas: por ejemplo, unas cabezas pueden atender a correspondencias locales (bordes del objeto) mientras que otras capturan estructura global (simetría del objeto).</w:t>
      </w:r>
    </w:p>
    <w:p>
      <w:pPr>
        <w:spacing w:after="120" w:before="220"/>
      </w:pPr>
      <w:r>
        <w:rPr>
          <w:rFonts w:ascii="Calibri" w:cs="Calibri" w:eastAsia="Calibri" w:hAnsi="Calibri"/>
          <w:b/>
          <w:bCs/>
          <w:color w:val="333333"/>
          <w:sz w:val="23"/>
          <w:szCs w:val="23"/>
        </w:rPr>
        <w:t xml:space="preserve">4.3.3. Atención cruzada 2D-3D en FoundationPose</w:t>
      </w:r>
    </w:p>
    <w:p>
      <w:pPr>
        <w:spacing w:after="160"/>
        <w:ind w:firstLine="360"/>
        <w:jc w:val="both"/>
      </w:pPr>
      <w:r>
        <w:rPr>
          <w:rFonts w:ascii="Calibri" w:cs="Calibri" w:eastAsia="Calibri" w:hAnsi="Calibri"/>
          <w:i w:val="false"/>
          <w:iCs w:val="false"/>
          <w:color w:val="333333"/>
          <w:sz w:val="22"/>
          <w:szCs w:val="22"/>
        </w:rPr>
        <w:t xml:space="preserve">En FoundationPose, la atención cruzada conecta features de la imagen RGB (obtenidas mediante un backbone tipo DINOv2) con features de los puntos 3D del modelo CAD renderizado desde la hipótesis de pose actual. Formalmente, si F</w:t>
      </w:r>
      <w:r>
        <w:rPr>
          <w:rFonts w:ascii="Calibri" w:cs="Calibri" w:eastAsia="Calibri" w:hAnsi="Calibri"/>
          <w:i w:val="false"/>
          <w:iCs w:val="false"/>
          <w:color w:val="333333"/>
          <w:sz w:val="22"/>
          <w:szCs w:val="22"/>
        </w:rPr>
        <w:t xml:space="preserve">2D</w:t>
      </w:r>
      <w:r>
        <w:rPr>
          <w:rFonts w:ascii="Calibri" w:cs="Calibri" w:eastAsia="Calibri" w:hAnsi="Calibri"/>
          <w:color w:val="333333"/>
          <w:sz w:val="22"/>
          <w:szCs w:val="22"/>
        </w:rPr>
        <w:t xml:space="preserve"> ∈ ℝᴺˣᶜ son las features de N píxeles y F</w:t>
      </w:r>
      <w:r>
        <w:rPr>
          <w:rFonts w:ascii="Calibri" w:cs="Calibri" w:eastAsia="Calibri" w:hAnsi="Calibri"/>
          <w:i w:val="false"/>
          <w:iCs w:val="false"/>
          <w:color w:val="333333"/>
          <w:sz w:val="22"/>
          <w:szCs w:val="22"/>
        </w:rPr>
        <w:t xml:space="preserve">3D</w:t>
      </w:r>
      <w:r>
        <w:rPr>
          <w:rFonts w:ascii="Calibri" w:cs="Calibri" w:eastAsia="Calibri" w:hAnsi="Calibri"/>
          <w:color w:val="333333"/>
          <w:sz w:val="22"/>
          <w:szCs w:val="22"/>
        </w:rPr>
        <w:t xml:space="preserve"> ∈ ℝᴹˣᶜ son las features de M puntos 3D:</w:t>
      </w:r>
    </w:p>
    <w:p>
      <w:pPr>
        <w:spacing w:after="120" w:before="120"/>
        <w:jc w:val="center"/>
      </w:pPr>
      <w:r>
        <w:rPr>
          <w:rFonts w:ascii="Cambria Math" w:cs="Cambria Math" w:eastAsia="Cambria Math" w:hAnsi="Cambria Math"/>
          <w:i/>
          <w:iCs/>
          <w:color w:val="333333"/>
          <w:sz w:val="22"/>
          <w:szCs w:val="22"/>
        </w:rPr>
        <w:t xml:space="preserve">F'₂D = MultiHead(Q=F₂D, K=F₃D, V=F₃D)</w:t>
      </w:r>
      <w:r>
        <w:rPr>
          <w:rFonts w:ascii="Calibri" w:cs="Calibri" w:eastAsia="Calibri" w:hAnsi="Calibri"/>
          <w:color w:val="858591"/>
          <w:sz w:val="20"/>
          <w:szCs w:val="20"/>
        </w:rPr>
        <w:t xml:space="preserve">     (4.15)</w:t>
      </w:r>
    </w:p>
    <w:p>
      <w:pPr>
        <w:spacing w:after="160"/>
        <w:ind w:firstLine="360"/>
        <w:jc w:val="both"/>
      </w:pPr>
      <w:r>
        <w:rPr>
          <w:rFonts w:ascii="Calibri" w:cs="Calibri" w:eastAsia="Calibri" w:hAnsi="Calibri"/>
          <w:color w:val="333333"/>
          <w:sz w:val="22"/>
          <w:szCs w:val="22"/>
        </w:rPr>
        <w:t xml:space="preserve">Esta operación permite que cada feature 2D "busque" su correspondencia geométrica en el espacio 3D, estableciendo implícitamente correspondencias sin necesidad de detectar keypoints explícitos. El resultado es una representación enriquecida que codifica la relación geométrica entre la observación y el modelo, a partir de la cual un MLP final predice el refinamiento de la pose en se(3) (como un twist δξ que se aplica mediante el mapa exponencial).</w:t>
      </w:r>
    </w:p>
    <w:p>
      <w:pPr>
        <w:spacing w:after="160"/>
        <w:ind w:firstLine="360"/>
        <w:jc w:val="both"/>
      </w:pPr>
      <w:r>
        <w:rPr>
          <w:rFonts w:ascii="Calibri" w:cs="Calibri" w:eastAsia="Calibri" w:hAnsi="Calibri"/>
          <w:color w:val="333333"/>
          <w:sz w:val="22"/>
          <w:szCs w:val="22"/>
        </w:rPr>
        <w:t xml:space="preserve">Este enfoque supera la limitación fundamental de los métodos basados en correspondencias punto-a-punto (como PnP + RANSAC) al operar en un espacio de features aprendido que es robusto a oclusiones parciales, variaciones de iluminación y ausencia de textura. La arquitectura completa emplea múltiples bloques de atención cruzada en cascada, permitiendo refinamiento iterativo de la pose </w:t>
      </w:r>
      <w:r>
        <w:rPr>
          <w:rFonts w:ascii="Calibri" w:cs="Calibri" w:eastAsia="Calibri" w:hAnsi="Calibri"/>
          <w:i/>
          <w:iCs/>
          <w:color w:val="333333"/>
          <w:sz w:val="22"/>
          <w:szCs w:val="22"/>
        </w:rPr>
        <w:t xml:space="preserve">dentro</w:t>
      </w:r>
      <w:r>
        <w:rPr>
          <w:rFonts w:ascii="Calibri" w:cs="Calibri" w:eastAsia="Calibri" w:hAnsi="Calibri"/>
          <w:color w:val="333333"/>
          <w:sz w:val="22"/>
          <w:szCs w:val="22"/>
        </w:rPr>
        <w:t xml:space="preserve"> de la propia red (Wen et al., 2024).</w:t>
      </w:r>
    </w:p>
    <w:p>
      <w:r>
        <w:br w:type="page"/>
      </w:r>
    </w:p>
    <w:p>
      <w:pPr>
        <w:pStyle w:val="Heading2"/>
        <w:spacing w:after="180" w:before="280"/>
      </w:pPr>
      <w:r>
        <w:rPr>
          <w:rFonts w:ascii="Calibri" w:cs="Calibri" w:eastAsia="Calibri" w:hAnsi="Calibri"/>
          <w:b/>
          <w:bCs/>
          <w:color w:val="006C8F"/>
          <w:sz w:val="26"/>
          <w:szCs w:val="26"/>
        </w:rPr>
        <w:t xml:space="preserve">4.4. Ecuaciones diferenciales estocásticas, score matching y dinámica de Langevin</w:t>
      </w:r>
    </w:p>
    <w:p>
      <w:pPr>
        <w:spacing w:after="160"/>
        <w:ind w:firstLine="360"/>
        <w:jc w:val="both"/>
      </w:pPr>
      <w:r>
        <w:rPr>
          <w:rFonts w:ascii="Calibri" w:cs="Calibri" w:eastAsia="Calibri" w:hAnsi="Calibri"/>
          <w:color w:val="333333"/>
          <w:sz w:val="22"/>
          <w:szCs w:val="22"/>
        </w:rPr>
        <w:t xml:space="preserve">Diffusion Policy (Chi et al., 2023) formula la generación de trayectorias de agarre como un proceso de difusión reversa, fundamentado en la teoría de ecuaciones diferenciales estocásticas (SDEs). Esta sección presenta los fundamentos matemáticos de este enfoque.</w:t>
      </w:r>
    </w:p>
    <w:p>
      <w:pPr>
        <w:spacing w:after="120" w:before="220"/>
      </w:pPr>
      <w:r>
        <w:rPr>
          <w:rFonts w:ascii="Calibri" w:cs="Calibri" w:eastAsia="Calibri" w:hAnsi="Calibri"/>
          <w:b/>
          <w:bCs/>
          <w:color w:val="333333"/>
          <w:sz w:val="23"/>
          <w:szCs w:val="23"/>
        </w:rPr>
        <w:t xml:space="preserve">4.4.1. Proceso de difusión forward</w:t>
      </w:r>
    </w:p>
    <w:p>
      <w:pPr>
        <w:spacing w:after="160"/>
        <w:ind w:firstLine="360"/>
        <w:jc w:val="both"/>
      </w:pPr>
      <w:r>
        <w:rPr>
          <w:rFonts w:ascii="Calibri" w:cs="Calibri" w:eastAsia="Calibri" w:hAnsi="Calibri"/>
          <w:color w:val="333333"/>
          <w:sz w:val="22"/>
          <w:szCs w:val="22"/>
        </w:rPr>
        <w:t xml:space="preserve">El proceso forward destruye gradualmente la estructura de los datos añadiendo ruido gaussiano según una SDE:</w:t>
      </w:r>
    </w:p>
    <w:p>
      <w:pPr>
        <w:spacing w:after="120" w:before="120"/>
        <w:jc w:val="center"/>
      </w:pPr>
      <w:r>
        <w:rPr>
          <w:rFonts w:ascii="Cambria Math" w:cs="Cambria Math" w:eastAsia="Cambria Math" w:hAnsi="Cambria Math"/>
          <w:i/>
          <w:iCs/>
          <w:color w:val="333333"/>
          <w:sz w:val="22"/>
          <w:szCs w:val="22"/>
        </w:rPr>
        <w:t xml:space="preserve">dx = f(x, t) dt + g(t) dw</w:t>
      </w:r>
      <w:r>
        <w:rPr>
          <w:rFonts w:ascii="Calibri" w:cs="Calibri" w:eastAsia="Calibri" w:hAnsi="Calibri"/>
          <w:color w:val="858591"/>
          <w:sz w:val="20"/>
          <w:szCs w:val="20"/>
        </w:rPr>
        <w:t xml:space="preserve">     (4.16)</w:t>
      </w:r>
    </w:p>
    <w:p>
      <w:pPr>
        <w:spacing w:after="160"/>
        <w:ind w:firstLine="360"/>
        <w:jc w:val="both"/>
      </w:pPr>
      <w:r>
        <w:rPr>
          <w:rFonts w:ascii="Calibri" w:cs="Calibri" w:eastAsia="Calibri" w:hAnsi="Calibri"/>
          <w:color w:val="333333"/>
          <w:sz w:val="22"/>
          <w:szCs w:val="22"/>
        </w:rPr>
        <w:t xml:space="preserve">donde f(x, t) es el término de drift, g(t) es el coeficiente de difusión, y w es un proceso de Wiener estándar. En la formulación DDPM (Ho et al., 2020) utilizada por Diffusion Policy, el proceso discretizado es:</w:t>
      </w:r>
    </w:p>
    <w:p>
      <w:pPr>
        <w:spacing w:after="120" w:before="120"/>
        <w:jc w:val="center"/>
      </w:pPr>
      <w:r>
        <w:rPr>
          <w:rFonts w:ascii="Cambria Math" w:cs="Cambria Math" w:eastAsia="Cambria Math" w:hAnsi="Cambria Math"/>
          <w:i/>
          <w:iCs/>
          <w:color w:val="333333"/>
          <w:sz w:val="22"/>
          <w:szCs w:val="22"/>
        </w:rPr>
        <w:t xml:space="preserve">x_t = √(ᾱ_t) x₀ + √(1 - ᾱ_t) ε,   ε ~ N(0, I)</w:t>
      </w:r>
      <w:r>
        <w:rPr>
          <w:rFonts w:ascii="Calibri" w:cs="Calibri" w:eastAsia="Calibri" w:hAnsi="Calibri"/>
          <w:color w:val="858591"/>
          <w:sz w:val="20"/>
          <w:szCs w:val="20"/>
        </w:rPr>
        <w:t xml:space="preserve">     (4.17)</w:t>
      </w:r>
    </w:p>
    <w:p>
      <w:pPr>
        <w:spacing w:after="160"/>
        <w:ind w:firstLine="360"/>
        <w:jc w:val="both"/>
      </w:pPr>
      <w:r>
        <w:rPr>
          <w:rFonts w:ascii="Calibri" w:cs="Calibri" w:eastAsia="Calibri" w:hAnsi="Calibri"/>
          <w:i w:val="false"/>
          <w:iCs w:val="false"/>
          <w:color w:val="333333"/>
          <w:sz w:val="22"/>
          <w:szCs w:val="22"/>
        </w:rPr>
        <w:t xml:space="preserve">donde ᾱ</w:t>
      </w:r>
      <w:r>
        <w:rPr>
          <w:rFonts w:ascii="Calibri" w:cs="Calibri" w:eastAsia="Calibri" w:hAnsi="Calibri"/>
          <w:i/>
          <w:iCs/>
          <w:color w:val="333333"/>
          <w:sz w:val="22"/>
          <w:szCs w:val="22"/>
        </w:rPr>
        <w:t xml:space="preserve">t</w:t>
      </w:r>
      <w:r>
        <w:rPr>
          <w:rFonts w:ascii="Calibri" w:cs="Calibri" w:eastAsia="Calibri" w:hAnsi="Calibri"/>
          <w:color w:val="333333"/>
          <w:sz w:val="22"/>
          <w:szCs w:val="22"/>
        </w:rPr>
        <w:t xml:space="preserve"> = ∏ᵢ₌₁ᵗ (1 - βᵢ) es el schedule de ruido acumulado y {βᵢ} es una secuencia creciente de varianzas. Este proceso transforma cualquier distribución de datos p(x₀) en ruido gaussiano p(x_T) ≈ N(0, I) conforme T → ∞.</w:t>
      </w:r>
    </w:p>
    <w:p>
      <w:pPr>
        <w:spacing w:after="120" w:before="220"/>
      </w:pPr>
      <w:r>
        <w:rPr>
          <w:rFonts w:ascii="Calibri" w:cs="Calibri" w:eastAsia="Calibri" w:hAnsi="Calibri"/>
          <w:b/>
          <w:bCs/>
          <w:color w:val="333333"/>
          <w:sz w:val="23"/>
          <w:szCs w:val="23"/>
        </w:rPr>
        <w:t xml:space="preserve">4.4.2. Score function y score matching</w:t>
      </w:r>
    </w:p>
    <w:p>
      <w:pPr>
        <w:spacing w:after="160"/>
        <w:ind w:firstLine="360"/>
        <w:jc w:val="both"/>
      </w:pPr>
      <w:r>
        <w:rPr>
          <w:rFonts w:ascii="Calibri" w:cs="Calibri" w:eastAsia="Calibri" w:hAnsi="Calibri"/>
          <w:color w:val="333333"/>
          <w:sz w:val="22"/>
          <w:szCs w:val="22"/>
        </w:rPr>
        <w:t xml:space="preserve">La score function es el gradiente del logaritmo de la densidad respecto a los datos:</w:t>
      </w:r>
    </w:p>
    <w:p>
      <w:pPr>
        <w:spacing w:after="120" w:before="120"/>
        <w:jc w:val="center"/>
      </w:pPr>
      <w:r>
        <w:rPr>
          <w:rFonts w:ascii="Cambria Math" w:cs="Cambria Math" w:eastAsia="Cambria Math" w:hAnsi="Cambria Math"/>
          <w:i/>
          <w:iCs/>
          <w:color w:val="333333"/>
          <w:sz w:val="22"/>
          <w:szCs w:val="22"/>
        </w:rPr>
        <w:t xml:space="preserve">s(x, t) = ∇ₓ log p_t(x)</w:t>
      </w:r>
      <w:r>
        <w:rPr>
          <w:rFonts w:ascii="Calibri" w:cs="Calibri" w:eastAsia="Calibri" w:hAnsi="Calibri"/>
          <w:color w:val="858591"/>
          <w:sz w:val="20"/>
          <w:szCs w:val="20"/>
        </w:rPr>
        <w:t xml:space="preserve">     (4.18)</w:t>
      </w:r>
    </w:p>
    <w:p>
      <w:pPr>
        <w:spacing w:after="160"/>
        <w:ind w:firstLine="360"/>
        <w:jc w:val="both"/>
      </w:pPr>
      <w:r>
        <w:rPr>
          <w:rFonts w:ascii="Calibri" w:cs="Calibri" w:eastAsia="Calibri" w:hAnsi="Calibri"/>
          <w:color w:val="333333"/>
          <w:sz w:val="22"/>
          <w:szCs w:val="22"/>
        </w:rPr>
        <w:t xml:space="preserve">Conocer la score function en todos los niveles de ruido t es suficiente para revertir el proceso de difusión. El entrenamiento de una red neuronal sθ(x, t) para aproximar s(x, t) se realiza mediante </w:t>
      </w:r>
      <w:r>
        <w:rPr>
          <w:rFonts w:ascii="Calibri" w:cs="Calibri" w:eastAsia="Calibri" w:hAnsi="Calibri"/>
          <w:i/>
          <w:iCs/>
          <w:color w:val="333333"/>
          <w:sz w:val="22"/>
          <w:szCs w:val="22"/>
        </w:rPr>
        <w:t xml:space="preserve">denoising score matching</w:t>
      </w:r>
      <w:r>
        <w:rPr>
          <w:rFonts w:ascii="Calibri" w:cs="Calibri" w:eastAsia="Calibri" w:hAnsi="Calibri"/>
          <w:color w:val="333333"/>
          <w:sz w:val="22"/>
          <w:szCs w:val="22"/>
        </w:rPr>
        <w:t xml:space="preserve"> (Vincent, 2011; Song y Ermon, 2019):</w:t>
      </w:r>
    </w:p>
    <w:p>
      <w:pPr>
        <w:spacing w:after="120" w:before="120"/>
        <w:jc w:val="center"/>
      </w:pPr>
      <w:r>
        <w:rPr>
          <w:rFonts w:ascii="Cambria Math" w:cs="Cambria Math" w:eastAsia="Cambria Math" w:hAnsi="Cambria Math"/>
          <w:i/>
          <w:iCs/>
          <w:color w:val="333333"/>
          <w:sz w:val="22"/>
          <w:szCs w:val="22"/>
        </w:rPr>
        <w:t xml:space="preserve">L(θ) = 𝔼_{t,x₀,ε} [ ‖ε_θ(x_t, t) - ε‖² ]</w:t>
      </w:r>
      <w:r>
        <w:rPr>
          <w:rFonts w:ascii="Calibri" w:cs="Calibri" w:eastAsia="Calibri" w:hAnsi="Calibri"/>
          <w:color w:val="858591"/>
          <w:sz w:val="20"/>
          <w:szCs w:val="20"/>
        </w:rPr>
        <w:t xml:space="preserve">     (4.19)</w:t>
      </w:r>
    </w:p>
    <w:p>
      <w:pPr>
        <w:spacing w:after="160"/>
        <w:ind w:firstLine="360"/>
        <w:jc w:val="both"/>
      </w:pPr>
      <w:r>
        <w:rPr>
          <w:rFonts w:ascii="Calibri" w:cs="Calibri" w:eastAsia="Calibri" w:hAnsi="Calibri"/>
          <w:color w:val="333333"/>
          <w:sz w:val="22"/>
          <w:szCs w:val="22"/>
        </w:rPr>
        <w:t xml:space="preserve">donde ε_θ es la red neuronal que predice el ruido añadido. Esta formulación equivale a estimar la score function escalada, ya que s_θ(x_t, t) = −ε_θ(x_t, t) / √(1 − ᾱ_t). La elegancia de este enfoque reside en que no requiere conocer p_t(x) explícitamente; basta con poder muestrear pares (x₀, ε) del dataset de entrenamiento.</w:t>
      </w:r>
    </w:p>
    <w:p>
      <w:pPr>
        <w:spacing w:after="120" w:before="220"/>
      </w:pPr>
      <w:r>
        <w:rPr>
          <w:rFonts w:ascii="Calibri" w:cs="Calibri" w:eastAsia="Calibri" w:hAnsi="Calibri"/>
          <w:b/>
          <w:bCs/>
          <w:color w:val="333333"/>
          <w:sz w:val="23"/>
          <w:szCs w:val="23"/>
        </w:rPr>
        <w:t xml:space="preserve">4.4.3. Proceso reverso y dinámica de Langevin</w:t>
      </w:r>
    </w:p>
    <w:p>
      <w:pPr>
        <w:spacing w:after="160"/>
        <w:ind w:firstLine="360"/>
        <w:jc w:val="both"/>
      </w:pPr>
      <w:r>
        <w:rPr>
          <w:rFonts w:ascii="Calibri" w:cs="Calibri" w:eastAsia="Calibri" w:hAnsi="Calibri"/>
          <w:color w:val="333333"/>
          <w:sz w:val="22"/>
          <w:szCs w:val="22"/>
        </w:rPr>
        <w:t xml:space="preserve">El proceso de difusión reversa, que genera nuevas muestras a partir de ruido, sigue la SDE reversa (Anderson, 1982):</w:t>
      </w:r>
    </w:p>
    <w:p>
      <w:pPr>
        <w:spacing w:after="120" w:before="120"/>
        <w:jc w:val="center"/>
      </w:pPr>
      <w:r>
        <w:rPr>
          <w:rFonts w:ascii="Cambria Math" w:cs="Cambria Math" w:eastAsia="Cambria Math" w:hAnsi="Cambria Math"/>
          <w:i/>
          <w:iCs/>
          <w:color w:val="333333"/>
          <w:sz w:val="22"/>
          <w:szCs w:val="22"/>
        </w:rPr>
        <w:t xml:space="preserve">dx = [f(x, t) - g(t)² ∇ₓ log p_t(x)] dt + g(t) dw̄</w:t>
      </w:r>
      <w:r>
        <w:rPr>
          <w:rFonts w:ascii="Calibri" w:cs="Calibri" w:eastAsia="Calibri" w:hAnsi="Calibri"/>
          <w:color w:val="858591"/>
          <w:sz w:val="20"/>
          <w:szCs w:val="20"/>
        </w:rPr>
        <w:t xml:space="preserve">     (4.20)</w:t>
      </w:r>
    </w:p>
    <w:p>
      <w:pPr>
        <w:spacing w:after="160"/>
        <w:ind w:firstLine="360"/>
        <w:jc w:val="both"/>
      </w:pPr>
      <w:r>
        <w:rPr>
          <w:rFonts w:ascii="Calibri" w:cs="Calibri" w:eastAsia="Calibri" w:hAnsi="Calibri"/>
          <w:color w:val="333333"/>
          <w:sz w:val="22"/>
          <w:szCs w:val="22"/>
        </w:rPr>
        <w:t xml:space="preserve">donde w̄ es un proceso de Wiener reverso. Sustituyendo la score exacta por la aproximación aprendida s_θ, se obtiene un proceso generativo que transforma ruido gaussiano en muestras de la distribución de datos.</w:t>
      </w:r>
    </w:p>
    <w:p>
      <w:pPr>
        <w:spacing w:after="160"/>
        <w:ind w:firstLine="360"/>
        <w:jc w:val="both"/>
      </w:pPr>
      <w:r>
        <w:rPr>
          <w:rFonts w:ascii="Calibri" w:cs="Calibri" w:eastAsia="Calibri" w:hAnsi="Calibri"/>
          <w:color w:val="333333"/>
          <w:sz w:val="22"/>
          <w:szCs w:val="22"/>
        </w:rPr>
        <w:t xml:space="preserve">La dinámica de Langevin proporciona un método alternativo de muestreo basado en la score function:</w:t>
      </w:r>
    </w:p>
    <w:p>
      <w:pPr>
        <w:spacing w:after="120" w:before="120"/>
        <w:jc w:val="center"/>
      </w:pPr>
      <w:r>
        <w:rPr>
          <w:rFonts w:ascii="Cambria Math" w:cs="Cambria Math" w:eastAsia="Cambria Math" w:hAnsi="Cambria Math"/>
          <w:i/>
          <w:iCs/>
          <w:color w:val="333333"/>
          <w:sz w:val="22"/>
          <w:szCs w:val="22"/>
        </w:rPr>
        <w:t xml:space="preserve">x_{k+1} = x_k + (η/2) ∇ₓ log p(x_k) + √η z_k,   z_k ~ N(0, I)</w:t>
      </w:r>
      <w:r>
        <w:rPr>
          <w:rFonts w:ascii="Calibri" w:cs="Calibri" w:eastAsia="Calibri" w:hAnsi="Calibri"/>
          <w:color w:val="858591"/>
          <w:sz w:val="20"/>
          <w:szCs w:val="20"/>
        </w:rPr>
        <w:t xml:space="preserve">     (4.21)</w:t>
      </w:r>
    </w:p>
    <w:p>
      <w:pPr>
        <w:spacing w:after="160"/>
        <w:ind w:firstLine="360"/>
        <w:jc w:val="both"/>
      </w:pPr>
      <w:r>
        <w:rPr>
          <w:rFonts w:ascii="Calibri" w:cs="Calibri" w:eastAsia="Calibri" w:hAnsi="Calibri"/>
          <w:color w:val="333333"/>
          <w:sz w:val="22"/>
          <w:szCs w:val="22"/>
        </w:rPr>
        <w:t xml:space="preserve">donde η es la tasa de paso. Bajo condiciones de regularidad, la distribución de x_k converge a p(x) cuando k → ∞ y η → 0 (Welling y Teh, 2011). En la práctica, Diffusion Policy utiliza el sampler DDPM o DDIM para generar trayectorias en un número finito de pasos (típicamente T = 100 durante entrenamiento y 10-20 durante inferencia con DDIM).</w:t>
      </w:r>
    </w:p>
    <w:p>
      <w:pPr>
        <w:spacing w:after="120" w:before="220"/>
      </w:pPr>
      <w:r>
        <w:rPr>
          <w:rFonts w:ascii="Calibri" w:cs="Calibri" w:eastAsia="Calibri" w:hAnsi="Calibri"/>
          <w:b/>
          <w:bCs/>
          <w:color w:val="333333"/>
          <w:sz w:val="23"/>
          <w:szCs w:val="23"/>
        </w:rPr>
        <w:t xml:space="preserve">4.4.4. Arquitectura de red para predicción de ruido</w:t>
      </w:r>
    </w:p>
    <w:p>
      <w:pPr>
        <w:spacing w:after="160"/>
        <w:ind w:firstLine="360"/>
        <w:jc w:val="both"/>
      </w:pPr>
      <w:r>
        <w:rPr>
          <w:rFonts w:ascii="Calibri" w:cs="Calibri" w:eastAsia="Calibri" w:hAnsi="Calibri"/>
          <w:i w:val="false"/>
          <w:iCs w:val="false"/>
          <w:color w:val="333333"/>
          <w:sz w:val="22"/>
          <w:szCs w:val="22"/>
        </w:rPr>
        <w:t xml:space="preserve">Diffusion Policy emplea una U-Net temporal condicional (Ronneberger et al., 2015) adaptada para secuencias de acciones. La red ε_θ recibe como entrada la trayectoria ruidosa x_t ∈ ℝ</w:t>
      </w:r>
      <w:r>
        <w:rPr>
          <w:rFonts w:ascii="Calibri" w:cs="Calibri" w:eastAsia="Calibri" w:hAnsi="Calibri"/>
          <w:i/>
          <w:iCs/>
          <w:color w:val="333333"/>
          <w:sz w:val="22"/>
          <w:szCs w:val="22"/>
        </w:rPr>
        <w:t xml:space="preserve">H×A</w:t>
      </w:r>
      <w:r>
        <w:rPr>
          <w:rFonts w:ascii="Calibri" w:cs="Calibri" w:eastAsia="Calibri" w:hAnsi="Calibri"/>
          <w:color w:val="333333"/>
          <w:sz w:val="22"/>
          <w:szCs w:val="22"/>
        </w:rPr>
        <w:t xml:space="preserve"> (donde H es el horizonte temporal y A la dimensión de la acción), el timestep t (codificado mediante embeddings sinusoidales), y una observación condicionante c (features de la imagen RGB-D):</w:t>
      </w:r>
    </w:p>
    <w:p>
      <w:pPr>
        <w:spacing w:after="120" w:before="120"/>
        <w:jc w:val="center"/>
      </w:pPr>
      <w:r>
        <w:rPr>
          <w:rFonts w:ascii="Cambria Math" w:cs="Cambria Math" w:eastAsia="Cambria Math" w:hAnsi="Cambria Math"/>
          <w:i/>
          <w:iCs/>
          <w:color w:val="333333"/>
          <w:sz w:val="22"/>
          <w:szCs w:val="22"/>
        </w:rPr>
        <w:t xml:space="preserve">ε_θ(x_t, t, c) : ℝᴴˣᴬ × ℝ × ℝᵈ → ℝᴴˣᴬ</w:t>
      </w:r>
      <w:r>
        <w:rPr>
          <w:rFonts w:ascii="Calibri" w:cs="Calibri" w:eastAsia="Calibri" w:hAnsi="Calibri"/>
          <w:color w:val="858591"/>
          <w:sz w:val="20"/>
          <w:szCs w:val="20"/>
        </w:rPr>
        <w:t xml:space="preserve">     (4.22)</w:t>
      </w:r>
    </w:p>
    <w:p>
      <w:pPr>
        <w:spacing w:after="160"/>
        <w:ind w:firstLine="360"/>
        <w:jc w:val="both"/>
      </w:pPr>
      <w:r>
        <w:rPr>
          <w:rFonts w:ascii="Calibri" w:cs="Calibri" w:eastAsia="Calibri" w:hAnsi="Calibri"/>
          <w:i w:val="false"/>
          <w:iCs w:val="false"/>
          <w:color w:val="333333"/>
          <w:sz w:val="22"/>
          <w:szCs w:val="22"/>
        </w:rPr>
        <w:t xml:space="preserve">En nuestra implementación (</w:t>
      </w:r>
      <w:r>
        <w:rPr>
          <w:rFonts w:ascii="Calibri" w:cs="Calibri" w:eastAsia="Calibri" w:hAnsi="Calibri"/>
          <w:i/>
          <w:iCs/>
          <w:color w:val="333333"/>
          <w:sz w:val="22"/>
          <w:szCs w:val="22"/>
        </w:rPr>
        <w:t xml:space="preserve">src/planning/diffusion_policy.py</w:t>
      </w:r>
      <w:r>
        <w:rPr>
          <w:rFonts w:ascii="Calibri" w:cs="Calibri" w:eastAsia="Calibri" w:hAnsi="Calibri"/>
          <w:color w:val="333333"/>
          <w:sz w:val="22"/>
          <w:szCs w:val="22"/>
        </w:rPr>
        <w:t xml:space="preserve">), la U-Net 1D procesa la secuencia temporal con bloques convolucionales residuales, inyectando la información del timestep via FiLM conditioning (Perez et al., 2018) y la observación mediante concatenación en el bottleneck. El espacio de acciones tiene dimensión A = 7: tres componentes de posición (x, y, z), tres de orientación (representación compacta), y una para la apertura del gripper.</w:t>
      </w:r>
    </w:p>
    <w:p>
      <w:r>
        <w:br w:type="page"/>
      </w:r>
    </w:p>
    <w:p>
      <w:pPr>
        <w:pStyle w:val="Heading2"/>
        <w:spacing w:after="180" w:before="280"/>
      </w:pPr>
      <w:r>
        <w:rPr>
          <w:rFonts w:ascii="Calibri" w:cs="Calibri" w:eastAsia="Calibri" w:hAnsi="Calibri"/>
          <w:b/>
          <w:bCs/>
          <w:color w:val="006C8F"/>
          <w:sz w:val="26"/>
          <w:szCs w:val="26"/>
        </w:rPr>
        <w:t xml:space="preserve">4.5. Conexión matemática: integración de FoundationPose y Diffusion Policy</w:t>
      </w:r>
    </w:p>
    <w:p>
      <w:pPr>
        <w:spacing w:after="160"/>
        <w:ind w:firstLine="360"/>
        <w:jc w:val="both"/>
      </w:pPr>
      <w:r>
        <w:rPr>
          <w:rFonts w:ascii="Calibri" w:cs="Calibri" w:eastAsia="Calibri" w:hAnsi="Calibri"/>
          <w:color w:val="333333"/>
          <w:sz w:val="22"/>
          <w:szCs w:val="22"/>
        </w:rPr>
        <w:t xml:space="preserve">Los fundamentos matemáticos presentados en las secciones anteriores convergen en el pipeline propuesto de la siguiente manera:</w:t>
      </w:r>
    </w:p>
    <w:p>
      <w:pPr>
        <w:spacing w:after="120" w:before="220"/>
      </w:pPr>
      <w:r>
        <w:rPr>
          <w:rFonts w:ascii="Calibri" w:cs="Calibri" w:eastAsia="Calibri" w:hAnsi="Calibri"/>
          <w:b/>
          <w:bCs/>
          <w:color w:val="333333"/>
          <w:sz w:val="23"/>
          <w:szCs w:val="23"/>
        </w:rPr>
        <w:t xml:space="preserve">4.5.1. Flujo de datos geométricos</w:t>
      </w:r>
    </w:p>
    <w:p>
      <w:pPr>
        <w:spacing w:after="160"/>
        <w:ind w:firstLine="360"/>
        <w:jc w:val="both"/>
      </w:pPr>
      <w:r>
        <w:rPr>
          <w:rFonts w:ascii="Calibri" w:cs="Calibri" w:eastAsia="Calibri" w:hAnsi="Calibri"/>
          <w:color w:val="333333"/>
          <w:sz w:val="22"/>
          <w:szCs w:val="22"/>
        </w:rPr>
        <w:t xml:space="preserve">FoundationPose estima la pose del objeto como un elemento T ∈ SE(3), utilizando internamente la representación 6D continua (Sección 4.2.3) para la predicción del refinamiento de rotación, y atención cruzada (Sección 4.3.3) para establecer correspondencias 2D-3D. El refinamiento iterativo opera en el álgebra de Lie se(3): cada iteración predice un twist δξ ∈ ℝ⁶ que se aplica mediante exp(δξ) al pose actual.</w:t>
      </w:r>
    </w:p>
    <w:p>
      <w:pPr>
        <w:spacing w:after="160"/>
        <w:ind w:firstLine="360"/>
        <w:jc w:val="both"/>
      </w:pPr>
      <w:r>
        <w:rPr>
          <w:rFonts w:ascii="Calibri" w:cs="Calibri" w:eastAsia="Calibri" w:hAnsi="Calibri"/>
          <w:color w:val="333333"/>
          <w:sz w:val="22"/>
          <w:szCs w:val="22"/>
        </w:rPr>
        <w:t xml:space="preserve">Diffusion Policy recibe esta pose estimada como parte de la observación condicionante c y genera una trayectoria de agarre τ = {a₁, ..., a_H} mediante el proceso de difusión reversa (Sección 4.4.3). Cada acción a_i ∈ ℝ⁷ codifica una pose del efector final (posición + orientación) y el estado del gripper.</w:t>
      </w:r>
    </w:p>
    <w:p>
      <w:pPr>
        <w:spacing w:after="120" w:before="220"/>
      </w:pPr>
      <w:r>
        <w:rPr>
          <w:rFonts w:ascii="Calibri" w:cs="Calibri" w:eastAsia="Calibri" w:hAnsi="Calibri"/>
          <w:b/>
          <w:bCs/>
          <w:color w:val="333333"/>
          <w:sz w:val="23"/>
          <w:szCs w:val="23"/>
        </w:rPr>
        <w:t xml:space="preserve">4.5.2. Multimodalidad y manejo de simetrías</w:t>
      </w:r>
    </w:p>
    <w:p>
      <w:pPr>
        <w:spacing w:after="160"/>
        <w:ind w:firstLine="360"/>
        <w:jc w:val="both"/>
      </w:pPr>
      <w:r>
        <w:rPr>
          <w:rFonts w:ascii="Calibri" w:cs="Calibri" w:eastAsia="Calibri" w:hAnsi="Calibri"/>
          <w:color w:val="333333"/>
          <w:sz w:val="22"/>
          <w:szCs w:val="22"/>
        </w:rPr>
        <w:t xml:space="preserve">Una ventaja clave de los modelos de difusión sobre los métodos deterministas es su capacidad de generar múltiples trayectorias válidas para la misma observación, capturando la multimodalidad inherente al problema de bin picking: un mismo objeto puede agarrarse de múltiples maneras igualmente válidas. Matemáticamente, la distribución aprendida p_θ(τ | c) puede ser multimodal, lo que se manifiesta en el proceso de Langevin como convergencia a diferentes modos según la inicialización del ruido.</w:t>
      </w:r>
    </w:p>
    <w:p>
      <w:pPr>
        <w:spacing w:after="160"/>
        <w:ind w:firstLine="360"/>
        <w:jc w:val="both"/>
      </w:pPr>
      <w:r>
        <w:rPr>
          <w:rFonts w:ascii="Calibri" w:cs="Calibri" w:eastAsia="Calibri" w:hAnsi="Calibri"/>
          <w:color w:val="333333"/>
          <w:sz w:val="22"/>
          <w:szCs w:val="22"/>
        </w:rPr>
        <w:t xml:space="preserve">Para objetos con simetrías (frecuentes en T-LESS), las poses equivalentes bajo simetría se manejan a dos niveles:</w:t>
      </w:r>
    </w:p>
    <w:p>
      <w:pPr>
        <w:spacing w:after="160"/>
        <w:ind w:firstLine="360"/>
        <w:jc w:val="both"/>
      </w:pPr>
      <w:r>
        <w:rPr>
          <w:rFonts w:ascii="Calibri" w:cs="Calibri" w:eastAsia="Calibri" w:hAnsi="Calibri"/>
          <w:b/>
          <w:bCs/>
          <w:color w:val="333333"/>
          <w:sz w:val="22"/>
          <w:szCs w:val="22"/>
        </w:rPr>
        <w:t xml:space="preserve">En la evaluación (Sección 4.1):</w:t>
      </w:r>
      <w:r>
        <w:rPr>
          <w:rFonts w:ascii="Calibri" w:cs="Calibri" w:eastAsia="Calibri" w:hAnsi="Calibri"/>
          <w:color w:val="333333"/>
          <w:sz w:val="22"/>
          <w:szCs w:val="22"/>
        </w:rPr>
        <w:t xml:space="preserve"> las métricas MSSD y MSPD consideran el grupo de simetrías discretas del objeto, evaluando la distancia mínima sobre todas las transformaciones de simetría.</w:t>
      </w:r>
    </w:p>
    <w:p>
      <w:pPr>
        <w:spacing w:after="160"/>
        <w:ind w:firstLine="360"/>
        <w:jc w:val="both"/>
      </w:pPr>
      <w:r>
        <w:rPr>
          <w:rFonts w:ascii="Calibri" w:cs="Calibri" w:eastAsia="Calibri" w:hAnsi="Calibri"/>
          <w:b/>
          <w:bCs/>
          <w:color w:val="333333"/>
          <w:sz w:val="22"/>
          <w:szCs w:val="22"/>
        </w:rPr>
        <w:t xml:space="preserve">En la generación de trayectorias:</w:t>
      </w:r>
      <w:r>
        <w:rPr>
          <w:rFonts w:ascii="Calibri" w:cs="Calibri" w:eastAsia="Calibri" w:hAnsi="Calibri"/>
          <w:color w:val="333333"/>
          <w:sz w:val="22"/>
          <w:szCs w:val="22"/>
        </w:rPr>
        <w:t xml:space="preserve"> Diffusion Policy no necesita modelar explícitamente las simetrías, ya que el proceso de difusión naturalmente produce modos correspondientes a cada orientación de agarre equivalente.</w:t>
      </w:r>
    </w:p>
    <w:p>
      <w:pPr>
        <w:spacing w:after="120" w:before="220"/>
      </w:pPr>
      <w:r>
        <w:rPr>
          <w:rFonts w:ascii="Calibri" w:cs="Calibri" w:eastAsia="Calibri" w:hAnsi="Calibri"/>
          <w:b/>
          <w:bCs/>
          <w:color w:val="333333"/>
          <w:sz w:val="23"/>
          <w:szCs w:val="23"/>
        </w:rPr>
        <w:t xml:space="preserve">4.5.3. Métricas de evaluación y su fundamento geométrico</w:t>
      </w:r>
    </w:p>
    <w:p>
      <w:pPr>
        <w:spacing w:after="160"/>
        <w:ind w:firstLine="360"/>
        <w:jc w:val="both"/>
      </w:pPr>
      <w:r>
        <w:rPr>
          <w:rFonts w:ascii="Calibri" w:cs="Calibri" w:eastAsia="Calibri" w:hAnsi="Calibri"/>
          <w:color w:val="333333"/>
          <w:sz w:val="22"/>
          <w:szCs w:val="22"/>
        </w:rPr>
        <w:t xml:space="preserve">Las tres métricas BOP utilizadas para evaluar nuestro pipeline tienen una interpretación geométrica directa en los espacios desarrollados en este capítulo:</w:t>
      </w:r>
    </w:p>
    <w:p>
      <w:pPr>
        <w:spacing w:after="160"/>
        <w:ind w:firstLine="360"/>
        <w:jc w:val="both"/>
      </w:pPr>
      <w:r>
        <w:rPr>
          <w:rFonts w:ascii="Calibri" w:cs="Calibri" w:eastAsia="Calibri" w:hAnsi="Calibri"/>
          <w:b/>
          <w:bCs/>
          <w:color w:val="333333"/>
          <w:sz w:val="22"/>
          <w:szCs w:val="22"/>
        </w:rPr>
        <w:t xml:space="preserve">VSD (Visible Surface Discrepancy):</w:t>
      </w:r>
      <w:r>
        <w:rPr>
          <w:rFonts w:ascii="Calibri" w:cs="Calibri" w:eastAsia="Calibri" w:hAnsi="Calibri"/>
          <w:color w:val="333333"/>
          <w:sz w:val="22"/>
          <w:szCs w:val="22"/>
        </w:rPr>
        <w:t xml:space="preserve"> opera en el espacio de profundidades renderizadas, comparando la superficie visible del objeto según la pose estimada y la real. Es invariante a simetrías por construcción, al comparar apariencia en lugar de poses.</w:t>
      </w:r>
    </w:p>
    <w:p>
      <w:pPr>
        <w:spacing w:after="160"/>
        <w:ind w:firstLine="360"/>
        <w:jc w:val="both"/>
      </w:pPr>
      <w:r>
        <w:rPr>
          <w:rFonts w:ascii="Calibri" w:cs="Calibri" w:eastAsia="Calibri" w:hAnsi="Calibri"/>
          <w:b/>
          <w:bCs/>
          <w:color w:val="333333"/>
          <w:sz w:val="22"/>
          <w:szCs w:val="22"/>
        </w:rPr>
        <w:t xml:space="preserve">MSSD (Maximum Symmetry-Aware Surface Distance):</w:t>
      </w:r>
      <w:r>
        <w:rPr>
          <w:rFonts w:ascii="Calibri" w:cs="Calibri" w:eastAsia="Calibri" w:hAnsi="Calibri"/>
          <w:color w:val="333333"/>
          <w:sz w:val="22"/>
          <w:szCs w:val="22"/>
        </w:rPr>
        <w:t xml:space="preserve"> calcula la distancia máxima punto a punto en ℝ³ entre superficies transformadas, minimizando sobre el grupo de simetrías del objeto. Formalmente, MSSD = min_{S ∈ Sym} max_p ‖T_est · p - T_gt · S · p‖.</w:t>
      </w:r>
    </w:p>
    <w:p>
      <w:pPr>
        <w:spacing w:after="160"/>
        <w:ind w:firstLine="360"/>
        <w:jc w:val="both"/>
      </w:pPr>
      <w:r>
        <w:rPr>
          <w:rFonts w:ascii="Calibri" w:cs="Calibri" w:eastAsia="Calibri" w:hAnsi="Calibri"/>
          <w:b/>
          <w:bCs/>
          <w:color w:val="333333"/>
          <w:sz w:val="22"/>
          <w:szCs w:val="22"/>
        </w:rPr>
        <w:t xml:space="preserve">MSPD (Maximum Symmetry-Aware Projection Distance):</w:t>
      </w:r>
      <w:r>
        <w:rPr>
          <w:rFonts w:ascii="Calibri" w:cs="Calibri" w:eastAsia="Calibri" w:hAnsi="Calibri"/>
          <w:color w:val="333333"/>
          <w:sz w:val="22"/>
          <w:szCs w:val="22"/>
        </w:rPr>
        <w:t xml:space="preserve"> análogo a MSSD pero en el espacio de proyección 2D, midiendo el error máximo de reproyección en píxeles. Utiliza el modelo de cámara pinhole π: ℝ³ → ℝ² y es especialmente relevante para aplicaciones de visual servoing (Capítulo 5).</w:t>
      </w:r>
    </w:p>
    <w:p>
      <w:pPr>
        <w:spacing w:after="160"/>
        <w:ind w:firstLine="360"/>
        <w:jc w:val="both"/>
      </w:pPr>
      <w:r>
        <w:rPr>
          <w:rFonts w:ascii="Calibri" w:cs="Calibri" w:eastAsia="Calibri" w:hAnsi="Calibri"/>
          <w:color w:val="333333"/>
          <w:sz w:val="22"/>
          <w:szCs w:val="22"/>
        </w:rPr>
        <w:t xml:space="preserve">Las implementaciones de estas métricas, incluyendo el manejo de simetrías y el cómputo de AUC (Area Under the Recall Curve) para diferentes umbrales, se encuentran en </w:t>
      </w:r>
      <w:r>
        <w:rPr>
          <w:rFonts w:ascii="Calibri" w:cs="Calibri" w:eastAsia="Calibri" w:hAnsi="Calibri"/>
          <w:i/>
          <w:iCs/>
          <w:color w:val="333333"/>
          <w:sz w:val="22"/>
          <w:szCs w:val="22"/>
        </w:rPr>
        <w:t xml:space="preserve">src/utils/metrics.py</w:t>
      </w:r>
      <w:r>
        <w:rPr>
          <w:rFonts w:ascii="Calibri" w:cs="Calibri" w:eastAsia="Calibri" w:hAnsi="Calibri"/>
          <w:color w:val="333333"/>
          <w:sz w:val="22"/>
          <w:szCs w:val="22"/>
        </w:rPr>
        <w:t xml:space="preserve"> y han sido validadas contra el BOP Toolkit oficial (Hodaň et al., 2020).</w:t>
      </w:r>
    </w:p>
    <w:p>
      <w:pPr>
        <w:spacing w:after="160"/>
        <w:ind w:firstLine="360"/>
        <w:jc w:val="both"/>
      </w:pPr>
      <w:r>
        <w:rPr>
          <w:rFonts w:ascii="Calibri" w:cs="Calibri" w:eastAsia="Calibri" w:hAnsi="Calibri"/>
          <w:color w:val="333333"/>
          <w:sz w:val="22"/>
          <w:szCs w:val="22"/>
        </w:rPr>
        <w:t xml:space="preserve">En conjunto, estos fundamentos matemáticos proporcionan una base teórica rigurosa para las decisiones de diseño del pipeline presentado en el Capítulo 5, desde la elección de representaciones de rotación hasta la formulación del problema de planificación como un proceso de difusión.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8CD" w:sz="4" w:space="4"/>
      </w:pBdr>
      <w:jc w:val="center"/>
    </w:pPr>
    <w:r>
      <w:rPr>
        <w:rFonts w:ascii="Calibri" w:cs="Calibri" w:eastAsia="Calibri" w:hAnsi="Calibri"/>
        <w:color w:val="858591"/>
        <w:sz w:val="16"/>
        <w:szCs w:val="16"/>
      </w:rPr>
      <w:t xml:space="preserve">TFM - Estimación de Pose 6-DoF para Bin Picking Robótico</w:t>
    </w:r>
    <w:r>
      <w:rPr>
        <w:rFonts w:ascii="Calibri" w:cs="Calibri" w:eastAsia="Calibri" w:hAnsi="Calibri"/>
        <w:color w:val="858591"/>
        <w:sz w:val="16"/>
        <w:szCs w:val="16"/>
      </w:rPr>
      <w:t xml:space="preserve">  |  Pág. </w:t>
    </w:r>
    <w:r>
      <w:rPr>
        <w:rFonts w:ascii="Calibri" w:cs="Calibri" w:eastAsia="Calibri" w:hAnsi="Calibri"/>
        <w:color w:val="85859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1238250" cy="276225"/>
          <wp:effectExtent t="0" r="0" b="0" l="0"/>
          <wp:docPr id="1" name="logo" descr="UNIR" title="U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163de835ab6d9ec26ce6e7f4112df22ce6a708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2026-04-09T18:28:59.299Z</dcterms:created>
  <dcterms:modified xsi:type="dcterms:W3CDTF">2026-04-09T18:28:59.300Z</dcterms:modified>
</cp:coreProperties>
</file>

<file path=docProps/custom.xml><?xml version="1.0" encoding="utf-8"?>
<Properties xmlns="http://schemas.openxmlformats.org/officeDocument/2006/custom-properties" xmlns:vt="http://schemas.openxmlformats.org/officeDocument/2006/docPropsVTypes"/>
</file>