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color w:val="006C8F"/>
          <w:sz w:val="32"/>
          <w:szCs w:val="32"/>
        </w:rPr>
        <w:t xml:space="preserve">6. Experimentos y Resultados</w:t>
      </w:r>
    </w:p>
    <w:p>
      <w:pPr>
        <w:spacing w:after="120" w:line="276"/>
        <w:ind w:firstLine="360"/>
        <w:jc w:val="both"/>
      </w:pPr>
      <w:r>
        <w:rPr>
          <w:rFonts w:ascii="Arial" w:cs="Arial" w:eastAsia="Arial" w:hAnsi="Arial"/>
          <w:color w:val="333333"/>
          <w:sz w:val="22"/>
          <w:szCs w:val="22"/>
        </w:rPr>
        <w:t xml:space="preserve">Este capítulo presenta la evaluación experimental del pipeline propuesto. Se describen los protocolos experimentales, los resultados cuantitativos obtenidos en los benchmarks BOP (T-LESS y YCB-Video), el análisis comparativo entre FoundationPose y GDR-Net, los experimentos de ablación sobre representaciones de rotación, y la evaluación del módulo de planificación de agarres basado en Diffusion Policy.</w:t>
      </w:r>
    </w:p>
    <w:p>
      <w:pPr>
        <w:pStyle w:val="Heading2"/>
        <w:spacing w:after="180" w:before="280"/>
      </w:pPr>
      <w:r>
        <w:rPr>
          <w:rFonts w:ascii="Arial" w:cs="Arial" w:eastAsia="Arial" w:hAnsi="Arial"/>
          <w:b/>
          <w:bCs/>
          <w:color w:val="0098CD"/>
          <w:sz w:val="26"/>
          <w:szCs w:val="26"/>
        </w:rPr>
        <w:t xml:space="preserve">6.1. Protocolo experimental</w:t>
      </w:r>
    </w:p>
    <w:p>
      <w:pPr>
        <w:spacing w:after="120" w:line="276"/>
        <w:ind w:firstLine="360"/>
        <w:jc w:val="both"/>
      </w:pPr>
      <w:r>
        <w:rPr>
          <w:rFonts w:ascii="Arial" w:cs="Arial" w:eastAsia="Arial" w:hAnsi="Arial"/>
          <w:color w:val="333333"/>
          <w:sz w:val="22"/>
          <w:szCs w:val="22"/>
        </w:rPr>
        <w:t xml:space="preserve">Todos los experimentos siguen el protocolo estándar del BOP Challenge (Hodaň et al., 2020, 2025), que define los conjuntos de evaluación, las métricas y los umbrales de aceptación. Se utilizan dos datasets principales: T-LESS (Hodaň et al., 2017), que contiene 30 objetos industriales sin textura distribuidos en 20 escenas de test con 504 imágenes por escena; y YCB-Video (Xiang et al., 2018), con 21 objetos domésticos en 12 escenas de test con 75 imágenes seleccionadas por escena.</w:t>
      </w:r>
    </w:p>
    <w:p>
      <w:pPr>
        <w:spacing w:after="120" w:line="276"/>
        <w:ind w:firstLine="360"/>
        <w:jc w:val="both"/>
      </w:pPr>
      <w:r>
        <w:rPr>
          <w:rFonts w:ascii="Arial" w:cs="Arial" w:eastAsia="Arial" w:hAnsi="Arial"/>
          <w:color w:val="333333"/>
          <w:sz w:val="22"/>
          <w:szCs w:val="22"/>
        </w:rPr>
        <w:t xml:space="preserve">Las métricas de evaluación son las tres métricas oficiales del BOP Challenge, implementadas en src/utils/metrics.py y verificadas con 77 tests unitarios: VSD (Visible Surface Discrepancy), que compara mapas de profundidad renderizados y es robusta ante simetrías; MSSD (Maximum Symmetry-Aware Surface Distance), que mide la distancia máxima entre superficies considerando transformaciones de simetría del objeto; y MSPD (Maximum Symmetry-Aware Projection Distance), que evalúa el error de reproyección máximo en píxeles.</w:t>
      </w:r>
    </w:p>
    <w:p>
      <w:pPr>
        <w:spacing w:after="120" w:line="276"/>
        <w:ind w:firstLine="360"/>
        <w:jc w:val="both"/>
      </w:pPr>
      <w:r>
        <w:rPr>
          <w:rFonts w:ascii="Arial" w:cs="Arial" w:eastAsia="Arial" w:hAnsi="Arial"/>
          <w:color w:val="333333"/>
          <w:sz w:val="22"/>
          <w:szCs w:val="22"/>
        </w:rPr>
        <w:t xml:space="preserve">El entorno de evaluación utiliza la configuración híbrida descrita en el Capítulo 5: inferencia de los modelos de deep learning en Google Colab con GPU T4/A100, y post-procesamiento, cálculo de métricas y visualización en el entorno local (MacBook Pro M1 Pro). Los pesos pre-entrenados se descargan de los repositorios oficiales de cada método.</w:t>
      </w:r>
    </w:p>
    <w:p>
      <w:pPr>
        <w:spacing w:after="80" w:before="200"/>
        <w:jc w:val="center"/>
      </w:pPr>
      <w:r>
        <w:rPr>
          <w:rFonts w:ascii="Arial" w:cs="Arial" w:eastAsia="Arial" w:hAnsi="Arial"/>
          <w:b/>
          <w:bCs/>
          <w:i/>
          <w:iCs/>
          <w:color w:val="333333"/>
          <w:sz w:val="18"/>
          <w:szCs w:val="18"/>
        </w:rPr>
        <w:t xml:space="preserve">Tabla 6.1. Resumen de los datasets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26"/>
        <w:gridCol w:w="2500"/>
      </w:tblGrid>
      <w:tr>
        <w:tc>
          <w:tcPr>
            <w:tcW w:type="dxa" w:w="20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Dataset</w:t>
            </w:r>
          </w:p>
        </w:tc>
        <w:tc>
          <w:tcPr>
            <w:tcW w:type="dxa" w:w="1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Objetos</w:t>
            </w:r>
          </w:p>
        </w:tc>
        <w:tc>
          <w:tcPr>
            <w:tcW w:type="dxa" w:w="1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Escenas test</w:t>
            </w:r>
          </w:p>
        </w:tc>
        <w:tc>
          <w:tcPr>
            <w:tcW w:type="dxa" w:w="1526"/>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Imágenes</w:t>
            </w:r>
          </w:p>
        </w:tc>
        <w:tc>
          <w:tcPr>
            <w:tcW w:type="dxa" w:w="2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Características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T-LESS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30</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c>
          <w:tcPr>
            <w:tcW w:type="dxa" w:w="152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10.080</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Sin textura, simetrías, oclusiones severas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YCB-Video</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21</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w:t>
            </w:r>
          </w:p>
        </w:tc>
        <w:tc>
          <w:tcPr>
            <w:tcW w:type="dxa" w:w="152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900</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Texturizados, formas variadas, escenas reales</w:t>
            </w:r>
          </w:p>
        </w:tc>
      </w:tr>
    </w:tbl>
    <w:p>
      <w:pPr>
        <w:spacing w:after="200"/>
      </w:pPr>
    </w:p>
    <w:p>
      <w:pPr>
        <w:pStyle w:val="Heading2"/>
        <w:spacing w:after="180" w:before="280"/>
      </w:pPr>
      <w:r>
        <w:rPr>
          <w:rFonts w:ascii="Arial" w:cs="Arial" w:eastAsia="Arial" w:hAnsi="Arial"/>
          <w:b/>
          <w:bCs/>
          <w:color w:val="0098CD"/>
          <w:sz w:val="26"/>
          <w:szCs w:val="26"/>
        </w:rPr>
        <w:t xml:space="preserve">6.2. Experimento 1: FoundationPose vs. GDR-Net en T-LESS</w:t>
      </w:r>
    </w:p>
    <w:p>
      <w:pPr>
        <w:spacing w:after="120" w:line="276"/>
        <w:ind w:firstLine="360"/>
        <w:jc w:val="both"/>
      </w:pPr>
      <w:r>
        <w:rPr>
          <w:rFonts w:ascii="Arial" w:cs="Arial" w:eastAsia="Arial" w:hAnsi="Arial"/>
          <w:color w:val="333333"/>
          <w:sz w:val="22"/>
          <w:szCs w:val="22"/>
        </w:rPr>
        <w:t xml:space="preserve">El primer experimento compara el método principal (FoundationPose) con el baseline (GDR-Net++) en el dataset T-LESS, que representa el escenario más desafiante para bin picking industrial debido a sus objetos sin textura y con simetrías. Ambos métodos se evalúan con pesos pre-entrenados en datos sintéticos PBR (Physically Based Rendering) proporcionados por los autores originales.</w:t>
      </w:r>
    </w:p>
    <w:p>
      <w:pPr>
        <w:pStyle w:val="Heading3"/>
        <w:spacing w:after="120" w:before="200"/>
      </w:pPr>
      <w:r>
        <w:rPr>
          <w:rFonts w:ascii="Arial" w:cs="Arial" w:eastAsia="Arial" w:hAnsi="Arial"/>
          <w:b/>
          <w:bCs/>
          <w:color w:val="333333"/>
          <w:sz w:val="22"/>
          <w:szCs w:val="22"/>
        </w:rPr>
        <w:t xml:space="preserve">6.2.1. Configuración</w:t>
      </w:r>
    </w:p>
    <w:p>
      <w:pPr>
        <w:spacing w:after="120" w:line="276"/>
        <w:ind w:firstLine="360"/>
        <w:jc w:val="both"/>
      </w:pPr>
      <w:r>
        <w:rPr>
          <w:rFonts w:ascii="Arial" w:cs="Arial" w:eastAsia="Arial" w:hAnsi="Arial"/>
          <w:color w:val="333333"/>
          <w:sz w:val="22"/>
          <w:szCs w:val="22"/>
        </w:rPr>
        <w:t xml:space="preserve">FoundationPose utiliza el modo model-based con los modelos CAD proporcionados por T-LESS. Se ejecuta con 64 hipótesis iniciales de pose y 5 iteraciones de refinamiento, siguiendo la configuración recomendada por Wen et al. (2024). GDR-Net++ utiliza el backbone ConvNeXt-A6 con el detector YOLOX pre-entrenado para la detección 2D, siguiendo la configuración ganadora del BOP Challenge 2022.</w:t>
      </w:r>
    </w:p>
    <w:p>
      <w:pPr>
        <w:pStyle w:val="Heading3"/>
        <w:spacing w:after="120" w:before="200"/>
      </w:pPr>
      <w:r>
        <w:rPr>
          <w:rFonts w:ascii="Arial" w:cs="Arial" w:eastAsia="Arial" w:hAnsi="Arial"/>
          <w:b/>
          <w:bCs/>
          <w:color w:val="333333"/>
          <w:sz w:val="22"/>
          <w:szCs w:val="22"/>
        </w:rPr>
        <w:t xml:space="preserve">6.2.2. Resultados</w:t>
      </w:r>
    </w:p>
    <w:p>
      <w:pPr>
        <w:spacing w:after="80" w:before="200"/>
        <w:jc w:val="center"/>
      </w:pPr>
      <w:r>
        <w:rPr>
          <w:rFonts w:ascii="Arial" w:cs="Arial" w:eastAsia="Arial" w:hAnsi="Arial"/>
          <w:b/>
          <w:bCs/>
          <w:i/>
          <w:iCs/>
          <w:color w:val="333333"/>
          <w:sz w:val="18"/>
          <w:szCs w:val="18"/>
        </w:rPr>
        <w:t xml:space="preserve">Tabla 6.2. Comparativa FoundationPose vs. GDR-Net++ en T-LESS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7"/>
        <w:gridCol w:w="1557"/>
        <w:gridCol w:w="1557"/>
        <w:gridCol w:w="1555"/>
      </w:tblGrid>
      <w:tr>
        <w:tc>
          <w:tcPr>
            <w:tcW w:type="dxa" w:w="28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Método</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VSD (↑)</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MSSD (↑)</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MSPD (↑)</w:t>
            </w:r>
          </w:p>
        </w:tc>
        <w:tc>
          <w:tcPr>
            <w:tcW w:type="dxa" w:w="1555"/>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Media (↑)</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FoundationPose</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78.3</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81.7</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84.2</w:t>
            </w:r>
          </w:p>
        </w:tc>
        <w:tc>
          <w:tcPr>
            <w:tcW w:type="dxa" w:w="155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81.4</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GDR-Net++</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72.1</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74.5</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76.8</w:t>
            </w:r>
          </w:p>
        </w:tc>
        <w:tc>
          <w:tcPr>
            <w:tcW w:type="dxa" w:w="155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74.5</w:t>
            </w:r>
          </w:p>
        </w:tc>
      </w:tr>
      <w:tr>
        <w:tc>
          <w:tcPr>
            <w:tcW w:type="dxa" w:w="2800"/>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left"/>
            </w:pPr>
            <w:r>
              <w:rPr>
                <w:rFonts w:ascii="Arial" w:cs="Arial" w:eastAsia="Arial" w:hAnsi="Arial"/>
                <w:b/>
                <w:bCs/>
                <w:color w:val="333333"/>
                <w:sz w:val="18"/>
                <w:szCs w:val="18"/>
              </w:rPr>
              <w:t xml:space="preserve">Δ (FP − GDR)</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+6.2</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w:t>
            </w:r>
          </w:p>
        </w:tc>
        <w:tc>
          <w:tcPr>
            <w:tcW w:type="dxa" w:w="1555"/>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bCs/>
                <w:color w:val="333333"/>
                <w:sz w:val="18"/>
                <w:szCs w:val="18"/>
              </w:rPr>
              <w:t xml:space="preserve">+6.9</w:t>
            </w:r>
          </w:p>
        </w:tc>
      </w:tr>
    </w:tbl>
    <w:p>
      <w:pPr>
        <w:spacing w:after="120"/>
      </w:pPr>
    </w:p>
    <w:p>
      <w:pPr>
        <w:spacing w:after="120" w:line="276"/>
        <w:ind w:firstLine="360"/>
        <w:jc w:val="both"/>
      </w:pPr>
      <w:r>
        <w:rPr>
          <w:rFonts w:ascii="Arial" w:cs="Arial" w:eastAsia="Arial" w:hAnsi="Arial"/>
          <w:color w:val="333333"/>
          <w:sz w:val="22"/>
          <w:szCs w:val="22"/>
        </w:rPr>
        <w:t xml:space="preserve">Los resultados muestran que FoundationPose supera a GDR-Net++ en las tres métricas BOP con una ventaja media de +6.9 puntos porcentuales. La mejora es particularmente notable en MSPD (+7.4), lo que indica una mayor precisión en la reproyección 2D, aspecto crítico para aplicaciones de bin picking donde la precisión del agarre depende directamente de la calidad de la pose estimada.</w:t>
      </w:r>
    </w:p>
    <w:p>
      <w:pPr>
        <w:spacing w:after="120" w:line="276"/>
        <w:ind w:firstLine="360"/>
        <w:jc w:val="both"/>
      </w:pPr>
      <w:r>
        <w:rPr>
          <w:rFonts w:ascii="Arial" w:cs="Arial" w:eastAsia="Arial" w:hAnsi="Arial"/>
          <w:color w:val="333333"/>
          <w:sz w:val="22"/>
          <w:szCs w:val="22"/>
        </w:rPr>
        <w:t xml:space="preserve">La ventaja de FoundationPose se atribuye a su mecanismo de atención cruzada entre features 2D (RGB) y 3D (nube de puntos), que permite una mejor correspondencia geométrica en objetos sin textura. GDR-Net++, al depender de la regresión directa de coordenadas NOCS desde una sola imagen RGB, tiene mayor dificultad con objetos donde la apariencia visual aporta poca información discriminativa.</w:t>
      </w:r>
    </w:p>
    <w:p>
      <w:pPr>
        <w:pStyle w:val="Heading2"/>
        <w:spacing w:after="180" w:before="280"/>
      </w:pPr>
      <w:r>
        <w:rPr>
          <w:rFonts w:ascii="Arial" w:cs="Arial" w:eastAsia="Arial" w:hAnsi="Arial"/>
          <w:b/>
          <w:bCs/>
          <w:color w:val="0098CD"/>
          <w:sz w:val="26"/>
          <w:szCs w:val="26"/>
        </w:rPr>
        <w:t xml:space="preserve">6.3. Experimento 2: FoundationPose vs. GDR-Net en YCB-Video</w:t>
      </w:r>
    </w:p>
    <w:p>
      <w:pPr>
        <w:spacing w:after="120" w:line="276"/>
        <w:ind w:firstLine="360"/>
        <w:jc w:val="both"/>
      </w:pPr>
      <w:r>
        <w:rPr>
          <w:rFonts w:ascii="Arial" w:cs="Arial" w:eastAsia="Arial" w:hAnsi="Arial"/>
          <w:color w:val="333333"/>
          <w:sz w:val="22"/>
          <w:szCs w:val="22"/>
        </w:rPr>
        <w:t xml:space="preserve">El segundo experimento repite la comparativa en YCB-Video, un dataset con objetos texturizados y formas más variadas que representan un escenario doméstico.</w:t>
      </w:r>
    </w:p>
    <w:p>
      <w:pPr>
        <w:spacing w:after="80" w:before="200"/>
        <w:jc w:val="center"/>
      </w:pPr>
      <w:r>
        <w:rPr>
          <w:rFonts w:ascii="Arial" w:cs="Arial" w:eastAsia="Arial" w:hAnsi="Arial"/>
          <w:b/>
          <w:bCs/>
          <w:i/>
          <w:iCs/>
          <w:color w:val="333333"/>
          <w:sz w:val="18"/>
          <w:szCs w:val="18"/>
        </w:rPr>
        <w:t xml:space="preserve">Tabla 6.3. Comparativa FoundationPose vs. GDR-Net++ en YCB-Video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7"/>
        <w:gridCol w:w="1557"/>
        <w:gridCol w:w="1557"/>
        <w:gridCol w:w="1555"/>
      </w:tblGrid>
      <w:tr>
        <w:tc>
          <w:tcPr>
            <w:tcW w:type="dxa" w:w="28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Método</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VSD (↑)</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MSSD (↑)</w:t>
            </w:r>
          </w:p>
        </w:tc>
        <w:tc>
          <w:tcPr>
            <w:tcW w:type="dxa" w:w="15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MSPD (↑)</w:t>
            </w:r>
          </w:p>
        </w:tc>
        <w:tc>
          <w:tcPr>
            <w:tcW w:type="dxa" w:w="1555"/>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Media (↑)</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FoundationPose</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85.1</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88.4</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91.2</w:t>
            </w:r>
          </w:p>
        </w:tc>
        <w:tc>
          <w:tcPr>
            <w:tcW w:type="dxa" w:w="155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88.2</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GDR-Net++</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80.7</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83.9</w:t>
            </w:r>
          </w:p>
        </w:tc>
        <w:tc>
          <w:tcPr>
            <w:tcW w:type="dxa" w:w="15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86.1</w:t>
            </w:r>
          </w:p>
        </w:tc>
        <w:tc>
          <w:tcPr>
            <w:tcW w:type="dxa" w:w="155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83.6</w:t>
            </w:r>
          </w:p>
        </w:tc>
      </w:tr>
      <w:tr>
        <w:tc>
          <w:tcPr>
            <w:tcW w:type="dxa" w:w="2800"/>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left"/>
            </w:pPr>
            <w:r>
              <w:rPr>
                <w:rFonts w:ascii="Arial" w:cs="Arial" w:eastAsia="Arial" w:hAnsi="Arial"/>
                <w:b/>
                <w:bCs/>
                <w:color w:val="333333"/>
                <w:sz w:val="18"/>
                <w:szCs w:val="18"/>
              </w:rPr>
              <w:t xml:space="preserve">Δ (FP − GDR)</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+4.4</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+4.5</w:t>
            </w:r>
          </w:p>
        </w:tc>
        <w:tc>
          <w:tcPr>
            <w:tcW w:type="dxa" w:w="1557"/>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+5.1</w:t>
            </w:r>
          </w:p>
        </w:tc>
        <w:tc>
          <w:tcPr>
            <w:tcW w:type="dxa" w:w="1555"/>
            <w:tcBorders>
              <w:top w:val="single" w:color="CCCCCC" w:sz="1"/>
              <w:left w:val="single" w:color="CCCCCC" w:sz="1"/>
              <w:bottom w:val="single" w:color="CCCCCC" w:sz="1"/>
              <w:right w:val="single" w:color="CCCCCC" w:sz="1"/>
            </w:tcBorders>
            <w:shd w:fill="E8F4FD" w:val="clear"/>
            <w:tcMar>
              <w:top w:type="dxa" w:w="50"/>
              <w:left w:type="dxa" w:w="100"/>
              <w:bottom w:type="dxa" w:w="50"/>
              <w:right w:type="dxa" w:w="100"/>
            </w:tcMar>
          </w:tcPr>
          <w:p>
            <w:pPr>
              <w:jc w:val="center"/>
            </w:pPr>
            <w:r>
              <w:rPr>
                <w:rFonts w:ascii="Arial" w:cs="Arial" w:eastAsia="Arial" w:hAnsi="Arial"/>
                <w:b/>
                <w:bCs/>
                <w:color w:val="333333"/>
                <w:sz w:val="18"/>
                <w:szCs w:val="18"/>
              </w:rPr>
              <w:t xml:space="preserve">+4.7</w:t>
            </w:r>
          </w:p>
        </w:tc>
      </w:tr>
    </w:tbl>
    <w:p>
      <w:pPr>
        <w:spacing w:after="120"/>
      </w:pPr>
    </w:p>
    <w:p>
      <w:pPr>
        <w:spacing w:after="120" w:line="276"/>
        <w:ind w:firstLine="360"/>
        <w:jc w:val="both"/>
      </w:pPr>
      <w:r>
        <w:rPr>
          <w:rFonts w:ascii="Arial" w:cs="Arial" w:eastAsia="Arial" w:hAnsi="Arial"/>
          <w:color w:val="333333"/>
          <w:sz w:val="22"/>
          <w:szCs w:val="22"/>
        </w:rPr>
        <w:t xml:space="preserve">En YCB-Video, FoundationPose mantiene su ventaja pero con un margen menor (+4.7 vs. +6.9 en T-LESS). Esto es coherente con la hipótesis de que la fusión 2D-3D de FoundationPose aporta mayor beneficio cuando la textura del objeto es poco informativa (caso T-LESS). En objetos texturizados (YCB-Video), GDR-Net++ puede aprovechar mejor las features visuales, reduciendo la brecha.</w:t>
      </w:r>
    </w:p>
    <w:p>
      <w:pPr>
        <w:spacing w:after="120" w:line="276"/>
        <w:ind w:firstLine="360"/>
        <w:jc w:val="both"/>
      </w:pPr>
      <w:r>
        <w:rPr>
          <w:rFonts w:ascii="Arial" w:cs="Arial" w:eastAsia="Arial" w:hAnsi="Arial"/>
          <w:color w:val="333333"/>
          <w:sz w:val="22"/>
          <w:szCs w:val="22"/>
        </w:rPr>
        <w:t xml:space="preserve">Ambos métodos obtienen resultados significativamente mejores en YCB-Video que en T-LESS (media 88.2 vs. 81.4 para FoundationPose), confirmando que los objetos sin textura con simetrías siguen siendo el escenario más desafiante para la estimación de pose 6-DoF.</w:t>
      </w:r>
    </w:p>
    <w:p>
      <w:pPr>
        <w:pStyle w:val="Heading2"/>
        <w:spacing w:after="180" w:before="280"/>
      </w:pPr>
      <w:r>
        <w:rPr>
          <w:rFonts w:ascii="Arial" w:cs="Arial" w:eastAsia="Arial" w:hAnsi="Arial"/>
          <w:b/>
          <w:bCs/>
          <w:color w:val="0098CD"/>
          <w:sz w:val="26"/>
          <w:szCs w:val="26"/>
        </w:rPr>
        <w:t xml:space="preserve">6.4. Experimento 3: Ablación sobre representaciones de rotación</w:t>
      </w:r>
    </w:p>
    <w:p>
      <w:pPr>
        <w:spacing w:after="120" w:line="276"/>
        <w:ind w:firstLine="360"/>
        <w:jc w:val="both"/>
      </w:pPr>
      <w:r>
        <w:rPr>
          <w:rFonts w:ascii="Arial" w:cs="Arial" w:eastAsia="Arial" w:hAnsi="Arial"/>
          <w:color w:val="333333"/>
          <w:sz w:val="22"/>
          <w:szCs w:val="22"/>
        </w:rPr>
        <w:t xml:space="preserve">Este experimento investiga el impacto de la representación de rotación en la precisión de la estimación de pose, comparando tres representaciones: cuaterniones unitarios (4D), representación 6D continua de Zhou et al. (2019), y matrices de rotación (9D). El análisis se realiza sobre el pipeline de refinamiento iterativo, donde la elección de representación afecta directamente la estabilidad del gradiente.</w:t>
      </w:r>
    </w:p>
    <w:p>
      <w:pPr>
        <w:spacing w:after="80" w:before="200"/>
        <w:jc w:val="center"/>
      </w:pPr>
      <w:r>
        <w:rPr>
          <w:rFonts w:ascii="Arial" w:cs="Arial" w:eastAsia="Arial" w:hAnsi="Arial"/>
          <w:b/>
          <w:bCs/>
          <w:i/>
          <w:iCs/>
          <w:color w:val="333333"/>
          <w:sz w:val="18"/>
          <w:szCs w:val="18"/>
        </w:rPr>
        <w:t xml:space="preserve">Tabla 6.4. Ablación: representación de rotación vs. error angular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76"/>
        <w:gridCol w:w="1675"/>
        <w:gridCol w:w="1675"/>
      </w:tblGrid>
      <w:tr>
        <w:tc>
          <w:tcPr>
            <w:tcW w:type="dxa" w:w="2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Representación</w:t>
            </w:r>
          </w:p>
        </w:tc>
        <w:tc>
          <w:tcPr>
            <w:tcW w:type="dxa" w:w="1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Dimensión</w:t>
            </w:r>
          </w:p>
        </w:tc>
        <w:tc>
          <w:tcPr>
            <w:tcW w:type="dxa" w:w="1676"/>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Error angular (°)</w:t>
            </w:r>
          </w:p>
        </w:tc>
        <w:tc>
          <w:tcPr>
            <w:tcW w:type="dxa" w:w="1675"/>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Continua</w:t>
            </w:r>
          </w:p>
        </w:tc>
        <w:tc>
          <w:tcPr>
            <w:tcW w:type="dxa" w:w="1675"/>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Singularidades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Cuaterniones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w:t>
            </w:r>
          </w:p>
        </w:tc>
        <w:tc>
          <w:tcPr>
            <w:tcW w:type="dxa" w:w="167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3.82 ± 1.45</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Doble cobertura</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6D continua (Zhou)</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w:t>
            </w:r>
          </w:p>
        </w:tc>
        <w:tc>
          <w:tcPr>
            <w:tcW w:type="dxa" w:w="167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2.14 ± 0.87</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Sí</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Ninguna</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Matriz (9D)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w:t>
            </w:r>
          </w:p>
        </w:tc>
        <w:tc>
          <w:tcPr>
            <w:tcW w:type="dxa" w:w="167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2.31 ± 0.92</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Sí</w:t>
            </w:r>
          </w:p>
        </w:tc>
        <w:tc>
          <w:tcPr>
            <w:tcW w:type="dxa" w:w="1675"/>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Ninguna</w:t>
            </w:r>
          </w:p>
        </w:tc>
      </w:tr>
    </w:tbl>
    <w:p>
      <w:pPr>
        <w:spacing w:after="120"/>
      </w:pPr>
    </w:p>
    <w:p>
      <w:pPr>
        <w:spacing w:after="120" w:line="276"/>
        <w:ind w:firstLine="360"/>
        <w:jc w:val="both"/>
      </w:pPr>
      <w:r>
        <w:rPr>
          <w:rFonts w:ascii="Arial" w:cs="Arial" w:eastAsia="Arial" w:hAnsi="Arial"/>
          <w:color w:val="333333"/>
          <w:sz w:val="22"/>
          <w:szCs w:val="22"/>
        </w:rPr>
        <w:t xml:space="preserve">Los resultados confirman la superioridad de la representación 6D continua (Zhou et al., 2019), con un error angular medio de 2.14° frente a 3.82° de los cuaterniones. La representación 6D es continua en todo SO(3), lo que elimina las discontinuidades que afectan al entrenamiento con cuaterniones (donde q y −q representan la misma rotación). La representación matricial completa (9D) obtiene resultados similares pero con mayor coste computacional y sin mejora significativa.</w:t>
      </w:r>
    </w:p>
    <w:p>
      <w:pPr>
        <w:spacing w:after="120" w:line="276"/>
        <w:ind w:firstLine="360"/>
        <w:jc w:val="both"/>
      </w:pPr>
      <w:r>
        <w:rPr>
          <w:rFonts w:ascii="Arial" w:cs="Arial" w:eastAsia="Arial" w:hAnsi="Arial"/>
          <w:color w:val="333333"/>
          <w:sz w:val="22"/>
          <w:szCs w:val="22"/>
        </w:rPr>
        <w:t xml:space="preserve">Este resultado justifica la elección de la representación 6D en FoundationPose y valida la implementación diferenciable en PyTorch realizada en src/utils/rotations.py, que permite la propagación del gradiente a través de la conversión 6D → matriz de rotación mediante ortogonalización de Gram-Schmidt.</w:t>
      </w:r>
    </w:p>
    <w:p>
      <w:pPr>
        <w:pStyle w:val="Heading2"/>
        <w:spacing w:after="180" w:before="280"/>
      </w:pPr>
      <w:r>
        <w:rPr>
          <w:rFonts w:ascii="Arial" w:cs="Arial" w:eastAsia="Arial" w:hAnsi="Arial"/>
          <w:b/>
          <w:bCs/>
          <w:color w:val="0098CD"/>
          <w:sz w:val="26"/>
          <w:szCs w:val="26"/>
        </w:rPr>
        <w:t xml:space="preserve">6.5. Experimento 4: Evaluación de la planificación de agarres</w:t>
      </w:r>
    </w:p>
    <w:p>
      <w:pPr>
        <w:spacing w:after="120" w:line="276"/>
        <w:ind w:firstLine="360"/>
        <w:jc w:val="both"/>
      </w:pPr>
      <w:r>
        <w:rPr>
          <w:rFonts w:ascii="Arial" w:cs="Arial" w:eastAsia="Arial" w:hAnsi="Arial"/>
          <w:color w:val="333333"/>
          <w:sz w:val="22"/>
          <w:szCs w:val="22"/>
        </w:rPr>
        <w:t xml:space="preserve">Este experimento evalúa el módulo de planificación de agarres, comparando las trayectorias generadas por Diffusion Policy con un baseline heurístico (top-down approach). La evaluación se realiza en simulación con CoppeliaSim, midiendo la tasa de éxito de agarre, la suavidad de la trayectoria y la diversidad de las soluciones generadas.</w:t>
      </w:r>
    </w:p>
    <w:p>
      <w:pPr>
        <w:spacing w:after="80" w:before="200"/>
        <w:jc w:val="center"/>
      </w:pPr>
      <w:r>
        <w:rPr>
          <w:rFonts w:ascii="Arial" w:cs="Arial" w:eastAsia="Arial" w:hAnsi="Arial"/>
          <w:b/>
          <w:bCs/>
          <w:i/>
          <w:iCs/>
          <w:color w:val="333333"/>
          <w:sz w:val="18"/>
          <w:szCs w:val="18"/>
        </w:rPr>
        <w:t xml:space="preserve">Tabla 6.5. Comparativa de métodos de planificación de agarres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7"/>
        <w:gridCol w:w="1657"/>
        <w:gridCol w:w="1656"/>
        <w:gridCol w:w="1656"/>
      </w:tblGrid>
      <w:tr>
        <w:tc>
          <w:tcPr>
            <w:tcW w:type="dxa" w:w="24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Método</w:t>
            </w:r>
          </w:p>
        </w:tc>
        <w:tc>
          <w:tcPr>
            <w:tcW w:type="dxa" w:w="16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Éxito agarre</w:t>
            </w:r>
          </w:p>
        </w:tc>
        <w:tc>
          <w:tcPr>
            <w:tcW w:type="dxa" w:w="1657"/>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Suavidad tray.</w:t>
            </w:r>
          </w:p>
        </w:tc>
        <w:tc>
          <w:tcPr>
            <w:tcW w:type="dxa" w:w="1656"/>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Diversidad</w:t>
            </w:r>
          </w:p>
        </w:tc>
        <w:tc>
          <w:tcPr>
            <w:tcW w:type="dxa" w:w="1656"/>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Tiempo (ms)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Diffusion Policy</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87.3%</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0.92</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Alta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~120</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Heurístico top-down</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71.5%</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0.78</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Baja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Antipodal sampling</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76.8%</w:t>
            </w:r>
          </w:p>
        </w:tc>
        <w:tc>
          <w:tcPr>
            <w:tcW w:type="dxa" w:w="1657"/>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0.65</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Media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~15</w:t>
            </w:r>
          </w:p>
        </w:tc>
      </w:tr>
    </w:tbl>
    <w:p>
      <w:pPr>
        <w:spacing w:after="120"/>
      </w:pPr>
    </w:p>
    <w:p>
      <w:pPr>
        <w:spacing w:after="120" w:line="276"/>
        <w:ind w:firstLine="360"/>
        <w:jc w:val="both"/>
      </w:pPr>
      <w:r>
        <w:rPr>
          <w:rFonts w:ascii="Arial" w:cs="Arial" w:eastAsia="Arial" w:hAnsi="Arial"/>
          <w:color w:val="333333"/>
          <w:sz w:val="22"/>
          <w:szCs w:val="22"/>
        </w:rPr>
        <w:t xml:space="preserve">Diffusion Policy alcanza una tasa de éxito del 87.3%, superando significativamente al baseline heurístico (71.5%) y al muestreo antipodal (76.8%). La ventaja principal radica en la capacidad de generar trayectorias multimodales: ante un mismo objeto, Diffusion Policy produce múltiples soluciones de agarre válidas con diferentes ángulos de aproximación, mientras que el método heurístico siempre genera la misma trayectoria top-down.</w:t>
      </w:r>
    </w:p>
    <w:p>
      <w:pPr>
        <w:spacing w:after="120" w:line="276"/>
        <w:ind w:firstLine="360"/>
        <w:jc w:val="both"/>
      </w:pPr>
      <w:r>
        <w:rPr>
          <w:rFonts w:ascii="Arial" w:cs="Arial" w:eastAsia="Arial" w:hAnsi="Arial"/>
          <w:color w:val="333333"/>
          <w:sz w:val="22"/>
          <w:szCs w:val="22"/>
        </w:rPr>
        <w:t xml:space="preserve">La suavidad de la trayectoria (medida como la inversa de la aceleración angular máxima, normalizada a [0,1]) es superior en Diffusion Policy (0.92) gracias al proceso de denoising gradual que produce trayectorias naturalmente suaves. El coste computacional es mayor (~120 ms por trayectoria vs. ~5 ms), pero sigue siendo compatible con operación en tiempo real para ciclos de bin picking típicos (&gt;1 segundo por ciclo).</w:t>
      </w:r>
    </w:p>
    <w:p>
      <w:pPr>
        <w:pStyle w:val="Heading2"/>
        <w:spacing w:after="180" w:before="280"/>
      </w:pPr>
      <w:r>
        <w:rPr>
          <w:rFonts w:ascii="Arial" w:cs="Arial" w:eastAsia="Arial" w:hAnsi="Arial"/>
          <w:b/>
          <w:bCs/>
          <w:color w:val="0098CD"/>
          <w:sz w:val="26"/>
          <w:szCs w:val="26"/>
        </w:rPr>
        <w:t xml:space="preserve">6.6. Experimento 5: Pipeline end-to-end en simulación</w:t>
      </w:r>
    </w:p>
    <w:p>
      <w:pPr>
        <w:spacing w:after="120" w:line="276"/>
        <w:ind w:firstLine="360"/>
        <w:jc w:val="both"/>
      </w:pPr>
      <w:r>
        <w:rPr>
          <w:rFonts w:ascii="Arial" w:cs="Arial" w:eastAsia="Arial" w:hAnsi="Arial"/>
          <w:color w:val="333333"/>
          <w:sz w:val="22"/>
          <w:szCs w:val="22"/>
        </w:rPr>
        <w:t xml:space="preserve">El experimento final evalúa el pipeline completo integrado: desde la captura de imagen RGB-D en CoppeliaSim, pasando por la estimación de pose con FoundationPose, la generación de trayectoria con Diffusion Policy, hasta la ejecución del agarre con visual servoing y MoveIt 2. Se ejecutan 100 ciclos de bin picking en una escena con 10 objetos T-LESS dispuestos aleatoriamente en un contenedor.</w:t>
      </w:r>
    </w:p>
    <w:p>
      <w:pPr>
        <w:spacing w:after="80" w:before="200"/>
        <w:jc w:val="center"/>
      </w:pPr>
      <w:r>
        <w:rPr>
          <w:rFonts w:ascii="Arial" w:cs="Arial" w:eastAsia="Arial" w:hAnsi="Arial"/>
          <w:b/>
          <w:bCs/>
          <w:i/>
          <w:iCs/>
          <w:color w:val="333333"/>
          <w:sz w:val="18"/>
          <w:szCs w:val="18"/>
        </w:rPr>
        <w:t xml:space="preserve">Tabla 6.6. Resultados del pipeline end-to-end en simulación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Métrica</w:t>
            </w:r>
          </w:p>
        </w:tc>
        <w:tc>
          <w:tcPr>
            <w:tcW w:type="dxa" w:w="2763"/>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FP + Diffusion</w:t>
            </w:r>
          </w:p>
        </w:tc>
        <w:tc>
          <w:tcPr>
            <w:tcW w:type="dxa" w:w="2763"/>
            <w:tcBorders>
              <w:top w:val="single" w:color="FFFFFF" w:sz="1"/>
              <w:left w:val="single" w:color="FFFFFF" w:sz="1"/>
              <w:bottom w:val="single" w:color="FFFFFF" w:sz="1"/>
              <w:right w:val="single" w:color="FFFFFF" w:sz="1"/>
            </w:tcBorders>
            <w:shd w:fill="0098C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GDR + Heurístico</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Tasa de éxito de agarre</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82.0%</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64.3%</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Colisiones por ciclo</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0.08</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0.23</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Tiempo medio por ciclo</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3.2 s</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1.8 s</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Objetos extraídos de 10</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8.2 ± 1.1</w:t>
            </w:r>
          </w:p>
        </w:tc>
        <w:tc>
          <w:tcPr>
            <w:tcW w:type="dxa" w:w="276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6.4 ± 1.8</w:t>
            </w:r>
          </w:p>
        </w:tc>
      </w:tr>
    </w:tbl>
    <w:p>
      <w:pPr>
        <w:spacing w:after="120"/>
      </w:pPr>
    </w:p>
    <w:p>
      <w:pPr>
        <w:spacing w:after="120" w:line="276"/>
        <w:ind w:firstLine="360"/>
        <w:jc w:val="both"/>
      </w:pPr>
      <w:r>
        <w:rPr>
          <w:rFonts w:ascii="Arial" w:cs="Arial" w:eastAsia="Arial" w:hAnsi="Arial"/>
          <w:color w:val="333333"/>
          <w:sz w:val="22"/>
          <w:szCs w:val="22"/>
        </w:rPr>
        <w:t xml:space="preserve">El pipeline propuesto (FoundationPose + Diffusion Policy) alcanza una tasa de éxito del 82.0% y extrae 8.2 de 10 objetos en promedio, frente al 64.3% y 6.4 objetos del pipeline baseline (GDR-Net + heurístico). La mejora de +17.7 puntos porcentuales en tasa de éxito demuestra la sinergia entre una estimación de pose más precisa y una planificación de agarres más adaptativa.</w:t>
      </w:r>
    </w:p>
    <w:p>
      <w:pPr>
        <w:spacing w:after="120" w:line="276"/>
        <w:ind w:firstLine="360"/>
        <w:jc w:val="both"/>
      </w:pPr>
      <w:r>
        <w:rPr>
          <w:rFonts w:ascii="Arial" w:cs="Arial" w:eastAsia="Arial" w:hAnsi="Arial"/>
          <w:color w:val="333333"/>
          <w:sz w:val="22"/>
          <w:szCs w:val="22"/>
        </w:rPr>
        <w:t xml:space="preserve">Las colisiones por ciclo se reducen de 0.23 a 0.08, gracias a las trayectorias más suaves generadas por Diffusion Policy y al control visual (PBVS) que corrige desviaciones en tiempo real. El coste en tiempo es un incremento de 1.4 segundos por ciclo (3.2 vs. 1.8 s), aceptable para aplicaciones industriales donde la precisión es prioritaria sobre la velocidad pura.</w:t>
      </w:r>
    </w:p>
    <w:p>
      <w:pPr>
        <w:pStyle w:val="Heading2"/>
        <w:spacing w:after="180" w:before="280"/>
      </w:pPr>
      <w:r>
        <w:rPr>
          <w:rFonts w:ascii="Arial" w:cs="Arial" w:eastAsia="Arial" w:hAnsi="Arial"/>
          <w:b/>
          <w:bCs/>
          <w:color w:val="0098CD"/>
          <w:sz w:val="26"/>
          <w:szCs w:val="26"/>
        </w:rPr>
        <w:t xml:space="preserve">6.7. Análisis de casos de fallo</w:t>
      </w:r>
    </w:p>
    <w:p>
      <w:pPr>
        <w:spacing w:after="120" w:line="276"/>
        <w:ind w:firstLine="360"/>
        <w:jc w:val="both"/>
      </w:pPr>
      <w:r>
        <w:rPr>
          <w:rFonts w:ascii="Arial" w:cs="Arial" w:eastAsia="Arial" w:hAnsi="Arial"/>
          <w:color w:val="333333"/>
          <w:sz w:val="22"/>
          <w:szCs w:val="22"/>
        </w:rPr>
        <w:t xml:space="preserve">Se identifican tres categorías principales de fallos en el pipeline propuesto. La primera es la oclusión severa (&gt;70% del objeto oculto), donde FoundationPose no dispone de suficiente información geométrica para la correspondencia 2D-3D. En T-LESS, el 73% de los fallos corresponden a objetos con oclusión mayor al 60%. La segunda categoría son las simetrías continuas (objetos de revolución como cilindros), donde el método puede converger a una pose simétrica correcta según VSD pero con orientación de agarre incorrecta. La tercera son los objetos reflectantes o transparentes, donde el sensor de profundidad produce lecturas ruidosas o ausentes.</w:t>
      </w:r>
    </w:p>
    <w:p>
      <w:pPr>
        <w:spacing w:after="120" w:line="276"/>
        <w:ind w:firstLine="360"/>
        <w:jc w:val="both"/>
      </w:pPr>
      <w:r>
        <w:rPr>
          <w:rFonts w:ascii="Arial" w:cs="Arial" w:eastAsia="Arial" w:hAnsi="Arial"/>
          <w:color w:val="333333"/>
          <w:sz w:val="22"/>
          <w:szCs w:val="22"/>
        </w:rPr>
        <w:t xml:space="preserve">Estos fallos sugieren direcciones de mejora: integración de estrategias de oclusión explícita (e.g., CNOS, Nguyen et al., 2023), restricciones de simetría en la función de pérdida, y fusión con sensores táctiles para la verificación del agarre.</w:t>
      </w:r>
    </w:p>
    <w:p>
      <w:pPr>
        <w:pStyle w:val="Heading2"/>
        <w:spacing w:after="180" w:before="280"/>
      </w:pPr>
      <w:r>
        <w:rPr>
          <w:rFonts w:ascii="Arial" w:cs="Arial" w:eastAsia="Arial" w:hAnsi="Arial"/>
          <w:b/>
          <w:bCs/>
          <w:color w:val="0098CD"/>
          <w:sz w:val="26"/>
          <w:szCs w:val="26"/>
        </w:rPr>
        <w:t xml:space="preserve">6.8. Discusión</w:t>
      </w:r>
    </w:p>
    <w:p>
      <w:pPr>
        <w:spacing w:after="120" w:line="276"/>
        <w:ind w:firstLine="360"/>
        <w:jc w:val="both"/>
      </w:pPr>
      <w:r>
        <w:rPr>
          <w:rFonts w:ascii="Arial" w:cs="Arial" w:eastAsia="Arial" w:hAnsi="Arial"/>
          <w:color w:val="333333"/>
          <w:sz w:val="22"/>
          <w:szCs w:val="22"/>
        </w:rPr>
        <w:t xml:space="preserve">Los resultados experimentales validan las dos hipótesis centrales del trabajo. Primera, que la combinación de Transformers (atención cruzada 2D-3D) con información de profundidad supera a los métodos de regresión directa desde RGB en escenarios de objetos industriales sin textura. Segunda, que la formulación de la planificación de agarres como un proceso de difusión (SDE en reversa) produce trayectorias más robustas y diversas que los métodos heurísticos clásicos.</w:t>
      </w:r>
    </w:p>
    <w:p>
      <w:pPr>
        <w:spacing w:after="120" w:line="276"/>
        <w:ind w:firstLine="360"/>
        <w:jc w:val="both"/>
      </w:pPr>
      <w:r>
        <w:rPr>
          <w:rFonts w:ascii="Arial" w:cs="Arial" w:eastAsia="Arial" w:hAnsi="Arial"/>
          <w:color w:val="333333"/>
          <w:sz w:val="22"/>
          <w:szCs w:val="22"/>
        </w:rPr>
        <w:t xml:space="preserve">La mejora acumulada del pipeline completo (+17.7% en tasa de éxito) demuestra que la sinergia entre percepción y planificación basadas en deep learning supera la suma de las mejoras individuales. Una pose más precisa permite explorar un espacio de agarres más amplio, y una planificación más adaptativa puede compensar parcialmente los errores residuales de la pose.</w:t>
      </w:r>
    </w:p>
    <w:p>
      <w:pPr>
        <w:spacing w:after="120" w:line="276"/>
        <w:ind w:firstLine="360"/>
        <w:jc w:val="both"/>
      </w:pPr>
      <w:r>
        <w:rPr>
          <w:rFonts w:ascii="Arial" w:cs="Arial" w:eastAsia="Arial" w:hAnsi="Arial"/>
          <w:color w:val="333333"/>
          <w:sz w:val="22"/>
          <w:szCs w:val="22"/>
        </w:rPr>
        <w:t xml:space="preserve">Las limitaciones principales son: (1) la dependencia de GPU NVIDIA para inferencia en tiempo real de FoundationPose, que restringe el despliegue en hardware embebido; (2) la necesidad de modelos CAD para el modo model-based, aunque FoundationPose también soporta el modo model-free con imágenes de referencia; y (3) la evaluación en simulación, que no captura completamente la brecha sim-to-real presente en el despliegue físico.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CD"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8CD" w:sz="4" w:space="4"/>
      </w:pBdr>
      <w:jc w:val="right"/>
    </w:pPr>
    <w:r>
      <w:rPr>
        <w:rFonts w:ascii="Arial" w:cs="Arial" w:eastAsia="Arial" w:hAnsi="Arial"/>
        <w:i/>
        <w:iCs/>
        <w:color w:val="999999"/>
        <w:sz w:val="16"/>
        <w:szCs w:val="16"/>
      </w:rPr>
      <w:t xml:space="preserve">TFM — Pose 6-DoF para Bin Picking Robótico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6C8F"/>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0098C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2026-04-10T14:54:11.295Z</dcterms:created>
  <dcterms:modified xsi:type="dcterms:W3CDTF">2026-04-10T14:54:11.296Z</dcterms:modified>
</cp:coreProperties>
</file>

<file path=docProps/custom.xml><?xml version="1.0" encoding="utf-8"?>
<Properties xmlns="http://schemas.openxmlformats.org/officeDocument/2006/custom-properties" xmlns:vt="http://schemas.openxmlformats.org/officeDocument/2006/docPropsVTypes"/>
</file>