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360"/>
      </w:pPr>
      <w:r>
        <w:rPr>
          <w:rFonts w:ascii="Arial" w:cs="Arial" w:eastAsia="Arial" w:hAnsi="Arial"/>
          <w:b/>
          <w:bCs/>
          <w:color w:val="0098CD"/>
          <w:sz w:val="32"/>
          <w:szCs w:val="32"/>
        </w:rPr>
        <w:t xml:space="preserve">7. Conclusiones y Trabajo Futuro</w:t>
      </w:r>
    </w:p>
    <w:p>
      <w:pPr>
        <w:spacing w:after="200" w:before="0" w:line="276"/>
        <w:ind w:firstLine="720"/>
        <w:jc w:val="both"/>
      </w:pPr>
      <w:r>
        <w:rPr>
          <w:rFonts w:ascii="Arial" w:cs="Arial" w:eastAsia="Arial" w:hAnsi="Arial"/>
          <w:b w:val="false"/>
          <w:bCs w:val="false"/>
          <w:i w:val="false"/>
          <w:iCs w:val="false"/>
          <w:color w:val="333333"/>
          <w:sz w:val="24"/>
          <w:szCs w:val="24"/>
        </w:rPr>
        <w:t xml:space="preserve">Este capítulo final sintetiza las conclusiones del trabajo realizado, evalúa el cumplimiento de los objetivos planteados en el Capítulo 1, identifica las limitaciones del enfoque propuesto y traza las líneas de investigación futura.</w:t>
      </w:r>
    </w:p>
    <w:p>
      <w:pPr>
        <w:pStyle w:val="Heading2"/>
        <w:spacing w:after="200" w:before="280"/>
      </w:pPr>
      <w:r>
        <w:rPr>
          <w:rFonts w:ascii="Arial" w:cs="Arial" w:eastAsia="Arial" w:hAnsi="Arial"/>
          <w:b/>
          <w:bCs/>
          <w:color w:val="006C8F"/>
          <w:sz w:val="28"/>
          <w:szCs w:val="28"/>
        </w:rPr>
        <w:t xml:space="preserve">7.1. Conclusiones principales</w:t>
      </w:r>
    </w:p>
    <w:p>
      <w:pPr>
        <w:spacing w:after="200" w:before="0" w:line="276"/>
        <w:ind w:firstLine="720"/>
        <w:jc w:val="both"/>
      </w:pPr>
      <w:r>
        <w:rPr>
          <w:rFonts w:ascii="Arial" w:cs="Arial" w:eastAsia="Arial" w:hAnsi="Arial"/>
          <w:b w:val="false"/>
          <w:bCs w:val="false"/>
          <w:i w:val="false"/>
          <w:iCs w:val="false"/>
          <w:color w:val="333333"/>
          <w:sz w:val="24"/>
          <w:szCs w:val="24"/>
        </w:rPr>
        <w:t xml:space="preserve">El presente Trabajo Fin de Máster ha abordado el problema de la estimación de pose 6-DoF para bin picking robótico, proponiendo un pipeline que integra métodos basados en Transformers para la percepción y modelos de difusión para la planificación de agarres. A continuación se presentan las conclusiones principales:</w:t>
      </w:r>
    </w:p>
    <w:p>
      <w:pPr>
        <w:pStyle w:val="ListParagraph"/>
        <w:numPr>
          <w:ilvl w:val="0"/>
          <w:numId w:val="2"/>
        </w:numPr>
        <w:spacing w:after="160" w:line="276"/>
        <w:jc w:val="both"/>
      </w:pPr>
      <w:r>
        <w:rPr>
          <w:rFonts w:ascii="Arial" w:cs="Arial" w:eastAsia="Arial" w:hAnsi="Arial"/>
          <w:b w:val="false"/>
          <w:bCs w:val="false"/>
          <w:i w:val="false"/>
          <w:iCs w:val="false"/>
          <w:color w:val="333333"/>
          <w:sz w:val="24"/>
          <w:szCs w:val="24"/>
        </w:rPr>
        <w:t xml:space="preserve">La arquitectura de atención cruzada 2D-3D de FoundationPose supera consistentemente al baseline GDR-Net++ en las tres métricas BOP (VSD, MSSD, MSPD), con una ventaja media de +6.9 puntos porcentuales en T-LESS y +4.7 en YCB-Video. La mejora es mayor en objetos sin textura, confirmando que la fusión de información RGB y de profundidad mediante Transformers es especialmente beneficiosa cuando las características visuales son poco discriminativas.</w:t>
      </w:r>
    </w:p>
    <w:p>
      <w:pPr>
        <w:pStyle w:val="ListParagraph"/>
        <w:numPr>
          <w:ilvl w:val="0"/>
          <w:numId w:val="2"/>
        </w:numPr>
        <w:spacing w:after="160" w:line="276"/>
        <w:jc w:val="both"/>
      </w:pPr>
      <w:r>
        <w:rPr>
          <w:rFonts w:ascii="Arial" w:cs="Arial" w:eastAsia="Arial" w:hAnsi="Arial"/>
          <w:b w:val="false"/>
          <w:bCs w:val="false"/>
          <w:i w:val="false"/>
          <w:iCs w:val="false"/>
          <w:color w:val="333333"/>
          <w:sz w:val="24"/>
          <w:szCs w:val="24"/>
        </w:rPr>
        <w:t xml:space="preserve">La representación 6D continua de Zhou et al. (2019) demuestra ser superior a los cuaterniones para la estimación de pose en redes neuronales, con un error angular medio de 2.14° frente a 3.82°. La continuidad de la representación en SO(3) elimina las discontinuidades que afectan al entrenamiento por descenso de gradiente, lo que valida la implementación diferenciable realizada en src/utils/rotations.py.</w:t>
      </w:r>
    </w:p>
    <w:p>
      <w:pPr>
        <w:pStyle w:val="ListParagraph"/>
        <w:numPr>
          <w:ilvl w:val="0"/>
          <w:numId w:val="2"/>
        </w:numPr>
        <w:spacing w:after="160" w:line="276"/>
        <w:jc w:val="both"/>
      </w:pPr>
      <w:r>
        <w:rPr>
          <w:rFonts w:ascii="Arial" w:cs="Arial" w:eastAsia="Arial" w:hAnsi="Arial"/>
          <w:b w:val="false"/>
          <w:bCs w:val="false"/>
          <w:i w:val="false"/>
          <w:iCs w:val="false"/>
          <w:color w:val="333333"/>
          <w:sz w:val="24"/>
          <w:szCs w:val="24"/>
        </w:rPr>
        <w:t xml:space="preserve">La formulación de la planificación de agarres como un proceso de difusión (Diffusion Policy) alcanza una tasa de éxito del 87.3%, superando significativamente al baseline heurístico top-down (71.5%). La ventaja principal reside en la capacidad de generar trayectorias multimodales: ante un mismo objeto, el modelo produce múltiples soluciones válidas con diferentes ángulos de aproximación, incrementando la robustez ante restricciones geométricas del entorno.</w:t>
      </w:r>
    </w:p>
    <w:p>
      <w:pPr>
        <w:pStyle w:val="ListParagraph"/>
        <w:numPr>
          <w:ilvl w:val="0"/>
          <w:numId w:val="2"/>
        </w:numPr>
        <w:spacing w:after="160" w:line="276"/>
        <w:jc w:val="both"/>
      </w:pPr>
      <w:r>
        <w:rPr>
          <w:rFonts w:ascii="Arial" w:cs="Arial" w:eastAsia="Arial" w:hAnsi="Arial"/>
          <w:b w:val="false"/>
          <w:bCs w:val="false"/>
          <w:i w:val="false"/>
          <w:iCs w:val="false"/>
          <w:color w:val="333333"/>
          <w:sz w:val="24"/>
          <w:szCs w:val="24"/>
        </w:rPr>
        <w:t xml:space="preserve">El pipeline integrado (FoundationPose + Diffusion Policy + visual servoing PBVS) demuestra una sinergia significativa, con una tasa de éxito del 82.0% en la evaluación end-to-end en simulación, frente al 64.3% del pipeline baseline (GDR-Net + heurístico). La mejora de +17.7 puntos porcentuales confirma que una estimación de pose más precisa amplifica los beneficios de una planificación de agarres más adaptativa.</w:t>
      </w:r>
    </w:p>
    <w:p>
      <w:pPr>
        <w:pStyle w:val="ListParagraph"/>
        <w:numPr>
          <w:ilvl w:val="0"/>
          <w:numId w:val="2"/>
        </w:numPr>
        <w:spacing w:after="160" w:line="276"/>
        <w:jc w:val="both"/>
      </w:pPr>
      <w:r>
        <w:rPr>
          <w:rFonts w:ascii="Arial" w:cs="Arial" w:eastAsia="Arial" w:hAnsi="Arial"/>
          <w:b w:val="false"/>
          <w:bCs w:val="false"/>
          <w:i w:val="false"/>
          <w:iCs w:val="false"/>
          <w:color w:val="333333"/>
          <w:sz w:val="24"/>
          <w:szCs w:val="24"/>
        </w:rPr>
        <w:t xml:space="preserve">La formalización matemática sobre grupos de Lie SE(3)/SO(3) y procesos estocásticos de difusión (Capítulo 4) proporciona una base rigurosa que unifica la percepción y la planificación bajo un mismo marco geométrico. Las implementaciones en lie_groups.py y rotations.py, verificadas con 77 tests unitarios, aseguran la correcta manipulación de poses en todo el pipeline.</w:t>
      </w:r>
    </w:p>
    <w:p>
      <w:pPr>
        <w:pStyle w:val="Heading2"/>
        <w:spacing w:after="200" w:before="280"/>
      </w:pPr>
      <w:r>
        <w:rPr>
          <w:rFonts w:ascii="Arial" w:cs="Arial" w:eastAsia="Arial" w:hAnsi="Arial"/>
          <w:b/>
          <w:bCs/>
          <w:color w:val="006C8F"/>
          <w:sz w:val="28"/>
          <w:szCs w:val="28"/>
        </w:rPr>
        <w:t xml:space="preserve">7.2. Cumplimiento de objetivos</w:t>
      </w:r>
    </w:p>
    <w:p>
      <w:pPr>
        <w:spacing w:after="200" w:before="0" w:line="276"/>
        <w:ind w:firstLine="720"/>
        <w:jc w:val="both"/>
      </w:pPr>
      <w:r>
        <w:rPr>
          <w:rFonts w:ascii="Arial" w:cs="Arial" w:eastAsia="Arial" w:hAnsi="Arial"/>
          <w:b w:val="false"/>
          <w:bCs w:val="false"/>
          <w:i w:val="false"/>
          <w:iCs w:val="false"/>
          <w:color w:val="333333"/>
          <w:sz w:val="24"/>
          <w:szCs w:val="24"/>
        </w:rPr>
        <w:t xml:space="preserve">La Tabla 7.1 resume el grado de cumplimiento de cada objetivo planteado en el Capítulo 1, indicando los resultados obtenidos y el estado de cada uno.</w:t>
      </w:r>
    </w:p>
    <w:p>
      <w:pPr>
        <w:spacing w:after="120" w:before="200"/>
        <w:jc w:val="center"/>
      </w:pPr>
      <w:r>
        <w:rPr>
          <w:rFonts w:ascii="Arial" w:cs="Arial" w:eastAsia="Arial" w:hAnsi="Arial"/>
          <w:b/>
          <w:bCs/>
          <w:i/>
          <w:iCs/>
          <w:color w:val="333333"/>
          <w:sz w:val="22"/>
          <w:szCs w:val="22"/>
        </w:rPr>
        <w:t xml:space="preserve">Tabla 7.1. </w:t>
      </w:r>
      <w:r>
        <w:rPr>
          <w:rFonts w:ascii="Arial" w:cs="Arial" w:eastAsia="Arial" w:hAnsi="Arial"/>
          <w:i/>
          <w:iCs/>
          <w:color w:val="333333"/>
          <w:sz w:val="22"/>
          <w:szCs w:val="22"/>
        </w:rPr>
        <w:t xml:space="preserve">Cumplimiento de objetivos del TFM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660"/>
        <w:gridCol w:w="2500"/>
        <w:gridCol w:w="1500"/>
      </w:tblGrid>
      <w:tr>
        <w:tc>
          <w:tcPr>
            <w:tcW w:type="dxa" w:w="700"/>
            <w:tcBorders>
              <w:top w:val="single" w:color="CCCCCC" w:sz="1"/>
              <w:left w:val="single" w:color="CCCCCC" w:sz="1"/>
              <w:bottom w:val="single" w:color="CCCCCC" w:sz="1"/>
              <w:right w:val="single" w:color="CCCCCC" w:sz="1"/>
            </w:tcBorders>
            <w:shd w:fill="0098C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t>
            </w:r>
          </w:p>
        </w:tc>
        <w:tc>
          <w:tcPr>
            <w:tcW w:type="dxa" w:w="4660"/>
            <w:tcBorders>
              <w:top w:val="single" w:color="CCCCCC" w:sz="1"/>
              <w:left w:val="single" w:color="CCCCCC" w:sz="1"/>
              <w:bottom w:val="single" w:color="CCCCCC" w:sz="1"/>
              <w:right w:val="single" w:color="CCCCCC" w:sz="1"/>
            </w:tcBorders>
            <w:shd w:fill="0098C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Objetivo</w:t>
            </w:r>
          </w:p>
        </w:tc>
        <w:tc>
          <w:tcPr>
            <w:tcW w:type="dxa" w:w="2500"/>
            <w:tcBorders>
              <w:top w:val="single" w:color="CCCCCC" w:sz="1"/>
              <w:left w:val="single" w:color="CCCCCC" w:sz="1"/>
              <w:bottom w:val="single" w:color="CCCCCC" w:sz="1"/>
              <w:right w:val="single" w:color="CCCCCC" w:sz="1"/>
            </w:tcBorders>
            <w:shd w:fill="0098C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Resultado</w:t>
            </w:r>
          </w:p>
        </w:tc>
        <w:tc>
          <w:tcPr>
            <w:tcW w:type="dxa" w:w="1500"/>
            <w:tcBorders>
              <w:top w:val="single" w:color="CCCCCC" w:sz="1"/>
              <w:left w:val="single" w:color="CCCCCC" w:sz="1"/>
              <w:bottom w:val="single" w:color="CCCCCC" w:sz="1"/>
              <w:right w:val="single" w:color="CCCCCC" w:sz="1"/>
            </w:tcBorders>
            <w:shd w:fill="0098CD"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Estado</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2"/>
                <w:szCs w:val="22"/>
              </w:rPr>
              <w:t xml:space="preserve">OG</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Desarrollar un sistema de estimación de pose 6-DoF basado en Transformers y modelos de difusión para bin picking robótico</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Pipeline completo FoundationPose + Diffusion Policy validado en simulación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2"/>
                <w:szCs w:val="22"/>
              </w:rPr>
              <w:t xml:space="preserve">✅ Cumplido</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333333"/>
                <w:sz w:val="22"/>
                <w:szCs w:val="22"/>
              </w:rPr>
              <w:t xml:space="preserve">OE1</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Analizar el estado del arte en estimación de pose 6-DoF y planificación de agarres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Capítulos 2-3: revisión de 60+ referencias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333333"/>
                <w:sz w:val="22"/>
                <w:szCs w:val="22"/>
              </w:rPr>
              <w:t xml:space="preserve">✅ Cumplido</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2"/>
                <w:szCs w:val="22"/>
              </w:rPr>
              <w:t xml:space="preserve">OE2</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Formalizar las bases matemáticas en grupos de Lie SE(3)/SO(3) y procesos de difusión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Capítulo 4: marco en lie_groups.py, rotations.py con 77 tests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2"/>
                <w:szCs w:val="22"/>
              </w:rPr>
              <w:t xml:space="preserve">✅ Cumplido</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333333"/>
                <w:sz w:val="22"/>
                <w:szCs w:val="22"/>
              </w:rPr>
              <w:t xml:space="preserve">OE3</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Implementar y evaluar FoundationPose vs. GDR-Net++ en benchmarks BOP</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Capítulo 6: +6.9% media BOP en T-LESS, +4.7% en YCB-Video</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333333"/>
                <w:sz w:val="22"/>
                <w:szCs w:val="22"/>
              </w:rPr>
              <w:t xml:space="preserve">✅ Cumplido</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2"/>
                <w:szCs w:val="22"/>
              </w:rPr>
              <w:t xml:space="preserve">OE4</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Diseñar el módulo de planificación de agarres basado en Diffusion Policy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Capítulo 6: 87.3% éxito vs. 71.5% heurístico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2"/>
                <w:szCs w:val="22"/>
              </w:rPr>
              <w:t xml:space="preserve">✅ Cumplido</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333333"/>
                <w:sz w:val="22"/>
                <w:szCs w:val="22"/>
              </w:rPr>
              <w:t xml:space="preserve">OE5</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Integrar y validar el pipeline completo en simulación con CoppeliaSim + ROS 2</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2"/>
                <w:szCs w:val="22"/>
              </w:rPr>
              <w:t xml:space="preserve">Capítulo 6: 82.0% tasa de éxito E2E (+17.7 vs. baseline)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333333"/>
                <w:sz w:val="22"/>
                <w:szCs w:val="22"/>
              </w:rPr>
              <w:t xml:space="preserve">✅ Cumplido</w:t>
            </w:r>
          </w:p>
        </w:tc>
      </w:tr>
    </w:tbl>
    <w:p>
      <w:pPr>
        <w:spacing w:after="120" w:before="0" w:line="276"/>
        <w:jc w:val="both"/>
      </w:pPr>
      <w:r>
        <w:rPr>
          <w:rFonts w:ascii="Arial" w:cs="Arial" w:eastAsia="Arial" w:hAnsi="Arial"/>
          <w:b w:val="false"/>
          <w:bCs w:val="false"/>
          <w:i w:val="false"/>
          <w:iCs w:val="false"/>
          <w:color w:val="333333"/>
          <w:sz w:val="24"/>
          <w:szCs w:val="24"/>
        </w:rPr>
        <w:t xml:space="preserve"/>
      </w:r>
    </w:p>
    <w:p>
      <w:pPr>
        <w:spacing w:after="200" w:before="0" w:line="276"/>
        <w:ind w:firstLine="720"/>
        <w:jc w:val="both"/>
      </w:pPr>
      <w:r>
        <w:rPr>
          <w:rFonts w:ascii="Arial" w:cs="Arial" w:eastAsia="Arial" w:hAnsi="Arial"/>
          <w:b w:val="false"/>
          <w:bCs w:val="false"/>
          <w:i w:val="false"/>
          <w:iCs w:val="false"/>
          <w:color w:val="333333"/>
          <w:sz w:val="24"/>
          <w:szCs w:val="24"/>
        </w:rPr>
        <w:t xml:space="preserve">Todos los objetivos específicos (OE1–OE5) y el objetivo general (OG) han sido cumplidos satisfactoriamente. El repositorio de código, disponible en GitHub (Giocrisrai/pose6dof-transformers-diffusion), contiene la implementación completa, los scripts de evaluación y los notebooks reproducibles tanto para ejecución local como en Google Colab.</w:t>
      </w:r>
    </w:p>
    <w:p>
      <w:pPr>
        <w:pStyle w:val="Heading2"/>
        <w:spacing w:after="200" w:before="280"/>
      </w:pPr>
      <w:r>
        <w:rPr>
          <w:rFonts w:ascii="Arial" w:cs="Arial" w:eastAsia="Arial" w:hAnsi="Arial"/>
          <w:b/>
          <w:bCs/>
          <w:color w:val="006C8F"/>
          <w:sz w:val="28"/>
          <w:szCs w:val="28"/>
        </w:rPr>
        <w:t xml:space="preserve">7.3. Limitaciones</w:t>
      </w:r>
    </w:p>
    <w:p>
      <w:pPr>
        <w:spacing w:after="200" w:before="0" w:line="276"/>
        <w:ind w:firstLine="720"/>
        <w:jc w:val="both"/>
      </w:pPr>
      <w:r>
        <w:rPr>
          <w:rFonts w:ascii="Arial" w:cs="Arial" w:eastAsia="Arial" w:hAnsi="Arial"/>
          <w:b w:val="false"/>
          <w:bCs w:val="false"/>
          <w:i w:val="false"/>
          <w:iCs w:val="false"/>
          <w:color w:val="333333"/>
          <w:sz w:val="24"/>
          <w:szCs w:val="24"/>
        </w:rPr>
        <w:t xml:space="preserve">A pesar de los resultados positivos, el trabajo presenta limitaciones que deben considerarse:</w:t>
      </w:r>
    </w:p>
    <w:p>
      <w:pPr>
        <w:pStyle w:val="ListParagraph"/>
        <w:numPr>
          <w:ilvl w:val="0"/>
          <w:numId w:val="3"/>
        </w:numPr>
        <w:spacing w:after="120" w:line="276"/>
        <w:jc w:val="both"/>
      </w:pPr>
      <w:r>
        <w:rPr>
          <w:rFonts w:ascii="Arial" w:cs="Arial" w:eastAsia="Arial" w:hAnsi="Arial"/>
          <w:b/>
          <w:bCs/>
          <w:i w:val="false"/>
          <w:iCs w:val="false"/>
          <w:color w:val="333333"/>
          <w:sz w:val="24"/>
          <w:szCs w:val="24"/>
        </w:rPr>
        <w:t xml:space="preserve">Dependencia de GPU para inferencia en tiempo real. </w:t>
      </w:r>
      <w:r>
        <w:rPr>
          <w:rFonts w:ascii="Arial" w:cs="Arial" w:eastAsia="Arial" w:hAnsi="Arial"/>
          <w:b w:val="false"/>
          <w:bCs w:val="false"/>
          <w:i w:val="false"/>
          <w:iCs w:val="false"/>
          <w:color w:val="333333"/>
          <w:sz w:val="24"/>
          <w:szCs w:val="24"/>
        </w:rPr>
        <w:t xml:space="preserve">FoundationPose requiere una GPU NVIDIA con al menos 8 GB de VRAM para operar a frecuencias compatibles con ciclos de bin picking industriales (~1 Hz). Esto limita el despliegue en hardware embebido como los controladores de robots industriales estándar.</w:t>
      </w:r>
    </w:p>
    <w:p>
      <w:pPr>
        <w:pStyle w:val="ListParagraph"/>
        <w:numPr>
          <w:ilvl w:val="0"/>
          <w:numId w:val="3"/>
        </w:numPr>
        <w:spacing w:after="120" w:line="276"/>
        <w:jc w:val="both"/>
      </w:pPr>
      <w:r>
        <w:rPr>
          <w:rFonts w:ascii="Arial" w:cs="Arial" w:eastAsia="Arial" w:hAnsi="Arial"/>
          <w:b/>
          <w:bCs/>
          <w:i w:val="false"/>
          <w:iCs w:val="false"/>
          <w:color w:val="333333"/>
          <w:sz w:val="24"/>
          <w:szCs w:val="24"/>
        </w:rPr>
        <w:t xml:space="preserve">Evaluación en simulación. </w:t>
      </w:r>
      <w:r>
        <w:rPr>
          <w:rFonts w:ascii="Arial" w:cs="Arial" w:eastAsia="Arial" w:hAnsi="Arial"/>
          <w:b w:val="false"/>
          <w:bCs w:val="false"/>
          <w:i w:val="false"/>
          <w:iCs w:val="false"/>
          <w:color w:val="333333"/>
          <w:sz w:val="24"/>
          <w:szCs w:val="24"/>
        </w:rPr>
        <w:t xml:space="preserve">Aunque CoppeliaSim ofrece un entorno físicamente plausible, la brecha sim-to-real (domain gap) en texturas, iluminación y dinámica de contacto no se ha cuantificado experimentalmente. Los resultados en simulación pueden no transferirse directamente a un entorno físico.</w:t>
      </w:r>
    </w:p>
    <w:p>
      <w:pPr>
        <w:pStyle w:val="ListParagraph"/>
        <w:numPr>
          <w:ilvl w:val="0"/>
          <w:numId w:val="3"/>
        </w:numPr>
        <w:spacing w:after="120" w:line="276"/>
        <w:jc w:val="both"/>
      </w:pPr>
      <w:r>
        <w:rPr>
          <w:rFonts w:ascii="Arial" w:cs="Arial" w:eastAsia="Arial" w:hAnsi="Arial"/>
          <w:b/>
          <w:bCs/>
          <w:i w:val="false"/>
          <w:iCs w:val="false"/>
          <w:color w:val="333333"/>
          <w:sz w:val="24"/>
          <w:szCs w:val="24"/>
        </w:rPr>
        <w:t xml:space="preserve">Necesidad de modelos CAD. </w:t>
      </w:r>
      <w:r>
        <w:rPr>
          <w:rFonts w:ascii="Arial" w:cs="Arial" w:eastAsia="Arial" w:hAnsi="Arial"/>
          <w:b w:val="false"/>
          <w:bCs w:val="false"/>
          <w:i w:val="false"/>
          <w:iCs w:val="false"/>
          <w:color w:val="333333"/>
          <w:sz w:val="24"/>
          <w:szCs w:val="24"/>
        </w:rPr>
        <w:t xml:space="preserve">El modo principal de FoundationPose (model-based) requiere modelos CAD de los objetos. Aunque el método también soporta un modo model-free con imágenes de referencia, este modo no ha sido evaluado en el presente trabajo.</w:t>
      </w:r>
    </w:p>
    <w:p>
      <w:pPr>
        <w:pStyle w:val="ListParagraph"/>
        <w:numPr>
          <w:ilvl w:val="0"/>
          <w:numId w:val="3"/>
        </w:numPr>
        <w:spacing w:after="120" w:line="276"/>
        <w:jc w:val="both"/>
      </w:pPr>
      <w:r>
        <w:rPr>
          <w:rFonts w:ascii="Arial" w:cs="Arial" w:eastAsia="Arial" w:hAnsi="Arial"/>
          <w:b/>
          <w:bCs/>
          <w:i w:val="false"/>
          <w:iCs w:val="false"/>
          <w:color w:val="333333"/>
          <w:sz w:val="24"/>
          <w:szCs w:val="24"/>
        </w:rPr>
        <w:t xml:space="preserve">Oclusiones severas. </w:t>
      </w:r>
      <w:r>
        <w:rPr>
          <w:rFonts w:ascii="Arial" w:cs="Arial" w:eastAsia="Arial" w:hAnsi="Arial"/>
          <w:b w:val="false"/>
          <w:bCs w:val="false"/>
          <w:i w:val="false"/>
          <w:iCs w:val="false"/>
          <w:color w:val="333333"/>
          <w:sz w:val="24"/>
          <w:szCs w:val="24"/>
        </w:rPr>
        <w:t xml:space="preserve">Como se documentó en el análisis de casos de fallo (Sección 6.7), el pipeline presenta degradación significativa cuando la oclusión supera el 70%, un escenario frecuente en contenedores densamente llenos.</w:t>
      </w:r>
    </w:p>
    <w:p>
      <w:pPr>
        <w:pStyle w:val="ListParagraph"/>
        <w:numPr>
          <w:ilvl w:val="0"/>
          <w:numId w:val="3"/>
        </w:numPr>
        <w:spacing w:after="120" w:line="276"/>
        <w:jc w:val="both"/>
      </w:pPr>
      <w:r>
        <w:rPr>
          <w:rFonts w:ascii="Arial" w:cs="Arial" w:eastAsia="Arial" w:hAnsi="Arial"/>
          <w:b/>
          <w:bCs/>
          <w:i w:val="false"/>
          <w:iCs w:val="false"/>
          <w:color w:val="333333"/>
          <w:sz w:val="24"/>
          <w:szCs w:val="24"/>
        </w:rPr>
        <w:t xml:space="preserve">Datos de entrenamiento sintéticos para Diffusion Policy. </w:t>
      </w:r>
      <w:r>
        <w:rPr>
          <w:rFonts w:ascii="Arial" w:cs="Arial" w:eastAsia="Arial" w:hAnsi="Arial"/>
          <w:b w:val="false"/>
          <w:bCs w:val="false"/>
          <w:i w:val="false"/>
          <w:iCs w:val="false"/>
          <w:color w:val="333333"/>
          <w:sz w:val="24"/>
          <w:szCs w:val="24"/>
        </w:rPr>
        <w:t xml:space="preserve">El modelo de difusión ha sido entrenado exclusivamente con demostraciones generadas en simulación. La transferencia a datos reales requeriría técnicas de domain adaptation o fine-tuning con demostraciones reales.</w:t>
      </w:r>
    </w:p>
    <w:p>
      <w:pPr>
        <w:pStyle w:val="Heading2"/>
        <w:spacing w:after="200" w:before="280"/>
      </w:pPr>
      <w:r>
        <w:rPr>
          <w:rFonts w:ascii="Arial" w:cs="Arial" w:eastAsia="Arial" w:hAnsi="Arial"/>
          <w:b/>
          <w:bCs/>
          <w:color w:val="006C8F"/>
          <w:sz w:val="28"/>
          <w:szCs w:val="28"/>
        </w:rPr>
        <w:t xml:space="preserve">7.4. Líneas de trabajo futuro</w:t>
      </w:r>
    </w:p>
    <w:p>
      <w:pPr>
        <w:spacing w:after="200" w:before="0" w:line="276"/>
        <w:ind w:firstLine="720"/>
        <w:jc w:val="both"/>
      </w:pPr>
      <w:r>
        <w:rPr>
          <w:rFonts w:ascii="Arial" w:cs="Arial" w:eastAsia="Arial" w:hAnsi="Arial"/>
          <w:b w:val="false"/>
          <w:bCs w:val="false"/>
          <w:i w:val="false"/>
          <w:iCs w:val="false"/>
          <w:color w:val="333333"/>
          <w:sz w:val="24"/>
          <w:szCs w:val="24"/>
        </w:rPr>
        <w:t xml:space="preserve">Los resultados y limitaciones identificados sugieren múltiples direcciones de investigación futura:</w:t>
      </w:r>
    </w:p>
    <w:p>
      <w:pPr>
        <w:pStyle w:val="ListParagraph"/>
        <w:numPr>
          <w:ilvl w:val="0"/>
          <w:numId w:val="4"/>
        </w:numPr>
        <w:spacing w:after="160" w:line="276"/>
        <w:jc w:val="both"/>
      </w:pPr>
      <w:r>
        <w:rPr>
          <w:rFonts w:ascii="Arial" w:cs="Arial" w:eastAsia="Arial" w:hAnsi="Arial"/>
          <w:b w:val="false"/>
          <w:bCs w:val="false"/>
          <w:i w:val="false"/>
          <w:iCs w:val="false"/>
          <w:color w:val="333333"/>
          <w:sz w:val="24"/>
          <w:szCs w:val="24"/>
        </w:rPr>
        <w:t xml:space="preserve">Validación en hardware real. La primera extensión natural es desplegar el pipeline en un brazo robótico real (e.g., UR5e o Franka Emika Panda) con una cámara RGB-D (Intel RealSense D435). Esto permitirá cuantificar la brecha sim-to-real y ajustar los parámetros del controlador visual servoing.</w:t>
      </w:r>
    </w:p>
    <w:p>
      <w:pPr>
        <w:pStyle w:val="ListParagraph"/>
        <w:numPr>
          <w:ilvl w:val="0"/>
          <w:numId w:val="4"/>
        </w:numPr>
        <w:spacing w:after="160" w:line="276"/>
        <w:jc w:val="both"/>
      </w:pPr>
      <w:r>
        <w:rPr>
          <w:rFonts w:ascii="Arial" w:cs="Arial" w:eastAsia="Arial" w:hAnsi="Arial"/>
          <w:b w:val="false"/>
          <w:bCs w:val="false"/>
          <w:i w:val="false"/>
          <w:iCs w:val="false"/>
          <w:color w:val="333333"/>
          <w:sz w:val="24"/>
          <w:szCs w:val="24"/>
        </w:rPr>
        <w:t xml:space="preserve">Estimación de pose model-free. Explorar el modo model-free de FoundationPose, que utiliza un conjunto de imágenes de referencia en lugar de modelos CAD. Esto ampliaría la aplicabilidad del sistema a objetos nuevos sin necesidad de modelado 3D previo.</w:t>
      </w:r>
    </w:p>
    <w:p>
      <w:pPr>
        <w:pStyle w:val="ListParagraph"/>
        <w:numPr>
          <w:ilvl w:val="0"/>
          <w:numId w:val="4"/>
        </w:numPr>
        <w:spacing w:after="160" w:line="276"/>
        <w:jc w:val="both"/>
      </w:pPr>
      <w:r>
        <w:rPr>
          <w:rFonts w:ascii="Arial" w:cs="Arial" w:eastAsia="Arial" w:hAnsi="Arial"/>
          <w:b w:val="false"/>
          <w:bCs w:val="false"/>
          <w:i w:val="false"/>
          <w:iCs w:val="false"/>
          <w:color w:val="333333"/>
          <w:sz w:val="24"/>
          <w:szCs w:val="24"/>
        </w:rPr>
        <w:t xml:space="preserve">Integración de información táctil. Incorporar sensores táctiles (e.g., GelSight) en el gripper para mejorar la verificación de agarres y la detección de deslizamiento. La fusión visión-tacto podría mejorar la robustez en escenarios con oclusiones severas.</w:t>
      </w:r>
    </w:p>
    <w:p>
      <w:pPr>
        <w:pStyle w:val="ListParagraph"/>
        <w:numPr>
          <w:ilvl w:val="0"/>
          <w:numId w:val="4"/>
        </w:numPr>
        <w:spacing w:after="160" w:line="276"/>
        <w:jc w:val="both"/>
      </w:pPr>
      <w:r>
        <w:rPr>
          <w:rFonts w:ascii="Arial" w:cs="Arial" w:eastAsia="Arial" w:hAnsi="Arial"/>
          <w:b w:val="false"/>
          <w:bCs w:val="false"/>
          <w:i w:val="false"/>
          <w:iCs w:val="false"/>
          <w:color w:val="333333"/>
          <w:sz w:val="24"/>
          <w:szCs w:val="24"/>
        </w:rPr>
        <w:t xml:space="preserve">Manejo explícito de oclusiones. Investigar la integración de módulos de razonamiento de oclusiones (e.g., CNOS de Nguyen et al., 2023) que estimen la parte visible del objeto y adapten la estrategia de agarre en función de la geometría accesible.</w:t>
      </w:r>
    </w:p>
    <w:p>
      <w:pPr>
        <w:pStyle w:val="ListParagraph"/>
        <w:numPr>
          <w:ilvl w:val="0"/>
          <w:numId w:val="4"/>
        </w:numPr>
        <w:spacing w:after="160" w:line="276"/>
        <w:jc w:val="both"/>
      </w:pPr>
      <w:r>
        <w:rPr>
          <w:rFonts w:ascii="Arial" w:cs="Arial" w:eastAsia="Arial" w:hAnsi="Arial"/>
          <w:b w:val="false"/>
          <w:bCs w:val="false"/>
          <w:i w:val="false"/>
          <w:iCs w:val="false"/>
          <w:color w:val="333333"/>
          <w:sz w:val="24"/>
          <w:szCs w:val="24"/>
        </w:rPr>
        <w:t xml:space="preserve">Aprendizaje continuo. Implementar un sistema de aprendizaje en línea que actualice el modelo de difusión con las experiencias de agarre exitosas y fallidas en producción, mejorando progresivamente la tasa de éxito sin reentrenamiento completo.</w:t>
      </w:r>
    </w:p>
    <w:p>
      <w:pPr>
        <w:pStyle w:val="ListParagraph"/>
        <w:numPr>
          <w:ilvl w:val="0"/>
          <w:numId w:val="4"/>
        </w:numPr>
        <w:spacing w:after="160" w:line="276"/>
        <w:jc w:val="both"/>
      </w:pPr>
      <w:r>
        <w:rPr>
          <w:rFonts w:ascii="Arial" w:cs="Arial" w:eastAsia="Arial" w:hAnsi="Arial"/>
          <w:b w:val="false"/>
          <w:bCs w:val="false"/>
          <w:i w:val="false"/>
          <w:iCs w:val="false"/>
          <w:color w:val="333333"/>
          <w:sz w:val="24"/>
          <w:szCs w:val="24"/>
        </w:rPr>
        <w:t xml:space="preserve">Optimización para hardware embebido. Explorar técnicas de destilación de conocimiento y cuantización (INT8/FP16) para reducir los requisitos computacionales de FoundationPose, permitiendo su ejecución en GPUs embebidas como NVIDIA Jetson Orin.</w:t>
      </w:r>
    </w:p>
    <w:p>
      <w:pPr>
        <w:pStyle w:val="ListParagraph"/>
        <w:numPr>
          <w:ilvl w:val="0"/>
          <w:numId w:val="4"/>
        </w:numPr>
        <w:spacing w:after="160" w:line="276"/>
        <w:jc w:val="both"/>
      </w:pPr>
      <w:r>
        <w:rPr>
          <w:rFonts w:ascii="Arial" w:cs="Arial" w:eastAsia="Arial" w:hAnsi="Arial"/>
          <w:b w:val="false"/>
          <w:bCs w:val="false"/>
          <w:i w:val="false"/>
          <w:iCs w:val="false"/>
          <w:color w:val="333333"/>
          <w:sz w:val="24"/>
          <w:szCs w:val="24"/>
        </w:rPr>
        <w:t xml:space="preserve">Extensión a manipulación bi-manual. Generalizar el pipeline a escenarios con dos brazos robóticos cooperativos, donde la planificación de agarres debe considerar la coordinación entre ambos manipuladores y la redistribución de objetos en el contenedor.</w:t>
      </w:r>
    </w:p>
    <w:p>
      <w:pPr>
        <w:pStyle w:val="Heading2"/>
        <w:spacing w:after="200" w:before="280"/>
      </w:pPr>
      <w:r>
        <w:rPr>
          <w:rFonts w:ascii="Arial" w:cs="Arial" w:eastAsia="Arial" w:hAnsi="Arial"/>
          <w:b/>
          <w:bCs/>
          <w:color w:val="006C8F"/>
          <w:sz w:val="28"/>
          <w:szCs w:val="28"/>
        </w:rPr>
        <w:t xml:space="preserve">7.5. Reflexión final</w:t>
      </w:r>
    </w:p>
    <w:p>
      <w:pPr>
        <w:spacing w:after="200" w:before="0" w:line="276"/>
        <w:ind w:firstLine="720"/>
        <w:jc w:val="both"/>
      </w:pPr>
      <w:r>
        <w:rPr>
          <w:rFonts w:ascii="Arial" w:cs="Arial" w:eastAsia="Arial" w:hAnsi="Arial"/>
          <w:b w:val="false"/>
          <w:bCs w:val="false"/>
          <w:i w:val="false"/>
          <w:iCs w:val="false"/>
          <w:color w:val="333333"/>
          <w:sz w:val="24"/>
          <w:szCs w:val="24"/>
        </w:rPr>
        <w:t xml:space="preserve">Este trabajo demuestra que la convergencia de Transformers y modelos generativos de difusión ofrece un paradigma prometedor para la manipulación robótica autónoma. La capacidad de los Transformers para fusionar múltiples modalidades sensoriales (RGB, profundidad, modelos 3D) mediante atención cruzada, combinada con la habilidad de los modelos de difusión para capturar distribuciones multimodales de trayectorias, abre la puerta a sistemas de bin picking más robustos y adaptables que los enfoques clásicos.</w:t>
      </w:r>
    </w:p>
    <w:p>
      <w:pPr>
        <w:spacing w:after="200" w:before="0" w:line="276"/>
        <w:ind w:firstLine="720"/>
        <w:jc w:val="both"/>
      </w:pPr>
      <w:r>
        <w:rPr>
          <w:rFonts w:ascii="Arial" w:cs="Arial" w:eastAsia="Arial" w:hAnsi="Arial"/>
          <w:b w:val="false"/>
          <w:bCs w:val="false"/>
          <w:i w:val="false"/>
          <w:iCs w:val="false"/>
          <w:color w:val="333333"/>
          <w:sz w:val="24"/>
          <w:szCs w:val="24"/>
        </w:rPr>
        <w:t xml:space="preserve">La formalización matemática rigurosa sobre grupos de Lie y procesos estocásticos no solo proporciona una base teórica sólida, sino que también guía decisiones prácticas de diseño, como la elección de la representación de rotación o la parametrización del scheduler de difusión. Esta conexión entre teoría y práctica es, en nuestra opinión, una de las contribuciones principales del trabajo.</w:t>
      </w:r>
    </w:p>
    <w:p>
      <w:pPr>
        <w:spacing w:after="200" w:before="0" w:line="276"/>
        <w:ind w:firstLine="720"/>
        <w:jc w:val="both"/>
      </w:pPr>
      <w:r>
        <w:rPr>
          <w:rFonts w:ascii="Arial" w:cs="Arial" w:eastAsia="Arial" w:hAnsi="Arial"/>
          <w:b w:val="false"/>
          <w:bCs w:val="false"/>
          <w:i w:val="false"/>
          <w:iCs w:val="false"/>
          <w:color w:val="333333"/>
          <w:sz w:val="24"/>
          <w:szCs w:val="24"/>
        </w:rPr>
        <w:t xml:space="preserve">De cara al futuro inmediato, la validación en hardware real constituye el paso natural para cerrar el ciclo de investigación y demostrar la viabilidad industrial del enfoque propuesto. Los avances recientes en modelos de fundación para robótica (RT-2, Octo, π0) sugieren que la integración de percepción y acción en modelos end-to-end será el próximo gran salto en manipulación robótica, y el pipeline desarrollado en este trabajo sienta las bases para explorar esa dirección.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6C8F" w:sz="4" w:space="1"/>
      </w:pBdr>
      <w:jc w:val="center"/>
    </w:pPr>
    <w:r>
      <w:rPr>
        <w:rFonts w:ascii="Arial" w:cs="Arial" w:eastAsia="Arial" w:hAnsi="Arial"/>
        <w:color w:val="006C8F"/>
        <w:sz w:val="18"/>
        <w:szCs w:val="18"/>
      </w:rPr>
      <w:t xml:space="preserve">Página </w:t>
    </w:r>
    <w:r>
      <w:rPr>
        <w:rFonts w:ascii="Arial" w:cs="Arial" w:eastAsia="Arial" w:hAnsi="Arial"/>
        <w:color w:val="006C8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98CD" w:sz="6" w:space="1"/>
      </w:pBdr>
      <w:jc w:val="right"/>
    </w:pPr>
    <w:r>
      <w:rPr>
        <w:rFonts w:ascii="Arial" w:cs="Arial" w:eastAsia="Arial" w:hAnsi="Arial"/>
        <w:i/>
        <w:iCs/>
        <w:color w:val="006C8F"/>
        <w:sz w:val="18"/>
        <w:szCs w:val="18"/>
      </w:rPr>
      <w:t xml:space="preserve">TFM — Pose 6-DoF para Bin Picking Robótico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0098CD"/>
      <w:sz w:val="32"/>
      <w:szCs w:val="32"/>
    </w:rPr>
  </w:style>
  <w:style w:type="paragraph" w:styleId="Heading2">
    <w:name w:val="Heading 2"/>
    <w:basedOn w:val="Normal"/>
    <w:next w:val="Normal"/>
    <w:qFormat/>
    <w:pPr>
      <w:spacing w:after="200" w:before="280"/>
      <w:outlineLvl w:val="1"/>
    </w:pPr>
    <w:rPr>
      <w:rFonts w:ascii="Arial" w:cs="Arial" w:eastAsia="Arial" w:hAnsi="Arial"/>
      <w:b/>
      <w:bCs/>
      <w:color w:val="006C8F"/>
      <w:sz w:val="28"/>
      <w:szCs w:val="28"/>
    </w:rPr>
  </w:style>
  <w:style w:type="paragraph" w:styleId="Heading3">
    <w:name w:val="Heading 3"/>
    <w:basedOn w:val="Normal"/>
    <w:next w:val="Normal"/>
    <w:qFormat/>
    <w:pPr>
      <w:spacing w:after="160" w:before="200"/>
      <w:outlineLvl w:val="2"/>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2026-04-10T14:56:45.632Z</dcterms:created>
  <dcterms:modified xsi:type="dcterms:W3CDTF">2026-04-10T14:56:45.633Z</dcterms:modified>
</cp:coreProperties>
</file>

<file path=docProps/custom.xml><?xml version="1.0" encoding="utf-8"?>
<Properties xmlns="http://schemas.openxmlformats.org/officeDocument/2006/custom-properties" xmlns:vt="http://schemas.openxmlformats.org/officeDocument/2006/docPropsVTypes"/>
</file>