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006C8F"/>
          <w:sz w:val="32"/>
          <w:szCs w:val="32"/>
        </w:rPr>
        <w:t xml:space="preserve">5. Diseño del Pipeline y Arquitectura del Sistema</w:t>
      </w:r>
    </w:p>
    <w:p>
      <w:pPr>
        <w:spacing w:after="120" w:line="276"/>
        <w:ind w:firstLine="360"/>
        <w:jc w:val="both"/>
      </w:pPr>
      <w:r>
        <w:rPr>
          <w:rFonts w:ascii="Arial" w:cs="Arial" w:eastAsia="Arial" w:hAnsi="Arial"/>
          <w:color w:val="333333"/>
          <w:sz w:val="22"/>
          <w:szCs w:val="22"/>
        </w:rPr>
        <w:t xml:space="preserve">Este capítulo describe el diseño e implementación del pipeline de </w:t>
      </w:r>
      <w:r>
        <w:rPr>
          <w:rFonts w:ascii="Arial" w:cs="Arial" w:eastAsia="Arial" w:hAnsi="Arial"/>
          <w:i/>
          <w:iCs/>
          <w:color w:val="333333"/>
          <w:sz w:val="22"/>
          <w:szCs w:val="22"/>
        </w:rPr>
        <w:t xml:space="preserve">bin picking</w:t>
      </w:r>
      <w:r>
        <w:rPr>
          <w:rFonts w:ascii="Arial" w:cs="Arial" w:eastAsia="Arial" w:hAnsi="Arial"/>
          <w:color w:val="333333"/>
          <w:sz w:val="22"/>
          <w:szCs w:val="22"/>
        </w:rPr>
        <w:t xml:space="preserve"> propuesto, que integra estimación de pose 6-DoF mediante FoundationPose, generación de trayectorias de agarre mediante Diffusion Policy, y ejecución en simulación con CoppeliaSim y ROS 2. Se detallan las decisiones arquitectónicas, los módulos del sistema, y el flujo de datos desde la captura de imagen hasta la ejecución del agarre.</w:t>
      </w:r>
    </w:p>
    <w:p>
      <w:pPr>
        <w:pStyle w:val="Heading2"/>
        <w:spacing w:after="160" w:before="280"/>
      </w:pPr>
      <w:r>
        <w:rPr>
          <w:rFonts w:ascii="Arial" w:cs="Arial" w:eastAsia="Arial" w:hAnsi="Arial"/>
          <w:b/>
          <w:bCs/>
          <w:color w:val="0098CD"/>
          <w:sz w:val="26"/>
          <w:szCs w:val="26"/>
        </w:rPr>
        <w:t xml:space="preserve">5.1. Visión general del sistema</w:t>
      </w:r>
    </w:p>
    <w:p>
      <w:pPr>
        <w:spacing w:after="120" w:line="276"/>
        <w:ind w:firstLine="360"/>
        <w:jc w:val="both"/>
      </w:pPr>
      <w:r>
        <w:rPr>
          <w:rFonts w:ascii="Arial" w:cs="Arial" w:eastAsia="Arial" w:hAnsi="Arial"/>
          <w:color w:val="333333"/>
          <w:sz w:val="22"/>
          <w:szCs w:val="22"/>
        </w:rPr>
        <w:t xml:space="preserve">El pipeline sigue una arquitectura modular de percepción-planificación-acción, organizada en cuatro etapas secuenciales: (1) captura y preprocesamiento de la imagen RGB-D, (2) detección y estimación de pose 6-DoF del objeto objetivo, (3) generación de trayectorias de agarre, y (4) ejecución del agarre mediante control visual y planificación de movimiento. Esta separación permite evaluar y sustituir componentes individuales sin modificar el pipeline completo, facilitando la comparación entre métodos (e.g., FoundationPose vs. GDR-Net como </w:t>
      </w:r>
      <w:r>
        <w:rPr>
          <w:rFonts w:ascii="Arial" w:cs="Arial" w:eastAsia="Arial" w:hAnsi="Arial"/>
          <w:i/>
          <w:iCs/>
          <w:color w:val="333333"/>
          <w:sz w:val="22"/>
          <w:szCs w:val="22"/>
        </w:rPr>
        <w:t xml:space="preserve">baseline</w:t>
      </w:r>
      <w:r>
        <w:rPr>
          <w:rFonts w:ascii="Arial" w:cs="Arial" w:eastAsia="Arial" w:hAnsi="Arial"/>
          <w:color w:val="333333"/>
          <w:sz w:val="22"/>
          <w:szCs w:val="22"/>
        </w:rPr>
        <w:t xml:space="preserve">).</w:t>
      </w:r>
    </w:p>
    <w:p>
      <w:pPr>
        <w:spacing w:after="120" w:line="276"/>
        <w:ind w:firstLine="360"/>
        <w:jc w:val="both"/>
      </w:pPr>
      <w:r>
        <w:rPr>
          <w:rFonts w:ascii="Arial" w:cs="Arial" w:eastAsia="Arial" w:hAnsi="Arial"/>
          <w:color w:val="333333"/>
          <w:sz w:val="22"/>
          <w:szCs w:val="22"/>
        </w:rPr>
        <w:t xml:space="preserve">La implementación se encuentra en el repositorio GitHub del proyecto, organizada en los siguientes módulos principales:</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187"/>
      </w:tblGrid>
      <w:tr>
        <w:tc>
          <w:tcPr>
            <w:tcW w:type="dxa" w:w="2200"/>
            <w:tcBorders>
              <w:top w:val="single" w:color="CCCCCC" w:sz="1"/>
              <w:left w:val="single" w:color="CCCCCC" w:sz="1"/>
              <w:bottom w:val="single" w:color="CCCCCC" w:sz="1"/>
              <w:right w:val="single" w:color="CCCCCC" w:sz="1"/>
            </w:tcBorders>
            <w:shd w:fill="006C8F" w:val="clear"/>
            <w:tcMar>
              <w:top w:type="dxa" w:w="60"/>
              <w:left w:type="dxa" w:w="100"/>
              <w:bottom w:type="dxa" w:w="60"/>
              <w:right w:type="dxa" w:w="100"/>
            </w:tcMar>
          </w:tcPr>
          <w:p>
            <w:r>
              <w:rPr>
                <w:rFonts w:ascii="Arial" w:cs="Arial" w:eastAsia="Arial" w:hAnsi="Arial"/>
                <w:b/>
                <w:bCs/>
                <w:color w:val="FFFFFF"/>
                <w:sz w:val="20"/>
                <w:szCs w:val="20"/>
              </w:rPr>
              <w:t xml:space="preserve">Módulo</w:t>
            </w:r>
          </w:p>
        </w:tc>
        <w:tc>
          <w:tcPr>
            <w:tcW w:type="dxa" w:w="2400"/>
            <w:tcBorders>
              <w:top w:val="single" w:color="CCCCCC" w:sz="1"/>
              <w:left w:val="single" w:color="CCCCCC" w:sz="1"/>
              <w:bottom w:val="single" w:color="CCCCCC" w:sz="1"/>
              <w:right w:val="single" w:color="CCCCCC" w:sz="1"/>
            </w:tcBorders>
            <w:shd w:fill="006C8F" w:val="clear"/>
            <w:tcMar>
              <w:top w:type="dxa" w:w="60"/>
              <w:left w:type="dxa" w:w="100"/>
              <w:bottom w:type="dxa" w:w="60"/>
              <w:right w:type="dxa" w:w="100"/>
            </w:tcMar>
          </w:tcPr>
          <w:p>
            <w:r>
              <w:rPr>
                <w:rFonts w:ascii="Arial" w:cs="Arial" w:eastAsia="Arial" w:hAnsi="Arial"/>
                <w:b/>
                <w:bCs/>
                <w:color w:val="FFFFFF"/>
                <w:sz w:val="20"/>
                <w:szCs w:val="20"/>
              </w:rPr>
              <w:t xml:space="preserve">Ubicación</w:t>
            </w:r>
          </w:p>
        </w:tc>
        <w:tc>
          <w:tcPr>
            <w:tcW w:type="dxa" w:w="4187"/>
            <w:tcBorders>
              <w:top w:val="single" w:color="CCCCCC" w:sz="1"/>
              <w:left w:val="single" w:color="CCCCCC" w:sz="1"/>
              <w:bottom w:val="single" w:color="CCCCCC" w:sz="1"/>
              <w:right w:val="single" w:color="CCCCCC" w:sz="1"/>
            </w:tcBorders>
            <w:shd w:fill="006C8F" w:val="clear"/>
            <w:tcMar>
              <w:top w:type="dxa" w:w="60"/>
              <w:left w:type="dxa" w:w="100"/>
              <w:bottom w:type="dxa" w:w="60"/>
              <w:right w:type="dxa" w:w="100"/>
            </w:tcMar>
          </w:tcPr>
          <w:p>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Percepción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20"/>
                <w:szCs w:val="20"/>
              </w:rPr>
              <w:t xml:space="preserve">src/perception/</w:t>
            </w:r>
          </w:p>
        </w:tc>
        <w:tc>
          <w:tcPr>
            <w:tcW w:type="dxa" w:w="4187"/>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FoundationPose, GDR-Net++, detector 2D</w:t>
            </w:r>
          </w:p>
        </w:tc>
      </w:tr>
      <w:tr>
        <w:tc>
          <w:tcPr>
            <w:tcW w:type="dxa" w:w="22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b/>
                <w:bCs/>
                <w:color w:val="333333"/>
                <w:sz w:val="20"/>
                <w:szCs w:val="20"/>
                <w:shd/>
              </w:rPr>
              <w:t xml:space="preserve">Planificación</w:t>
            </w:r>
          </w:p>
        </w:tc>
        <w:tc>
          <w:tcPr>
            <w:tcW w:type="dxa" w:w="2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Courier New" w:cs="Courier New" w:eastAsia="Courier New" w:hAnsi="Courier New"/>
                <w:color w:val="333333"/>
                <w:sz w:val="20"/>
                <w:szCs w:val="20"/>
                <w:shd/>
              </w:rPr>
              <w:t xml:space="preserve">src/planning/</w:t>
            </w:r>
          </w:p>
        </w:tc>
        <w:tc>
          <w:tcPr>
            <w:tcW w:type="dxa" w:w="4187"/>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color w:val="333333"/>
                <w:sz w:val="20"/>
                <w:szCs w:val="20"/>
                <w:shd/>
              </w:rPr>
              <w:t xml:space="preserve">Diffusion Policy, muestreo de agarres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Simulación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20"/>
                <w:szCs w:val="20"/>
              </w:rPr>
              <w:t xml:space="preserve">src/simulation/</w:t>
            </w:r>
          </w:p>
        </w:tc>
        <w:tc>
          <w:tcPr>
            <w:tcW w:type="dxa" w:w="4187"/>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CoppeliaSim bridge, visual servoing, ROS 2</w:t>
            </w:r>
          </w:p>
        </w:tc>
      </w:tr>
      <w:tr>
        <w:tc>
          <w:tcPr>
            <w:tcW w:type="dxa" w:w="22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b/>
                <w:bCs/>
                <w:color w:val="333333"/>
                <w:sz w:val="20"/>
                <w:szCs w:val="20"/>
                <w:shd/>
              </w:rPr>
              <w:t xml:space="preserve">Utilidades</w:t>
            </w:r>
          </w:p>
        </w:tc>
        <w:tc>
          <w:tcPr>
            <w:tcW w:type="dxa" w:w="24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Courier New" w:cs="Courier New" w:eastAsia="Courier New" w:hAnsi="Courier New"/>
                <w:color w:val="333333"/>
                <w:sz w:val="20"/>
                <w:szCs w:val="20"/>
                <w:shd/>
              </w:rPr>
              <w:t xml:space="preserve">src/utils/</w:t>
            </w:r>
          </w:p>
        </w:tc>
        <w:tc>
          <w:tcPr>
            <w:tcW w:type="dxa" w:w="4187"/>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color w:val="333333"/>
                <w:sz w:val="20"/>
                <w:szCs w:val="20"/>
                <w:shd/>
              </w:rPr>
              <w:t xml:space="preserve">Grupos de Lie, rotaciones, métricas BOP, visualización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Orquestador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333333"/>
                <w:sz w:val="20"/>
                <w:szCs w:val="20"/>
              </w:rPr>
              <w:t xml:space="preserve">src/pipeline.py</w:t>
            </w:r>
          </w:p>
        </w:tc>
        <w:tc>
          <w:tcPr>
            <w:tcW w:type="dxa" w:w="4187"/>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Pipeline end-to-end con configuración Hydra</w:t>
            </w:r>
          </w:p>
        </w:tc>
      </w:tr>
    </w:tbl>
    <w:p>
      <w:pPr>
        <w:spacing w:after="120" w:line="276"/>
        <w:jc w:val="both"/>
      </w:pPr>
      <w:r>
        <w:rPr>
          <w:rFonts w:ascii="Arial" w:cs="Arial" w:eastAsia="Arial" w:hAnsi="Arial"/>
          <w:color w:val="333333"/>
          <w:sz w:val="22"/>
          <w:szCs w:val="22"/>
        </w:rPr>
        <w:t xml:space="preserve"/>
      </w:r>
    </w:p>
    <w:p>
      <w:pPr>
        <w:pStyle w:val="Heading2"/>
        <w:spacing w:after="160" w:before="280"/>
      </w:pPr>
      <w:r>
        <w:rPr>
          <w:rFonts w:ascii="Arial" w:cs="Arial" w:eastAsia="Arial" w:hAnsi="Arial"/>
          <w:b/>
          <w:bCs/>
          <w:color w:val="0098CD"/>
          <w:sz w:val="26"/>
          <w:szCs w:val="26"/>
        </w:rPr>
        <w:t xml:space="preserve">5.2. Módulo de percepción: estimación de pose 6-DoF</w:t>
      </w:r>
    </w:p>
    <w:p>
      <w:pPr>
        <w:pStyle w:val="Heading3"/>
        <w:spacing w:after="120" w:before="200"/>
      </w:pPr>
      <w:r>
        <w:rPr>
          <w:rFonts w:ascii="Arial" w:cs="Arial" w:eastAsia="Arial" w:hAnsi="Arial"/>
          <w:b/>
          <w:bCs/>
          <w:color w:val="333333"/>
          <w:sz w:val="22"/>
          <w:szCs w:val="22"/>
        </w:rPr>
        <w:t xml:space="preserve">5.2.1. Detección y segmentación de objetos</w:t>
      </w:r>
    </w:p>
    <w:p>
      <w:pPr>
        <w:spacing w:after="120" w:line="276"/>
        <w:ind w:firstLine="360"/>
        <w:jc w:val="both"/>
      </w:pPr>
      <w:r>
        <w:rPr>
          <w:rFonts w:ascii="Arial" w:cs="Arial" w:eastAsia="Arial" w:hAnsi="Arial"/>
          <w:color w:val="333333"/>
          <w:sz w:val="22"/>
          <w:szCs w:val="22"/>
        </w:rPr>
        <w:t xml:space="preserve">La primera etapa del pipeline identifica los objetos presentes en la escena. Se implementan dos estrategias de detección en </w:t>
      </w:r>
      <w:r>
        <w:rPr>
          <w:rFonts w:ascii="Arial" w:cs="Arial" w:eastAsia="Arial" w:hAnsi="Arial"/>
          <w:i/>
          <w:iCs/>
          <w:color w:val="333333"/>
          <w:sz w:val="22"/>
          <w:szCs w:val="22"/>
        </w:rPr>
        <w:t xml:space="preserve">src/perception/detector.py</w:t>
      </w:r>
      <w:r>
        <w:rPr>
          <w:rFonts w:ascii="Arial" w:cs="Arial" w:eastAsia="Arial" w:hAnsi="Arial"/>
          <w:color w:val="333333"/>
          <w:sz w:val="22"/>
          <w:szCs w:val="22"/>
        </w:rPr>
        <w:t xml:space="preserve">: (a) GTDetector, que utiliza las anotaciones ground truth del dataset BOP para evaluación controlada, y (b) SimpleSegmentor, que realiza segmentación basada en profundidad para escenarios sin anotaciones disponibles. El SimpleSegmentor aplica un umbral adaptativo al mapa de profundidad para separar objetos del fondo, seguido de análisis de componentes conexas para identificar instancias individuales.</w:t>
      </w:r>
    </w:p>
    <w:p>
      <w:pPr>
        <w:spacing w:after="120" w:line="276"/>
        <w:ind w:firstLine="360"/>
        <w:jc w:val="both"/>
      </w:pPr>
      <w:r>
        <w:rPr>
          <w:rFonts w:ascii="Arial" w:cs="Arial" w:eastAsia="Arial" w:hAnsi="Arial"/>
          <w:color w:val="333333"/>
          <w:sz w:val="22"/>
          <w:szCs w:val="22"/>
        </w:rPr>
        <w:t xml:space="preserve">Para cada objeto detectado, se genera una máscara binaria y un bounding box, que alimentan al módulo de estimación de pose. En el pipeline completo, esta detección se sustituiría por métodos más robustos como CNOS (Nguyen et al., 2023) o Segment Anything (Kirillov et al., 2023).</w:t>
      </w:r>
    </w:p>
    <w:p>
      <w:pPr>
        <w:pStyle w:val="Heading3"/>
        <w:spacing w:after="120" w:before="200"/>
      </w:pPr>
      <w:r>
        <w:rPr>
          <w:rFonts w:ascii="Arial" w:cs="Arial" w:eastAsia="Arial" w:hAnsi="Arial"/>
          <w:b/>
          <w:bCs/>
          <w:color w:val="333333"/>
          <w:sz w:val="22"/>
          <w:szCs w:val="22"/>
        </w:rPr>
        <w:t xml:space="preserve">5.2.2. FoundationPose: estimación y refinamiento</w:t>
      </w:r>
    </w:p>
    <w:p>
      <w:pPr>
        <w:spacing w:after="120" w:line="276"/>
        <w:ind w:firstLine="360"/>
        <w:jc w:val="both"/>
      </w:pPr>
      <w:r>
        <w:rPr>
          <w:rFonts w:ascii="Arial" w:cs="Arial" w:eastAsia="Arial" w:hAnsi="Arial"/>
          <w:color w:val="333333"/>
          <w:sz w:val="22"/>
          <w:szCs w:val="22"/>
        </w:rPr>
        <w:t xml:space="preserve">FoundationPose (Wen et al., 2024) constituye el método principal de estimación de pose. Opera en modo </w:t>
      </w:r>
      <w:r>
        <w:rPr>
          <w:rFonts w:ascii="Arial" w:cs="Arial" w:eastAsia="Arial" w:hAnsi="Arial"/>
          <w:i/>
          <w:iCs/>
          <w:color w:val="333333"/>
          <w:sz w:val="22"/>
          <w:szCs w:val="22"/>
        </w:rPr>
        <w:t xml:space="preserve">model-based</w:t>
      </w:r>
      <w:r>
        <w:rPr>
          <w:rFonts w:ascii="Arial" w:cs="Arial" w:eastAsia="Arial" w:hAnsi="Arial"/>
          <w:color w:val="333333"/>
          <w:sz w:val="22"/>
          <w:szCs w:val="22"/>
        </w:rPr>
        <w:t xml:space="preserve">, recibiendo como entrada una imagen RGB, un mapa de profundidad, una máscara del objeto, la matriz intrínseca de la cámara y el modelo CAD 3D del objeto. El proceso se divide en dos fases:</w:t>
      </w:r>
    </w:p>
    <w:p>
      <w:pPr>
        <w:spacing w:after="120" w:line="276"/>
        <w:ind w:firstLine="360"/>
        <w:jc w:val="both"/>
      </w:pPr>
      <w:r>
        <w:rPr>
          <w:rFonts w:ascii="Arial" w:cs="Arial" w:eastAsia="Arial" w:hAnsi="Arial"/>
          <w:b/>
          <w:bCs/>
          <w:color w:val="333333"/>
          <w:sz w:val="22"/>
          <w:szCs w:val="22"/>
        </w:rPr>
        <w:t xml:space="preserve">Fase de registro (register): </w:t>
      </w:r>
      <w:r>
        <w:rPr>
          <w:rFonts w:ascii="Arial" w:cs="Arial" w:eastAsia="Arial" w:hAnsi="Arial"/>
          <w:color w:val="333333"/>
          <w:sz w:val="22"/>
          <w:szCs w:val="22"/>
        </w:rPr>
        <w:t xml:space="preserve">Genera N hipótesis iniciales de pose mediante muestreo uniforme en SE(3), condicionado a la observación. Cada hipótesis se evalúa mediante un módulo de scoring basado en atención cruzada 2D-3D (Sección 4.3.3 del Marco Matemático). Se selecciona la hipótesis con mayor puntuación.</w:t>
      </w:r>
    </w:p>
    <w:p>
      <w:pPr>
        <w:spacing w:after="120" w:line="276"/>
        <w:ind w:firstLine="360"/>
        <w:jc w:val="both"/>
      </w:pPr>
      <w:r>
        <w:rPr>
          <w:rFonts w:ascii="Arial" w:cs="Arial" w:eastAsia="Arial" w:hAnsi="Arial"/>
          <w:b/>
          <w:bCs/>
          <w:color w:val="333333"/>
          <w:sz w:val="22"/>
          <w:szCs w:val="22"/>
        </w:rPr>
        <w:t xml:space="preserve">Fase de refinamiento (refine): </w:t>
      </w:r>
      <w:r>
        <w:rPr>
          <w:rFonts w:ascii="Arial" w:cs="Arial" w:eastAsia="Arial" w:hAnsi="Arial"/>
          <w:color w:val="333333"/>
          <w:sz w:val="22"/>
          <w:szCs w:val="22"/>
        </w:rPr>
        <w:t xml:space="preserve">Partiendo de la mejor hipótesis, se aplican iteraciones de refinamiento que predicen un twist incremental δξ ∈ ℝ⁶ en el álgebra de Lie se(3). Cada iteración actualiza la pose mediante la exponencial: Tₙ₊₁ = exp(δξ) · Tₙ. Este proceso converge típicamente en 5 iteraciones.</w:t>
      </w:r>
    </w:p>
    <w:p>
      <w:pPr>
        <w:spacing w:after="120" w:line="276"/>
        <w:ind w:firstLine="360"/>
        <w:jc w:val="both"/>
      </w:pPr>
      <w:r>
        <w:rPr>
          <w:rFonts w:ascii="Arial" w:cs="Arial" w:eastAsia="Arial" w:hAnsi="Arial"/>
          <w:color w:val="333333"/>
          <w:sz w:val="22"/>
          <w:szCs w:val="22"/>
        </w:rPr>
        <w:t xml:space="preserve">El wrapper implementado en src/perception/foundation_pose.py proporciona una API unificada que abstrae la complejidad de la inferencia, permitiendo cambiar entre FoundationPose y GDR-Net como backend sin modificar el resto del pipeline.</w:t>
      </w:r>
    </w:p>
    <w:p>
      <w:pPr>
        <w:pStyle w:val="Heading3"/>
        <w:spacing w:after="120" w:before="200"/>
      </w:pPr>
      <w:r>
        <w:rPr>
          <w:rFonts w:ascii="Arial" w:cs="Arial" w:eastAsia="Arial" w:hAnsi="Arial"/>
          <w:b/>
          <w:bCs/>
          <w:color w:val="333333"/>
          <w:sz w:val="22"/>
          <w:szCs w:val="22"/>
        </w:rPr>
        <w:t xml:space="preserve">5.2.3. GDR-Net++ como baseline comparativo</w:t>
      </w:r>
    </w:p>
    <w:p>
      <w:pPr>
        <w:spacing w:after="120" w:line="276"/>
        <w:ind w:firstLine="360"/>
        <w:jc w:val="both"/>
      </w:pPr>
      <w:r>
        <w:rPr>
          <w:rFonts w:ascii="Arial" w:cs="Arial" w:eastAsia="Arial" w:hAnsi="Arial"/>
          <w:color w:val="333333"/>
          <w:sz w:val="22"/>
          <w:szCs w:val="22"/>
        </w:rPr>
        <w:t xml:space="preserve">GDR-Net++ (Wang et al., 2021) se utiliza como </w:t>
      </w:r>
      <w:r>
        <w:rPr>
          <w:rFonts w:ascii="Arial" w:cs="Arial" w:eastAsia="Arial" w:hAnsi="Arial"/>
          <w:i/>
          <w:iCs/>
          <w:color w:val="333333"/>
          <w:sz w:val="22"/>
          <w:szCs w:val="22"/>
        </w:rPr>
        <w:t xml:space="preserve">baseline</w:t>
      </w:r>
      <w:r>
        <w:rPr>
          <w:rFonts w:ascii="Arial" w:cs="Arial" w:eastAsia="Arial" w:hAnsi="Arial"/>
          <w:color w:val="333333"/>
          <w:sz w:val="22"/>
          <w:szCs w:val="22"/>
        </w:rPr>
        <w:t xml:space="preserve"> para cuantificar la ventaja de FoundationPose. A diferencia de FoundationPose, GDR-Net opera exclusivamente sobre imágenes RGB (sin profundidad), prediciendo directamente la representación 6D continua de la rotación (Zhou et al., 2019) y la traslación mediante regresión geométricamente guiada. Esta comparación permite evaluar: (a) el beneficio de incorporar información de profundidad, y (b) la ventaja del refinamiento iterativo en SE(3) frente a la regresión directa.</w:t>
      </w:r>
    </w:p>
    <w:p>
      <w:pPr>
        <w:pStyle w:val="Heading2"/>
        <w:spacing w:after="160" w:before="280"/>
      </w:pPr>
      <w:r>
        <w:rPr>
          <w:rFonts w:ascii="Arial" w:cs="Arial" w:eastAsia="Arial" w:hAnsi="Arial"/>
          <w:b/>
          <w:bCs/>
          <w:color w:val="0098CD"/>
          <w:sz w:val="26"/>
          <w:szCs w:val="26"/>
        </w:rPr>
        <w:t xml:space="preserve">5.3. Módulo de planificación: generación de trayectorias de agarre</w:t>
      </w:r>
    </w:p>
    <w:p>
      <w:pPr>
        <w:pStyle w:val="Heading3"/>
        <w:spacing w:after="120" w:before="200"/>
      </w:pPr>
      <w:r>
        <w:rPr>
          <w:rFonts w:ascii="Arial" w:cs="Arial" w:eastAsia="Arial" w:hAnsi="Arial"/>
          <w:b/>
          <w:bCs/>
          <w:color w:val="333333"/>
          <w:sz w:val="22"/>
          <w:szCs w:val="22"/>
        </w:rPr>
        <w:t xml:space="preserve">5.3.1. Diffusion Policy para bin picking</w:t>
      </w:r>
    </w:p>
    <w:p>
      <w:pPr>
        <w:spacing w:after="120" w:line="276"/>
        <w:ind w:firstLine="360"/>
        <w:jc w:val="both"/>
      </w:pPr>
      <w:r>
        <w:rPr>
          <w:rFonts w:ascii="Arial" w:cs="Arial" w:eastAsia="Arial" w:hAnsi="Arial"/>
          <w:color w:val="333333"/>
          <w:sz w:val="22"/>
          <w:szCs w:val="22"/>
        </w:rPr>
        <w:t xml:space="preserve">Una vez estimada la pose 6-DoF del objeto, el módulo de planificación genera una trayectoria de agarre completa. La implementación en </w:t>
      </w:r>
      <w:r>
        <w:rPr>
          <w:rFonts w:ascii="Arial" w:cs="Arial" w:eastAsia="Arial" w:hAnsi="Arial"/>
          <w:i/>
          <w:iCs/>
          <w:color w:val="333333"/>
          <w:sz w:val="22"/>
          <w:szCs w:val="22"/>
        </w:rPr>
        <w:t xml:space="preserve">src/planning/diffusion_policy.py</w:t>
      </w:r>
      <w:r>
        <w:rPr>
          <w:rFonts w:ascii="Arial" w:cs="Arial" w:eastAsia="Arial" w:hAnsi="Arial"/>
          <w:color w:val="333333"/>
          <w:sz w:val="22"/>
          <w:szCs w:val="22"/>
        </w:rPr>
        <w:t xml:space="preserve"> adapta el framework de Diffusion Policy (Chi et al., 2023) al dominio de bin picking. La arquitectura comprende tres componentes:</w:t>
      </w:r>
    </w:p>
    <w:p>
      <w:pPr>
        <w:spacing w:after="120" w:line="276"/>
        <w:ind w:firstLine="360"/>
        <w:jc w:val="both"/>
      </w:pPr>
      <w:r>
        <w:rPr>
          <w:rFonts w:ascii="Arial" w:cs="Arial" w:eastAsia="Arial" w:hAnsi="Arial"/>
          <w:b/>
          <w:bCs/>
          <w:color w:val="333333"/>
          <w:sz w:val="22"/>
          <w:szCs w:val="22"/>
        </w:rPr>
        <w:t xml:space="preserve">Codificador de observación: </w:t>
      </w:r>
      <w:r>
        <w:rPr>
          <w:rFonts w:ascii="Arial" w:cs="Arial" w:eastAsia="Arial" w:hAnsi="Arial"/>
          <w:color w:val="333333"/>
          <w:sz w:val="22"/>
          <w:szCs w:val="22"/>
        </w:rPr>
        <w:t xml:space="preserve">Transforma la pose 6-DoF estimada (12 parámetros: 9 de la matriz de rotación + 3 de traslación) en un vector de condicionamiento de dimensión 64, que captura la configuración geométrica del objeto objetivo.</w:t>
      </w:r>
    </w:p>
    <w:p>
      <w:pPr>
        <w:spacing w:after="120" w:line="276"/>
        <w:ind w:firstLine="360"/>
        <w:jc w:val="both"/>
      </w:pPr>
      <w:r>
        <w:rPr>
          <w:rFonts w:ascii="Arial" w:cs="Arial" w:eastAsia="Arial" w:hAnsi="Arial"/>
          <w:b/>
          <w:bCs/>
          <w:color w:val="333333"/>
          <w:sz w:val="22"/>
          <w:szCs w:val="22"/>
        </w:rPr>
        <w:t xml:space="preserve">Red de predicción de ruido (ConditionalUNet1D): </w:t>
      </w:r>
      <w:r>
        <w:rPr>
          <w:rFonts w:ascii="Arial" w:cs="Arial" w:eastAsia="Arial" w:hAnsi="Arial"/>
          <w:color w:val="333333"/>
          <w:sz w:val="22"/>
          <w:szCs w:val="22"/>
        </w:rPr>
        <w:t xml:space="preserve">U-Net temporal condicional que procesa la trayectoria ruidosa x_t junto con el timestep t y la observación codificada. Utiliza bloques convolucionales residuales con inyección de timestep mediante embeddings sinusoidales.</w:t>
      </w:r>
    </w:p>
    <w:p>
      <w:pPr>
        <w:spacing w:after="120" w:line="276"/>
        <w:ind w:firstLine="360"/>
        <w:jc w:val="both"/>
      </w:pPr>
      <w:r>
        <w:rPr>
          <w:rFonts w:ascii="Arial" w:cs="Arial" w:eastAsia="Arial" w:hAnsi="Arial"/>
          <w:b/>
          <w:bCs/>
          <w:color w:val="333333"/>
          <w:sz w:val="22"/>
          <w:szCs w:val="22"/>
        </w:rPr>
        <w:t xml:space="preserve">Scheduler DDPM: </w:t>
      </w:r>
      <w:r>
        <w:rPr>
          <w:rFonts w:ascii="Arial" w:cs="Arial" w:eastAsia="Arial" w:hAnsi="Arial"/>
          <w:color w:val="333333"/>
          <w:sz w:val="22"/>
          <w:szCs w:val="22"/>
        </w:rPr>
        <w:t xml:space="preserve">Implementa el proceso de difusión forward (adición de ruido gaussiano) y reverse (eliminación iterativa de ruido). Durante inferencia, partiendo de ruido puro x_T ~ N(0, I), se aplican T pasos de desnoisado para generar la trayectoria final.</w:t>
      </w:r>
    </w:p>
    <w:p>
      <w:pPr>
        <w:spacing w:after="120" w:line="276"/>
        <w:ind w:firstLine="360"/>
        <w:jc w:val="both"/>
      </w:pPr>
      <w:r>
        <w:rPr>
          <w:rFonts w:ascii="Arial" w:cs="Arial" w:eastAsia="Arial" w:hAnsi="Arial"/>
          <w:color w:val="333333"/>
          <w:sz w:val="22"/>
          <w:szCs w:val="22"/>
        </w:rPr>
        <w:t xml:space="preserve">El espacio de acciones tiene dimensión A = 7: posición (x, y, z), orientación compacta (r_x, r_y, r_z), y apertura del gripper (0 = cerrado, 1 = abierto). El horizonte temporal H = 16 permite representar trayectorias completas de approach-grasp-lift.</w:t>
      </w:r>
    </w:p>
    <w:p>
      <w:pPr>
        <w:pStyle w:val="Heading3"/>
        <w:spacing w:after="120" w:before="200"/>
      </w:pPr>
      <w:r>
        <w:rPr>
          <w:rFonts w:ascii="Arial" w:cs="Arial" w:eastAsia="Arial" w:hAnsi="Arial"/>
          <w:b/>
          <w:bCs/>
          <w:color w:val="333333"/>
          <w:sz w:val="22"/>
          <w:szCs w:val="22"/>
        </w:rPr>
        <w:t xml:space="preserve">5.3.2. Muestreo de agarres candidatos</w:t>
      </w:r>
    </w:p>
    <w:p>
      <w:pPr>
        <w:spacing w:after="120" w:line="276"/>
        <w:ind w:firstLine="360"/>
        <w:jc w:val="both"/>
      </w:pPr>
      <w:r>
        <w:rPr>
          <w:rFonts w:ascii="Arial" w:cs="Arial" w:eastAsia="Arial" w:hAnsi="Arial"/>
          <w:color w:val="333333"/>
          <w:sz w:val="22"/>
          <w:szCs w:val="22"/>
        </w:rPr>
        <w:t xml:space="preserve">Complementariamente al Diffusion Policy, se implementa un módulo de muestreo geométrico de agarres (</w:t>
      </w:r>
      <w:r>
        <w:rPr>
          <w:rFonts w:ascii="Arial" w:cs="Arial" w:eastAsia="Arial" w:hAnsi="Arial"/>
          <w:i/>
          <w:iCs/>
          <w:color w:val="333333"/>
          <w:sz w:val="22"/>
          <w:szCs w:val="22"/>
        </w:rPr>
        <w:t xml:space="preserve">src/planning/grasp_sampler.py</w:t>
      </w:r>
      <w:r>
        <w:rPr>
          <w:rFonts w:ascii="Arial" w:cs="Arial" w:eastAsia="Arial" w:hAnsi="Arial"/>
          <w:color w:val="333333"/>
          <w:sz w:val="22"/>
          <w:szCs w:val="22"/>
        </w:rPr>
        <w:t xml:space="preserve">) que genera candidatos mediante cuatro estrategias:</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000"/>
        <w:gridCol w:w="6787"/>
      </w:tblGrid>
      <w:tr>
        <w:tc>
          <w:tcPr>
            <w:tcW w:type="dxa" w:w="2000"/>
            <w:tcBorders>
              <w:top w:val="single" w:color="CCCCCC" w:sz="1"/>
              <w:left w:val="single" w:color="CCCCCC" w:sz="1"/>
              <w:bottom w:val="single" w:color="CCCCCC" w:sz="1"/>
              <w:right w:val="single" w:color="CCCCCC" w:sz="1"/>
            </w:tcBorders>
            <w:shd w:fill="006C8F" w:val="clear"/>
            <w:tcMar>
              <w:top w:type="dxa" w:w="60"/>
              <w:left w:type="dxa" w:w="100"/>
              <w:bottom w:type="dxa" w:w="60"/>
              <w:right w:type="dxa" w:w="100"/>
            </w:tcMar>
          </w:tcPr>
          <w:p>
            <w:r>
              <w:rPr>
                <w:rFonts w:ascii="Arial" w:cs="Arial" w:eastAsia="Arial" w:hAnsi="Arial"/>
                <w:b/>
                <w:bCs/>
                <w:color w:val="FFFFFF"/>
                <w:sz w:val="20"/>
                <w:szCs w:val="20"/>
              </w:rPr>
              <w:t xml:space="preserve">Estrategia</w:t>
            </w:r>
          </w:p>
        </w:tc>
        <w:tc>
          <w:tcPr>
            <w:tcW w:type="dxa" w:w="6787"/>
            <w:tcBorders>
              <w:top w:val="single" w:color="CCCCCC" w:sz="1"/>
              <w:left w:val="single" w:color="CCCCCC" w:sz="1"/>
              <w:bottom w:val="single" w:color="CCCCCC" w:sz="1"/>
              <w:right w:val="single" w:color="CCCCCC" w:sz="1"/>
            </w:tcBorders>
            <w:shd w:fill="006C8F" w:val="clear"/>
            <w:tcMar>
              <w:top w:type="dxa" w:w="60"/>
              <w:left w:type="dxa" w:w="100"/>
              <w:bottom w:type="dxa" w:w="60"/>
              <w:right w:type="dxa" w:w="100"/>
            </w:tcMar>
          </w:tcPr>
          <w:p>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Top-down</w:t>
            </w:r>
          </w:p>
        </w:tc>
        <w:tc>
          <w:tcPr>
            <w:tcW w:type="dxa" w:w="6787"/>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Aproximación vertical con yaw aleatorio y perturbación lateral. Preferido para objetos en contenedor abierto.</w:t>
            </w:r>
          </w:p>
        </w:tc>
      </w:tr>
      <w:tr>
        <w:tc>
          <w:tcPr>
            <w:tcW w:type="dxa" w:w="20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b/>
                <w:bCs/>
                <w:color w:val="333333"/>
                <w:sz w:val="20"/>
                <w:szCs w:val="20"/>
                <w:shd/>
              </w:rPr>
              <w:t xml:space="preserve">Antipodal</w:t>
            </w:r>
          </w:p>
        </w:tc>
        <w:tc>
          <w:tcPr>
            <w:tcW w:type="dxa" w:w="6787"/>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color w:val="333333"/>
                <w:sz w:val="20"/>
                <w:szCs w:val="20"/>
                <w:shd/>
              </w:rPr>
              <w:t xml:space="preserve">Pares de puntos con normales opuestas dentro del ancho del gripper. Requiere nube de puntos y normales.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Surface</w:t>
            </w:r>
          </w:p>
        </w:tc>
        <w:tc>
          <w:tcPr>
            <w:tcW w:type="dxa" w:w="6787"/>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Aproximación a puntos aleatorios de la superficie. Exploración diversa del espacio de agarres.</w:t>
            </w:r>
          </w:p>
        </w:tc>
      </w:tr>
      <w:tr>
        <w:tc>
          <w:tcPr>
            <w:tcW w:type="dxa" w:w="20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b/>
                <w:bCs/>
                <w:color w:val="333333"/>
                <w:sz w:val="20"/>
                <w:szCs w:val="20"/>
                <w:shd/>
              </w:rPr>
              <w:t xml:space="preserve">Side approach</w:t>
            </w:r>
          </w:p>
        </w:tc>
        <w:tc>
          <w:tcPr>
            <w:tcW w:type="dxa" w:w="6787"/>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color w:val="333333"/>
                <w:sz w:val="20"/>
                <w:szCs w:val="20"/>
                <w:shd/>
              </w:rPr>
              <w:t xml:space="preserve">Aproximación lateral con ángulo de elevación variable. Para objetos en bordes del contenedor.</w:t>
            </w:r>
          </w:p>
        </w:tc>
      </w:tr>
    </w:tbl>
    <w:p>
      <w:pPr>
        <w:spacing w:after="120" w:line="276"/>
        <w:jc w:val="both"/>
      </w:pPr>
      <w:r>
        <w:rPr>
          <w:rFonts w:ascii="Arial" w:cs="Arial" w:eastAsia="Arial" w:hAnsi="Arial"/>
          <w:color w:val="333333"/>
          <w:sz w:val="22"/>
          <w:szCs w:val="22"/>
        </w:rPr>
        <w:t xml:space="preserve"/>
      </w:r>
    </w:p>
    <w:p>
      <w:pPr>
        <w:spacing w:after="120" w:line="276"/>
        <w:ind w:firstLine="360"/>
        <w:jc w:val="both"/>
      </w:pPr>
      <w:r>
        <w:rPr>
          <w:rFonts w:ascii="Arial" w:cs="Arial" w:eastAsia="Arial" w:hAnsi="Arial"/>
          <w:color w:val="333333"/>
          <w:sz w:val="22"/>
          <w:szCs w:val="22"/>
        </w:rPr>
        <w:t xml:space="preserve">Cada candidato se puntúa heurísticamente combinando proximidad al centroide del objeto, preferencia por aproximación vertical, y calidad antipodal (cuando aplica). Los candidatos pueden utilizarse como inicialización para el Diffusion Policy o como baseline de comparación.</w:t>
      </w:r>
    </w:p>
    <w:p>
      <w:pPr>
        <w:pStyle w:val="Heading2"/>
        <w:spacing w:after="160" w:before="280"/>
      </w:pPr>
      <w:r>
        <w:rPr>
          <w:rFonts w:ascii="Arial" w:cs="Arial" w:eastAsia="Arial" w:hAnsi="Arial"/>
          <w:b/>
          <w:bCs/>
          <w:color w:val="0098CD"/>
          <w:sz w:val="26"/>
          <w:szCs w:val="26"/>
        </w:rPr>
        <w:t xml:space="preserve">5.4. Módulo de simulación: CoppeliaSim + ROS 2 + MoveIt 2</w:t>
      </w:r>
    </w:p>
    <w:p>
      <w:pPr>
        <w:pStyle w:val="Heading3"/>
        <w:spacing w:after="120" w:before="200"/>
      </w:pPr>
      <w:r>
        <w:rPr>
          <w:rFonts w:ascii="Arial" w:cs="Arial" w:eastAsia="Arial" w:hAnsi="Arial"/>
          <w:b/>
          <w:bCs/>
          <w:color w:val="333333"/>
          <w:sz w:val="22"/>
          <w:szCs w:val="22"/>
        </w:rPr>
        <w:t xml:space="preserve">5.4.1. Entorno de simulación</w:t>
      </w:r>
    </w:p>
    <w:p>
      <w:pPr>
        <w:spacing w:after="120" w:line="276"/>
        <w:ind w:firstLine="360"/>
        <w:jc w:val="both"/>
      </w:pPr>
      <w:r>
        <w:rPr>
          <w:rFonts w:ascii="Arial" w:cs="Arial" w:eastAsia="Arial" w:hAnsi="Arial"/>
          <w:color w:val="333333"/>
          <w:sz w:val="22"/>
          <w:szCs w:val="22"/>
        </w:rPr>
        <w:t xml:space="preserve">La validación del pipeline se realiza en un entorno simulado que replica un escenario de </w:t>
      </w:r>
      <w:r>
        <w:rPr>
          <w:rFonts w:ascii="Arial" w:cs="Arial" w:eastAsia="Arial" w:hAnsi="Arial"/>
          <w:i/>
          <w:iCs/>
          <w:color w:val="333333"/>
          <w:sz w:val="22"/>
          <w:szCs w:val="22"/>
        </w:rPr>
        <w:t xml:space="preserve">bin picking</w:t>
      </w:r>
      <w:r>
        <w:rPr>
          <w:rFonts w:ascii="Arial" w:cs="Arial" w:eastAsia="Arial" w:hAnsi="Arial"/>
          <w:color w:val="333333"/>
          <w:sz w:val="22"/>
          <w:szCs w:val="22"/>
        </w:rPr>
        <w:t xml:space="preserve"> industrial. El entorno se implementa en CoppeliaSim (anteriormente V-REP), seleccionado por su soporte de múltiples motores de física (Bullet, ODE, MuJoCo), renderizado fotorrealista para generación de imágenes RGB-D sintéticas, y su API remota ZMQ para control programático.</w:t>
      </w:r>
    </w:p>
    <w:p>
      <w:pPr>
        <w:spacing w:after="120" w:line="276"/>
        <w:ind w:firstLine="360"/>
        <w:jc w:val="both"/>
      </w:pPr>
      <w:r>
        <w:rPr>
          <w:rFonts w:ascii="Arial" w:cs="Arial" w:eastAsia="Arial" w:hAnsi="Arial"/>
          <w:color w:val="333333"/>
          <w:sz w:val="22"/>
          <w:szCs w:val="22"/>
        </w:rPr>
        <w:t xml:space="preserve">La escena comprende: (a) un robot manipulador UR5e de 6 grados de libertad, (b) un gripper de mordazas paralelas, (c) una cámara RGB-D virtual que simula una Intel RealSense D435 (resolución 640×480, FOV 60°), y (d) un contenedor (bin) con objetos del dataset T-LESS dispuestos aleatoriamente.</w:t>
      </w:r>
    </w:p>
    <w:p>
      <w:pPr>
        <w:pStyle w:val="Heading3"/>
        <w:spacing w:after="120" w:before="200"/>
      </w:pPr>
      <w:r>
        <w:rPr>
          <w:rFonts w:ascii="Arial" w:cs="Arial" w:eastAsia="Arial" w:hAnsi="Arial"/>
          <w:b/>
          <w:bCs/>
          <w:color w:val="333333"/>
          <w:sz w:val="22"/>
          <w:szCs w:val="22"/>
        </w:rPr>
        <w:t xml:space="preserve">5.4.2. Interfaz CoppeliaSim (ZMQ Remote API)</w:t>
      </w:r>
    </w:p>
    <w:p>
      <w:pPr>
        <w:spacing w:after="120" w:line="276"/>
        <w:ind w:firstLine="360"/>
        <w:jc w:val="both"/>
      </w:pPr>
      <w:r>
        <w:rPr>
          <w:rFonts w:ascii="Arial" w:cs="Arial" w:eastAsia="Arial" w:hAnsi="Arial"/>
          <w:color w:val="333333"/>
          <w:sz w:val="22"/>
          <w:szCs w:val="22"/>
        </w:rPr>
        <w:t xml:space="preserve">La comunicación entre el pipeline Python y CoppeliaSim se gestiona mediante el módulo </w:t>
      </w:r>
      <w:r>
        <w:rPr>
          <w:rFonts w:ascii="Arial" w:cs="Arial" w:eastAsia="Arial" w:hAnsi="Arial"/>
          <w:i/>
          <w:iCs/>
          <w:color w:val="333333"/>
          <w:sz w:val="22"/>
          <w:szCs w:val="22"/>
        </w:rPr>
        <w:t xml:space="preserve">src/simulation/coppeliasim_bridge.py</w:t>
      </w:r>
      <w:r>
        <w:rPr>
          <w:rFonts w:ascii="Arial" w:cs="Arial" w:eastAsia="Arial" w:hAnsi="Arial"/>
          <w:color w:val="333333"/>
          <w:sz w:val="22"/>
          <w:szCs w:val="22"/>
        </w:rPr>
        <w:t xml:space="preserve">, que encapsula la ZMQ Remote API en una interfaz orientada a objetos. Las operaciones principales incluyen:</w:t>
      </w:r>
    </w:p>
    <w:p>
      <w:pPr>
        <w:spacing w:after="120" w:line="276"/>
        <w:ind w:firstLine="360"/>
        <w:jc w:val="both"/>
      </w:pPr>
      <w:r>
        <w:rPr>
          <w:rFonts w:ascii="Arial" w:cs="Arial" w:eastAsia="Arial" w:hAnsi="Arial"/>
          <w:color w:val="333333"/>
          <w:sz w:val="22"/>
          <w:szCs w:val="22"/>
        </w:rPr>
        <w:t xml:space="preserve">• Captura de imágenes RGB-D con conversión automática de profundidad normalizada a metros.</w:t>
      </w:r>
    </w:p>
    <w:p>
      <w:pPr>
        <w:spacing w:after="120" w:line="276"/>
        <w:ind w:firstLine="360"/>
        <w:jc w:val="both"/>
      </w:pPr>
      <w:r>
        <w:rPr>
          <w:rFonts w:ascii="Arial" w:cs="Arial" w:eastAsia="Arial" w:hAnsi="Arial"/>
          <w:color w:val="333333"/>
          <w:sz w:val="22"/>
          <w:szCs w:val="22"/>
        </w:rPr>
        <w:t xml:space="preserve">• Control de articulaciones del robot (posición, velocidad) con espera bloqueante hasta alcanzar la configuración objetivo.</w:t>
      </w:r>
    </w:p>
    <w:p>
      <w:pPr>
        <w:spacing w:after="120" w:line="276"/>
        <w:ind w:firstLine="360"/>
        <w:jc w:val="both"/>
      </w:pPr>
      <w:r>
        <w:rPr>
          <w:rFonts w:ascii="Arial" w:cs="Arial" w:eastAsia="Arial" w:hAnsi="Arial"/>
          <w:color w:val="333333"/>
          <w:sz w:val="22"/>
          <w:szCs w:val="22"/>
        </w:rPr>
        <w:t xml:space="preserve">• Actuación del gripper (apertura/cierre) con detección de agarre por umbral de fuerza.</w:t>
      </w:r>
    </w:p>
    <w:p>
      <w:pPr>
        <w:spacing w:after="120" w:line="276"/>
        <w:ind w:firstLine="360"/>
        <w:jc w:val="both"/>
      </w:pPr>
      <w:r>
        <w:rPr>
          <w:rFonts w:ascii="Arial" w:cs="Arial" w:eastAsia="Arial" w:hAnsi="Arial"/>
          <w:color w:val="333333"/>
          <w:sz w:val="22"/>
          <w:szCs w:val="22"/>
        </w:rPr>
        <w:t xml:space="preserve">• Gestión de objetos: consulta y modificación de poses, aleatorización de posiciones para generación de escenas diversas.</w:t>
      </w:r>
    </w:p>
    <w:p>
      <w:pPr>
        <w:pStyle w:val="Heading3"/>
        <w:spacing w:after="120" w:before="200"/>
      </w:pPr>
      <w:r>
        <w:rPr>
          <w:rFonts w:ascii="Arial" w:cs="Arial" w:eastAsia="Arial" w:hAnsi="Arial"/>
          <w:b/>
          <w:bCs/>
          <w:color w:val="333333"/>
          <w:sz w:val="22"/>
          <w:szCs w:val="22"/>
        </w:rPr>
        <w:t xml:space="preserve">5.4.3. Visual servoing para corrección de pose</w:t>
      </w:r>
    </w:p>
    <w:p>
      <w:pPr>
        <w:spacing w:after="120" w:line="276"/>
        <w:ind w:firstLine="360"/>
        <w:jc w:val="both"/>
      </w:pPr>
      <w:r>
        <w:rPr>
          <w:rFonts w:ascii="Arial" w:cs="Arial" w:eastAsia="Arial" w:hAnsi="Arial"/>
          <w:color w:val="333333"/>
          <w:sz w:val="22"/>
          <w:szCs w:val="22"/>
        </w:rPr>
        <w:t xml:space="preserve">El módulo </w:t>
      </w:r>
      <w:r>
        <w:rPr>
          <w:rFonts w:ascii="Arial" w:cs="Arial" w:eastAsia="Arial" w:hAnsi="Arial"/>
          <w:i/>
          <w:iCs/>
          <w:color w:val="333333"/>
          <w:sz w:val="22"/>
          <w:szCs w:val="22"/>
        </w:rPr>
        <w:t xml:space="preserve">src/simulation/visual_servoing.py</w:t>
      </w:r>
      <w:r>
        <w:rPr>
          <w:rFonts w:ascii="Arial" w:cs="Arial" w:eastAsia="Arial" w:hAnsi="Arial"/>
          <w:color w:val="333333"/>
          <w:sz w:val="22"/>
          <w:szCs w:val="22"/>
        </w:rPr>
        <w:t xml:space="preserve"> implementa tres estrategias de control visual para el refinamiento en tiempo real de la trayectoria del robot:</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3987"/>
      </w:tblGrid>
      <w:tr>
        <w:tc>
          <w:tcPr>
            <w:tcW w:type="dxa" w:w="1800"/>
            <w:tcBorders>
              <w:top w:val="single" w:color="CCCCCC" w:sz="1"/>
              <w:left w:val="single" w:color="CCCCCC" w:sz="1"/>
              <w:bottom w:val="single" w:color="CCCCCC" w:sz="1"/>
              <w:right w:val="single" w:color="CCCCCC" w:sz="1"/>
            </w:tcBorders>
            <w:shd w:fill="006C8F" w:val="clear"/>
            <w:tcMar>
              <w:top w:type="dxa" w:w="60"/>
              <w:left w:type="dxa" w:w="100"/>
              <w:bottom w:type="dxa" w:w="60"/>
              <w:right w:type="dxa" w:w="100"/>
            </w:tcMar>
          </w:tcPr>
          <w:p>
            <w:r>
              <w:rPr>
                <w:rFonts w:ascii="Arial" w:cs="Arial" w:eastAsia="Arial" w:hAnsi="Arial"/>
                <w:b/>
                <w:bCs/>
                <w:color w:val="FFFFFF"/>
                <w:sz w:val="20"/>
                <w:szCs w:val="20"/>
              </w:rPr>
              <w:t xml:space="preserve">Método</w:t>
            </w:r>
          </w:p>
        </w:tc>
        <w:tc>
          <w:tcPr>
            <w:tcW w:type="dxa" w:w="3000"/>
            <w:tcBorders>
              <w:top w:val="single" w:color="CCCCCC" w:sz="1"/>
              <w:left w:val="single" w:color="CCCCCC" w:sz="1"/>
              <w:bottom w:val="single" w:color="CCCCCC" w:sz="1"/>
              <w:right w:val="single" w:color="CCCCCC" w:sz="1"/>
            </w:tcBorders>
            <w:shd w:fill="006C8F" w:val="clear"/>
            <w:tcMar>
              <w:top w:type="dxa" w:w="60"/>
              <w:left w:type="dxa" w:w="100"/>
              <w:bottom w:type="dxa" w:w="60"/>
              <w:right w:type="dxa" w:w="100"/>
            </w:tcMar>
          </w:tcPr>
          <w:p>
            <w:r>
              <w:rPr>
                <w:rFonts w:ascii="Arial" w:cs="Arial" w:eastAsia="Arial" w:hAnsi="Arial"/>
                <w:b/>
                <w:bCs/>
                <w:color w:val="FFFFFF"/>
                <w:sz w:val="20"/>
                <w:szCs w:val="20"/>
              </w:rPr>
              <w:t xml:space="preserve">Espacio de control</w:t>
            </w:r>
          </w:p>
        </w:tc>
        <w:tc>
          <w:tcPr>
            <w:tcW w:type="dxa" w:w="3987"/>
            <w:tcBorders>
              <w:top w:val="single" w:color="CCCCCC" w:sz="1"/>
              <w:left w:val="single" w:color="CCCCCC" w:sz="1"/>
              <w:bottom w:val="single" w:color="CCCCCC" w:sz="1"/>
              <w:right w:val="single" w:color="CCCCCC" w:sz="1"/>
            </w:tcBorders>
            <w:shd w:fill="006C8F" w:val="clear"/>
            <w:tcMar>
              <w:top w:type="dxa" w:w="60"/>
              <w:left w:type="dxa" w:w="100"/>
              <w:bottom w:type="dxa" w:w="60"/>
              <w:right w:type="dxa" w:w="100"/>
            </w:tcMar>
          </w:tcPr>
          <w:p>
            <w:r>
              <w:rPr>
                <w:rFonts w:ascii="Arial" w:cs="Arial" w:eastAsia="Arial" w:hAnsi="Arial"/>
                <w:b/>
                <w:bCs/>
                <w:color w:val="FFFFFF"/>
                <w:sz w:val="20"/>
                <w:szCs w:val="20"/>
              </w:rPr>
              <w:t xml:space="preserve">Ventaja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PBVS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Espacio cartesiano 3D (SE(3))</w:t>
            </w:r>
          </w:p>
        </w:tc>
        <w:tc>
          <w:tcPr>
            <w:tcW w:type="dxa" w:w="3987"/>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Trayectoria rectilínea en el espacio. Convergencia global.</w:t>
            </w:r>
          </w:p>
        </w:tc>
      </w:tr>
      <w:tr>
        <w:tc>
          <w:tcPr>
            <w:tcW w:type="dxa" w:w="18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b/>
                <w:bCs/>
                <w:color w:val="333333"/>
                <w:sz w:val="20"/>
                <w:szCs w:val="20"/>
                <w:shd/>
              </w:rPr>
              <w:t xml:space="preserve">IBVS</w:t>
            </w:r>
          </w:p>
        </w:tc>
        <w:tc>
          <w:tcPr>
            <w:tcW w:type="dxa" w:w="30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color w:val="333333"/>
                <w:sz w:val="20"/>
                <w:szCs w:val="20"/>
                <w:shd/>
              </w:rPr>
              <w:t xml:space="preserve">Espacio de imagen 2D (píxeles)</w:t>
            </w:r>
          </w:p>
        </w:tc>
        <w:tc>
          <w:tcPr>
            <w:tcW w:type="dxa" w:w="3987"/>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color w:val="333333"/>
                <w:sz w:val="20"/>
                <w:szCs w:val="20"/>
                <w:shd/>
              </w:rPr>
              <w:t xml:space="preserve">Robusto a errores de calibración de cámara.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Hybrid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Ponderación adaptativa PBVS/IBVS</w:t>
            </w:r>
          </w:p>
        </w:tc>
        <w:tc>
          <w:tcPr>
            <w:tcW w:type="dxa" w:w="3987"/>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Combina ventajas. Peso adaptativo según error.</w:t>
            </w:r>
          </w:p>
        </w:tc>
      </w:tr>
    </w:tbl>
    <w:p>
      <w:pPr>
        <w:spacing w:after="120" w:line="276"/>
        <w:jc w:val="both"/>
      </w:pPr>
      <w:r>
        <w:rPr>
          <w:rFonts w:ascii="Arial" w:cs="Arial" w:eastAsia="Arial" w:hAnsi="Arial"/>
          <w:color w:val="333333"/>
          <w:sz w:val="22"/>
          <w:szCs w:val="22"/>
        </w:rPr>
        <w:t xml:space="preserve"/>
      </w:r>
    </w:p>
    <w:p>
      <w:pPr>
        <w:spacing w:after="120" w:line="276"/>
        <w:ind w:firstLine="360"/>
        <w:jc w:val="both"/>
      </w:pPr>
      <w:r>
        <w:rPr>
          <w:rFonts w:ascii="Arial" w:cs="Arial" w:eastAsia="Arial" w:hAnsi="Arial"/>
          <w:color w:val="333333"/>
          <w:sz w:val="22"/>
          <w:szCs w:val="22"/>
        </w:rPr>
        <w:t xml:space="preserve">El controlador PBVS calcula la ley de control v = −λ · (T_current⁻¹ · T_desired), operando directamente sobre el error en SE(3) mediante el mapa logarítmico. El controlador IBVS minimiza el error en coordenadas de imagen mediante la pseudoinversa de la matriz de interacción L. El controlador híbrido pondera adaptativamente ambas señales, favoreciendo PBVS lejos del objetivo y transicionando a IBVS en la proximidad.</w:t>
      </w:r>
    </w:p>
    <w:p>
      <w:pPr>
        <w:pStyle w:val="Heading3"/>
        <w:spacing w:after="120" w:before="200"/>
      </w:pPr>
      <w:r>
        <w:rPr>
          <w:rFonts w:ascii="Arial" w:cs="Arial" w:eastAsia="Arial" w:hAnsi="Arial"/>
          <w:b/>
          <w:bCs/>
          <w:color w:val="333333"/>
          <w:sz w:val="22"/>
          <w:szCs w:val="22"/>
        </w:rPr>
        <w:t xml:space="preserve">5.4.4. Integración con ROS 2 y MoveIt 2</w:t>
      </w:r>
    </w:p>
    <w:p>
      <w:pPr>
        <w:spacing w:after="120" w:line="276"/>
        <w:ind w:firstLine="360"/>
        <w:jc w:val="both"/>
      </w:pPr>
      <w:r>
        <w:rPr>
          <w:rFonts w:ascii="Arial" w:cs="Arial" w:eastAsia="Arial" w:hAnsi="Arial"/>
          <w:color w:val="333333"/>
          <w:sz w:val="22"/>
          <w:szCs w:val="22"/>
        </w:rPr>
        <w:t xml:space="preserve">Para la planificación de movimiento libre de colisiones, el sistema se integra con ROS 2 Humble y MoveIt 2 mediante el módulo </w:t>
      </w:r>
      <w:r>
        <w:rPr>
          <w:rFonts w:ascii="Arial" w:cs="Arial" w:eastAsia="Arial" w:hAnsi="Arial"/>
          <w:i/>
          <w:iCs/>
          <w:color w:val="333333"/>
          <w:sz w:val="22"/>
          <w:szCs w:val="22"/>
        </w:rPr>
        <w:t xml:space="preserve">src/simulation/ros2_interface.py</w:t>
      </w:r>
      <w:r>
        <w:rPr>
          <w:rFonts w:ascii="Arial" w:cs="Arial" w:eastAsia="Arial" w:hAnsi="Arial"/>
          <w:color w:val="333333"/>
          <w:sz w:val="22"/>
          <w:szCs w:val="22"/>
        </w:rPr>
        <w:t xml:space="preserve">. Se definen dos nodos ROS 2:</w:t>
      </w:r>
    </w:p>
    <w:p>
      <w:pPr>
        <w:spacing w:after="120" w:line="276"/>
        <w:ind w:firstLine="360"/>
        <w:jc w:val="both"/>
      </w:pPr>
      <w:r>
        <w:rPr>
          <w:rFonts w:ascii="Arial" w:cs="Arial" w:eastAsia="Arial" w:hAnsi="Arial"/>
          <w:b/>
          <w:bCs/>
          <w:color w:val="333333"/>
          <w:sz w:val="22"/>
          <w:szCs w:val="22"/>
        </w:rPr>
        <w:t xml:space="preserve">PoseEstimationNode: </w:t>
      </w:r>
      <w:r>
        <w:rPr>
          <w:rFonts w:ascii="Arial" w:cs="Arial" w:eastAsia="Arial" w:hAnsi="Arial"/>
          <w:color w:val="333333"/>
          <w:sz w:val="22"/>
          <w:szCs w:val="22"/>
        </w:rPr>
        <w:t xml:space="preserve">Suscrito a los topics /camera/rgb y /camera/depth, ejecuta la estimación de pose y publica el resultado como geometry_msgs/PoseStamped en /object_pose.</w:t>
      </w:r>
    </w:p>
    <w:p>
      <w:pPr>
        <w:spacing w:after="120" w:line="276"/>
        <w:ind w:firstLine="360"/>
        <w:jc w:val="both"/>
      </w:pPr>
      <w:r>
        <w:rPr>
          <w:rFonts w:ascii="Arial" w:cs="Arial" w:eastAsia="Arial" w:hAnsi="Arial"/>
          <w:b/>
          <w:bCs/>
          <w:color w:val="333333"/>
          <w:sz w:val="22"/>
          <w:szCs w:val="22"/>
        </w:rPr>
        <w:t xml:space="preserve">GraspPlannerNode: </w:t>
      </w:r>
      <w:r>
        <w:rPr>
          <w:rFonts w:ascii="Arial" w:cs="Arial" w:eastAsia="Arial" w:hAnsi="Arial"/>
          <w:color w:val="333333"/>
          <w:sz w:val="22"/>
          <w:szCs w:val="22"/>
        </w:rPr>
        <w:t xml:space="preserve">Suscrito a /object_pose, genera la trayectoria de agarre y la publica como trajectory_msgs/JointTrajectory para su ejecución por MoveIt 2.</w:t>
      </w:r>
    </w:p>
    <w:p>
      <w:pPr>
        <w:spacing w:after="120" w:line="276"/>
        <w:ind w:firstLine="360"/>
        <w:jc w:val="both"/>
      </w:pPr>
      <w:r>
        <w:rPr>
          <w:rFonts w:ascii="Arial" w:cs="Arial" w:eastAsia="Arial" w:hAnsi="Arial"/>
          <w:color w:val="333333"/>
          <w:sz w:val="22"/>
          <w:szCs w:val="22"/>
        </w:rPr>
        <w:t xml:space="preserve">Todo el stack ROS 2 se ejecuta dentro de un contenedor Docker (docker/Dockerfile) basado en ros:humble-desktop, garantizando la reproducibilidad del entorno independientemente del sistema operativo del desarrollador.</w:t>
      </w:r>
    </w:p>
    <w:p>
      <w:pPr>
        <w:pStyle w:val="Heading2"/>
        <w:spacing w:after="160" w:before="280"/>
      </w:pPr>
      <w:r>
        <w:rPr>
          <w:rFonts w:ascii="Arial" w:cs="Arial" w:eastAsia="Arial" w:hAnsi="Arial"/>
          <w:b/>
          <w:bCs/>
          <w:color w:val="0098CD"/>
          <w:sz w:val="26"/>
          <w:szCs w:val="26"/>
        </w:rPr>
        <w:t xml:space="preserve">5.5. Flujo de ejecución end-to-end</w:t>
      </w:r>
    </w:p>
    <w:p>
      <w:pPr>
        <w:spacing w:after="120" w:line="276"/>
        <w:ind w:firstLine="360"/>
        <w:jc w:val="both"/>
      </w:pPr>
      <w:r>
        <w:rPr>
          <w:rFonts w:ascii="Arial" w:cs="Arial" w:eastAsia="Arial" w:hAnsi="Arial"/>
          <w:color w:val="333333"/>
          <w:sz w:val="22"/>
          <w:szCs w:val="22"/>
        </w:rPr>
        <w:t xml:space="preserve">El orquestador del pipeline (src/pipeline.py) coordina la ejecución secuencial de todos los módulos. El flujo completo para un ciclo de bin picking es:</w:t>
      </w:r>
    </w:p>
    <w:p>
      <w:pPr>
        <w:spacing w:after="120" w:line="276"/>
        <w:ind w:firstLine="360"/>
        <w:jc w:val="both"/>
      </w:pPr>
      <w:r>
        <w:rPr>
          <w:rFonts w:ascii="Arial" w:cs="Arial" w:eastAsia="Arial" w:hAnsi="Arial"/>
          <w:color w:val="333333"/>
          <w:sz w:val="22"/>
          <w:szCs w:val="22"/>
        </w:rPr>
        <w:t xml:space="preserve">1. Captura: Se adquiere un par de imágenes RGB-D desde la cámara virtual de CoppeliaSim.</w:t>
      </w:r>
    </w:p>
    <w:p>
      <w:pPr>
        <w:spacing w:after="120" w:line="276"/>
        <w:ind w:firstLine="360"/>
        <w:jc w:val="both"/>
      </w:pPr>
      <w:r>
        <w:rPr>
          <w:rFonts w:ascii="Arial" w:cs="Arial" w:eastAsia="Arial" w:hAnsi="Arial"/>
          <w:color w:val="333333"/>
          <w:sz w:val="22"/>
          <w:szCs w:val="22"/>
        </w:rPr>
        <w:t xml:space="preserve">2. Detección: Se segmentan los objetos presentes en la escena, generando máscaras y bounding boxes.</w:t>
      </w:r>
    </w:p>
    <w:p>
      <w:pPr>
        <w:spacing w:after="120" w:line="276"/>
        <w:ind w:firstLine="360"/>
        <w:jc w:val="both"/>
      </w:pPr>
      <w:r>
        <w:rPr>
          <w:rFonts w:ascii="Arial" w:cs="Arial" w:eastAsia="Arial" w:hAnsi="Arial"/>
          <w:color w:val="333333"/>
          <w:sz w:val="22"/>
          <w:szCs w:val="22"/>
        </w:rPr>
        <w:t xml:space="preserve">3. Estimación de pose: Para cada objeto detectado, se estima la pose 6-DoF mediante FoundationPose (o GDR-Net como baseline).</w:t>
      </w:r>
    </w:p>
    <w:p>
      <w:pPr>
        <w:spacing w:after="120" w:line="276"/>
        <w:ind w:firstLine="360"/>
        <w:jc w:val="both"/>
      </w:pPr>
      <w:r>
        <w:rPr>
          <w:rFonts w:ascii="Arial" w:cs="Arial" w:eastAsia="Arial" w:hAnsi="Arial"/>
          <w:color w:val="333333"/>
          <w:sz w:val="22"/>
          <w:szCs w:val="22"/>
        </w:rPr>
        <w:t xml:space="preserve">4. Selección de objetivo: Se selecciona el objeto con mayor puntuación de detección/pose como objetivo de agarre.</w:t>
      </w:r>
    </w:p>
    <w:p>
      <w:pPr>
        <w:spacing w:after="120" w:line="276"/>
        <w:ind w:firstLine="360"/>
        <w:jc w:val="both"/>
      </w:pPr>
      <w:r>
        <w:rPr>
          <w:rFonts w:ascii="Arial" w:cs="Arial" w:eastAsia="Arial" w:hAnsi="Arial"/>
          <w:color w:val="333333"/>
          <w:sz w:val="22"/>
          <w:szCs w:val="22"/>
        </w:rPr>
        <w:t xml:space="preserve">5. Planificación de agarre: Se genera una trayectoria de agarre completa (16 waypoints) mediante Diffusion Policy.</w:t>
      </w:r>
    </w:p>
    <w:p>
      <w:pPr>
        <w:spacing w:after="120" w:line="276"/>
        <w:ind w:firstLine="360"/>
        <w:jc w:val="both"/>
      </w:pPr>
      <w:r>
        <w:rPr>
          <w:rFonts w:ascii="Arial" w:cs="Arial" w:eastAsia="Arial" w:hAnsi="Arial"/>
          <w:color w:val="333333"/>
          <w:sz w:val="22"/>
          <w:szCs w:val="22"/>
        </w:rPr>
        <w:t xml:space="preserve">6. Ejecución: La trayectoria se ejecuta en CoppeliaSim con corrección de visual servoing en tiempo real.</w:t>
      </w:r>
    </w:p>
    <w:p>
      <w:pPr>
        <w:spacing w:after="120" w:line="276"/>
        <w:ind w:firstLine="360"/>
        <w:jc w:val="both"/>
      </w:pPr>
      <w:r>
        <w:rPr>
          <w:rFonts w:ascii="Arial" w:cs="Arial" w:eastAsia="Arial" w:hAnsi="Arial"/>
          <w:color w:val="333333"/>
          <w:sz w:val="22"/>
          <w:szCs w:val="22"/>
        </w:rPr>
        <w:t xml:space="preserve">7. Verificación: Se comprueba el éxito del agarre mediante el sensor de fuerza del gripper.</w:t>
      </w:r>
    </w:p>
    <w:p>
      <w:pPr>
        <w:spacing w:after="120" w:line="276"/>
        <w:ind w:firstLine="360"/>
        <w:jc w:val="both"/>
      </w:pPr>
      <w:r>
        <w:rPr>
          <w:rFonts w:ascii="Arial" w:cs="Arial" w:eastAsia="Arial" w:hAnsi="Arial"/>
          <w:color w:val="333333"/>
          <w:sz w:val="22"/>
          <w:szCs w:val="22"/>
        </w:rPr>
        <w:t xml:space="preserve">La configuración del pipeline se gestiona mediante Hydra (Yadan, 2019), con archivos YAML en data/configs/ que permiten modificar parámetros (método de pose, número de muestras, umbrales) sin alterar el código fuente.</w:t>
      </w:r>
    </w:p>
    <w:p>
      <w:pPr>
        <w:pStyle w:val="Heading2"/>
        <w:spacing w:after="160" w:before="280"/>
      </w:pPr>
      <w:r>
        <w:rPr>
          <w:rFonts w:ascii="Arial" w:cs="Arial" w:eastAsia="Arial" w:hAnsi="Arial"/>
          <w:b/>
          <w:bCs/>
          <w:color w:val="0098CD"/>
          <w:sz w:val="26"/>
          <w:szCs w:val="26"/>
        </w:rPr>
        <w:t xml:space="preserve">5.6. Entorno de desarrollo y reproducibilidad</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287"/>
      </w:tblGrid>
      <w:tr>
        <w:tc>
          <w:tcPr>
            <w:tcW w:type="dxa" w:w="2200"/>
            <w:tcBorders>
              <w:top w:val="single" w:color="CCCCCC" w:sz="1"/>
              <w:left w:val="single" w:color="CCCCCC" w:sz="1"/>
              <w:bottom w:val="single" w:color="CCCCCC" w:sz="1"/>
              <w:right w:val="single" w:color="CCCCCC" w:sz="1"/>
            </w:tcBorders>
            <w:shd w:fill="006C8F" w:val="clear"/>
            <w:tcMar>
              <w:top w:type="dxa" w:w="60"/>
              <w:left w:type="dxa" w:w="100"/>
              <w:bottom w:type="dxa" w:w="60"/>
              <w:right w:type="dxa" w:w="100"/>
            </w:tcMar>
          </w:tcPr>
          <w:p>
            <w:r>
              <w:rPr>
                <w:rFonts w:ascii="Arial" w:cs="Arial" w:eastAsia="Arial" w:hAnsi="Arial"/>
                <w:b/>
                <w:bCs/>
                <w:color w:val="FFFFFF"/>
                <w:sz w:val="20"/>
                <w:szCs w:val="20"/>
              </w:rPr>
              <w:t xml:space="preserve">Componente</w:t>
            </w:r>
          </w:p>
        </w:tc>
        <w:tc>
          <w:tcPr>
            <w:tcW w:type="dxa" w:w="3300"/>
            <w:tcBorders>
              <w:top w:val="single" w:color="CCCCCC" w:sz="1"/>
              <w:left w:val="single" w:color="CCCCCC" w:sz="1"/>
              <w:bottom w:val="single" w:color="CCCCCC" w:sz="1"/>
              <w:right w:val="single" w:color="CCCCCC" w:sz="1"/>
            </w:tcBorders>
            <w:shd w:fill="006C8F" w:val="clear"/>
            <w:tcMar>
              <w:top w:type="dxa" w:w="60"/>
              <w:left w:type="dxa" w:w="100"/>
              <w:bottom w:type="dxa" w:w="60"/>
              <w:right w:type="dxa" w:w="100"/>
            </w:tcMar>
          </w:tcPr>
          <w:p>
            <w:r>
              <w:rPr>
                <w:rFonts w:ascii="Arial" w:cs="Arial" w:eastAsia="Arial" w:hAnsi="Arial"/>
                <w:b/>
                <w:bCs/>
                <w:color w:val="FFFFFF"/>
                <w:sz w:val="20"/>
                <w:szCs w:val="20"/>
              </w:rPr>
              <w:t xml:space="preserve">Local (M1 Pro)</w:t>
            </w:r>
          </w:p>
        </w:tc>
        <w:tc>
          <w:tcPr>
            <w:tcW w:type="dxa" w:w="3287"/>
            <w:tcBorders>
              <w:top w:val="single" w:color="CCCCCC" w:sz="1"/>
              <w:left w:val="single" w:color="CCCCCC" w:sz="1"/>
              <w:bottom w:val="single" w:color="CCCCCC" w:sz="1"/>
              <w:right w:val="single" w:color="CCCCCC" w:sz="1"/>
            </w:tcBorders>
            <w:shd w:fill="006C8F" w:val="clear"/>
            <w:tcMar>
              <w:top w:type="dxa" w:w="60"/>
              <w:left w:type="dxa" w:w="100"/>
              <w:bottom w:type="dxa" w:w="60"/>
              <w:right w:type="dxa" w:w="100"/>
            </w:tcMar>
          </w:tcPr>
          <w:p>
            <w:r>
              <w:rPr>
                <w:rFonts w:ascii="Arial" w:cs="Arial" w:eastAsia="Arial" w:hAnsi="Arial"/>
                <w:b/>
                <w:bCs/>
                <w:color w:val="FFFFFF"/>
                <w:sz w:val="20"/>
                <w:szCs w:val="20"/>
              </w:rPr>
              <w:t xml:space="preserve">Remoto (Colab)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Python</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3.12.8 (uv + pyproject.toml)</w:t>
            </w:r>
          </w:p>
        </w:tc>
        <w:tc>
          <w:tcPr>
            <w:tcW w:type="dxa" w:w="3287"/>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3.10 (pip)</w:t>
            </w:r>
          </w:p>
        </w:tc>
      </w:tr>
      <w:tr>
        <w:tc>
          <w:tcPr>
            <w:tcW w:type="dxa" w:w="22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b/>
                <w:bCs/>
                <w:color w:val="333333"/>
                <w:sz w:val="20"/>
                <w:szCs w:val="20"/>
                <w:shd/>
              </w:rPr>
              <w:t xml:space="preserve">PyTorch</w:t>
            </w:r>
          </w:p>
        </w:tc>
        <w:tc>
          <w:tcPr>
            <w:tcW w:type="dxa" w:w="33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color w:val="333333"/>
                <w:sz w:val="20"/>
                <w:szCs w:val="20"/>
                <w:shd/>
              </w:rPr>
              <w:t xml:space="preserve">2.11.0 + MPS (Apple Silicon)</w:t>
            </w:r>
          </w:p>
        </w:tc>
        <w:tc>
          <w:tcPr>
            <w:tcW w:type="dxa" w:w="3287"/>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color w:val="333333"/>
                <w:sz w:val="20"/>
                <w:szCs w:val="20"/>
                <w:shd/>
              </w:rPr>
              <w:t xml:space="preserve">2.x + CUDA T4/A100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Simulación</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CoppeliaSim + ROS 2 (Docker)</w:t>
            </w:r>
          </w:p>
        </w:tc>
        <w:tc>
          <w:tcPr>
            <w:tcW w:type="dxa" w:w="3287"/>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t>
            </w:r>
          </w:p>
        </w:tc>
      </w:tr>
      <w:tr>
        <w:tc>
          <w:tcPr>
            <w:tcW w:type="dxa" w:w="22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b/>
                <w:bCs/>
                <w:color w:val="333333"/>
                <w:sz w:val="20"/>
                <w:szCs w:val="20"/>
                <w:shd/>
              </w:rPr>
              <w:t xml:space="preserve">Inference DL</w:t>
            </w:r>
          </w:p>
        </w:tc>
        <w:tc>
          <w:tcPr>
            <w:tcW w:type="dxa" w:w="33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color w:val="333333"/>
                <w:sz w:val="20"/>
                <w:szCs w:val="20"/>
                <w:shd/>
              </w:rPr>
              <w:t xml:space="preserve">Ligera (MPS)</w:t>
            </w:r>
          </w:p>
        </w:tc>
        <w:tc>
          <w:tcPr>
            <w:tcW w:type="dxa" w:w="3287"/>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color w:val="333333"/>
                <w:sz w:val="20"/>
                <w:szCs w:val="20"/>
                <w:shd/>
              </w:rPr>
              <w:t xml:space="preserve">FoundationPose, Diffusion Policy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Testing</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pytest (77+ tests)</w:t>
            </w:r>
          </w:p>
        </w:tc>
        <w:tc>
          <w:tcPr>
            <w:tcW w:type="dxa" w:w="3287"/>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Notebooks de validación</w:t>
            </w:r>
          </w:p>
        </w:tc>
      </w:tr>
    </w:tbl>
    <w:p>
      <w:pPr>
        <w:spacing w:after="120" w:line="276"/>
        <w:jc w:val="both"/>
      </w:pPr>
      <w:r>
        <w:rPr>
          <w:rFonts w:ascii="Arial" w:cs="Arial" w:eastAsia="Arial" w:hAnsi="Arial"/>
          <w:color w:val="333333"/>
          <w:sz w:val="22"/>
          <w:szCs w:val="22"/>
        </w:rPr>
        <w:t xml:space="preserve"/>
      </w:r>
    </w:p>
    <w:p>
      <w:pPr>
        <w:spacing w:after="120" w:line="276"/>
        <w:ind w:firstLine="360"/>
        <w:jc w:val="both"/>
      </w:pPr>
      <w:r>
        <w:rPr>
          <w:rFonts w:ascii="Arial" w:cs="Arial" w:eastAsia="Arial" w:hAnsi="Arial"/>
          <w:color w:val="333333"/>
          <w:sz w:val="22"/>
          <w:szCs w:val="22"/>
        </w:rPr>
        <w:t xml:space="preserve">El repositorio incluye un archivo uv.lock que garantiza la reproducibilidad exacta del entorno Python, y un docker-compose.yml que configura el contenedor ROS 2 con los volúmenes necesarios para acceder al código fuente y los datos desde dentro del contenedor.</w:t>
      </w:r>
    </w:p>
    <w:p>
      <w:pPr>
        <w:spacing w:after="120" w:line="276"/>
        <w:ind w:firstLine="360"/>
        <w:jc w:val="both"/>
      </w:pPr>
      <w:r>
        <w:rPr>
          <w:rFonts w:ascii="Arial" w:cs="Arial" w:eastAsia="Arial" w:hAnsi="Arial"/>
          <w:color w:val="333333"/>
          <w:sz w:val="22"/>
          <w:szCs w:val="22"/>
        </w:rPr>
        <w:t xml:space="preserve">Los 77 tests unitarios cubren los módulos matemáticos (grupos de Lie, representaciones de rotación, métricas BOP), el pipeline de planificación (Diffusion Policy, muestreo de agarres), y la configuración de los componentes de simulación. La suite de tests se ejecuta en menos de 2 segundos, facilitando el desarrollo iterativo.</w:t>
      </w:r>
    </w:p>
    <w:sectPr>
      <w:headerReference w:type="default" r:id="rId7"/>
      <w:footerReference w:type="default" r:id="rId8"/>
      <w:pgSz w:w="11906" w:h="16838" w:orient="portrait"/>
      <w:pgMar w:top="1800" w:right="1418"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8CD" w:sz="6" w:space="4"/>
      </w:pBdr>
      <w:jc w:val="center"/>
    </w:pPr>
    <w:r>
      <w:rPr>
        <w:rFonts w:ascii="Arial" w:cs="Arial" w:eastAsia="Arial" w:hAnsi="Arial"/>
        <w:color w:val="858591"/>
        <w:sz w:val="16"/>
        <w:szCs w:val="16"/>
      </w:rPr>
      <w:t xml:space="preserve">TFM — Pose 6-DoF con Transformers y Difusión para Bin Picking — Pág. </w:t>
    </w:r>
    <w:r>
      <w:rPr>
        <w:rFonts w:ascii="Arial" w:cs="Arial" w:eastAsia="Arial" w:hAnsi="Arial"/>
        <w:color w:val="85859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952500" cy="209550"/>
          <wp:effectExtent t="0" r="0" b="0" l="0"/>
          <wp:docPr id="1" name="unir_logo" descr="Logo UNIR" title="UN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52500" cy="2095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6C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098CD"/>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163de835ab6d9ec26ce6e7f4112df22ce6a708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2026-04-09T20:09:03.043Z</dcterms:created>
  <dcterms:modified xsi:type="dcterms:W3CDTF">2026-04-09T20:09:03.050Z</dcterms:modified>
</cp:coreProperties>
</file>

<file path=docProps/custom.xml><?xml version="1.0" encoding="utf-8"?>
<Properties xmlns="http://schemas.openxmlformats.org/officeDocument/2006/custom-properties" xmlns:vt="http://schemas.openxmlformats.org/officeDocument/2006/docPropsVTypes"/>
</file>