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CA2DA" w14:textId="77777777" w:rsidR="00EA710F" w:rsidRPr="0097635A" w:rsidRDefault="00EA710F" w:rsidP="006403BD">
      <w:bookmarkStart w:id="0" w:name="_Hlk54276885"/>
      <w:bookmarkEnd w:id="0"/>
    </w:p>
    <w:p w14:paraId="24803DC5" w14:textId="77777777" w:rsidR="006A56B3" w:rsidRPr="0097635A" w:rsidRDefault="009450AB" w:rsidP="001C4EA4">
      <w:pPr>
        <w:pStyle w:val="NoSpacing"/>
        <w:spacing w:line="276" w:lineRule="auto"/>
        <w:jc w:val="center"/>
        <w:rPr>
          <w:rFonts w:asciiTheme="majorHAnsi" w:hAnsiTheme="majorHAnsi" w:cs="Open Sans"/>
          <w:sz w:val="48"/>
          <w:szCs w:val="28"/>
        </w:rPr>
      </w:pPr>
      <w:r>
        <w:rPr>
          <w:rFonts w:asciiTheme="majorHAnsi" w:hAnsiTheme="majorHAnsi" w:cs="Open Sans"/>
          <w:noProof/>
          <w:sz w:val="48"/>
          <w:szCs w:val="28"/>
          <w:lang w:eastAsia="es-ES"/>
        </w:rPr>
        <w:drawing>
          <wp:inline distT="0" distB="0" distL="0" distR="0" wp14:anchorId="402EFF8F" wp14:editId="77B279C8">
            <wp:extent cx="3843319" cy="865249"/>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66CE675C" w14:textId="77777777" w:rsidR="0016080C" w:rsidRPr="0097635A" w:rsidRDefault="00821D63" w:rsidP="00821D63">
      <w:pPr>
        <w:pStyle w:val="NoSpacing"/>
        <w:spacing w:line="276" w:lineRule="auto"/>
        <w:jc w:val="center"/>
        <w:rPr>
          <w:rFonts w:asciiTheme="majorHAnsi" w:hAnsiTheme="majorHAnsi" w:cs="Open Sans"/>
          <w:sz w:val="48"/>
          <w:szCs w:val="28"/>
        </w:rPr>
      </w:pPr>
      <w:r>
        <w:rPr>
          <w:rFonts w:asciiTheme="majorHAnsi" w:hAnsiTheme="majorHAnsi" w:cs="Open Sans"/>
          <w:sz w:val="48"/>
          <w:szCs w:val="28"/>
        </w:rPr>
        <w:t>Universidad Internacional de La Rioja</w:t>
      </w:r>
    </w:p>
    <w:p w14:paraId="1760287D" w14:textId="77777777" w:rsidR="00821D63" w:rsidRPr="0097635A" w:rsidRDefault="004040E2" w:rsidP="00821D63">
      <w:pPr>
        <w:pStyle w:val="NoSpacing"/>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 Tecnología</w:t>
      </w:r>
    </w:p>
    <w:p w14:paraId="5EFE04BF" w14:textId="77777777" w:rsidR="00821D63" w:rsidRPr="0097635A" w:rsidRDefault="00821D63" w:rsidP="00821D63">
      <w:pPr>
        <w:pStyle w:val="NoSpacing"/>
        <w:spacing w:line="276" w:lineRule="auto"/>
        <w:jc w:val="center"/>
        <w:rPr>
          <w:rFonts w:asciiTheme="minorHAnsi" w:hAnsiTheme="minorHAnsi" w:cs="Tahoma"/>
          <w:sz w:val="40"/>
          <w:szCs w:val="28"/>
        </w:rPr>
      </w:pPr>
    </w:p>
    <w:p w14:paraId="5208FC36" w14:textId="77777777" w:rsidR="00FC4A7B" w:rsidRPr="0097635A" w:rsidRDefault="00FC4A7B" w:rsidP="00821D63">
      <w:pPr>
        <w:pStyle w:val="NoSpacing"/>
        <w:spacing w:line="276" w:lineRule="auto"/>
        <w:jc w:val="center"/>
        <w:rPr>
          <w:rFonts w:asciiTheme="minorHAnsi" w:hAnsiTheme="minorHAnsi" w:cs="Tahoma"/>
          <w:sz w:val="40"/>
          <w:szCs w:val="28"/>
        </w:rPr>
      </w:pPr>
    </w:p>
    <w:p w14:paraId="3DC081E1" w14:textId="77777777" w:rsidR="00821D63" w:rsidRPr="0097635A" w:rsidRDefault="00821D63" w:rsidP="00821D63">
      <w:pPr>
        <w:pStyle w:val="NoSpacing"/>
        <w:spacing w:line="276" w:lineRule="auto"/>
        <w:jc w:val="center"/>
        <w:rPr>
          <w:rFonts w:asciiTheme="majorHAnsi" w:hAnsiTheme="majorHAnsi" w:cs="Tahoma"/>
          <w:sz w:val="48"/>
          <w:szCs w:val="28"/>
        </w:rPr>
      </w:pPr>
      <w:r>
        <w:rPr>
          <w:rFonts w:asciiTheme="majorHAnsi" w:hAnsiTheme="majorHAnsi" w:cs="Tahoma"/>
          <w:sz w:val="36"/>
          <w:szCs w:val="28"/>
        </w:rPr>
        <w:t>Máster Universitario en Ingeniería Matemática y Computación</w:t>
      </w:r>
    </w:p>
    <w:p w14:paraId="1D435B8C" w14:textId="77777777" w:rsidR="00821D63" w:rsidRPr="0097635A" w:rsidRDefault="00CA0785" w:rsidP="00821D63">
      <w:pPr>
        <w:pStyle w:val="NoSpacing"/>
        <w:spacing w:line="276" w:lineRule="auto"/>
        <w:jc w:val="center"/>
        <w:rPr>
          <w:rFonts w:asciiTheme="minorHAnsi" w:hAnsiTheme="minorHAnsi" w:cs="Tahoma"/>
          <w:sz w:val="36"/>
          <w:szCs w:val="24"/>
        </w:rPr>
      </w:pPr>
      <w:r>
        <w:rPr>
          <w:rFonts w:asciiTheme="minorHAnsi" w:hAnsiTheme="minorHAnsi" w:cs="Tahoma"/>
          <w:color w:val="0098CD"/>
          <w:sz w:val="36"/>
          <w:szCs w:val="24"/>
        </w:rPr>
        <w:t>Estimación de Pose 6-DoF mediante Arquitecturas Transformer y Modelos de Difusión para Bin Picking Robótico: Fundamentos Matemáticos, Generación de Datos Sintéticos y Validación en Simulación</w:t>
      </w:r>
    </w:p>
    <w:p w14:paraId="3C1BD649" w14:textId="77777777" w:rsidR="00C55AB1" w:rsidRDefault="00C55AB1">
      <w:pPr>
        <w:rPr>
          <w:lang w:eastAsia="en-US"/>
        </w:rPr>
      </w:pPr>
    </w:p>
    <w:p w14:paraId="12F892DA" w14:textId="77777777" w:rsidR="00C55AB1" w:rsidRDefault="00C55AB1">
      <w:pPr>
        <w:rPr>
          <w:lang w:eastAsia="en-US"/>
        </w:rPr>
      </w:pPr>
    </w:p>
    <w:p w14:paraId="652670FC" w14:textId="77777777" w:rsidR="00C55AB1" w:rsidRDefault="00C55AB1">
      <w:pPr>
        <w:rPr>
          <w:lang w:eastAsia="en-US"/>
        </w:rPr>
      </w:pPr>
    </w:p>
    <w:tbl>
      <w:tblPr>
        <w:tblStyle w:val="TableGrid"/>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106"/>
        <w:gridCol w:w="4407"/>
      </w:tblGrid>
      <w:tr w:rsidR="001C4EA4" w:rsidRPr="0097635A" w14:paraId="158E6D78" w14:textId="77777777" w:rsidTr="00F92B4D">
        <w:tc>
          <w:tcPr>
            <w:tcW w:w="4106" w:type="dxa"/>
            <w:vAlign w:val="center"/>
          </w:tcPr>
          <w:p w14:paraId="0EC971CE"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Trabajo fin de estudio presentado por:</w:t>
            </w:r>
          </w:p>
        </w:tc>
        <w:tc>
          <w:tcPr>
            <w:tcW w:w="4407" w:type="dxa"/>
            <w:vAlign w:val="center"/>
          </w:tcPr>
          <w:p w14:paraId="611FA1C8" w14:textId="77777777" w:rsidR="001C4EA4" w:rsidRPr="0097635A" w:rsidRDefault="00FB3F67" w:rsidP="000757FF">
            <w:pPr>
              <w:pStyle w:val="NoSpacing"/>
              <w:spacing w:line="276" w:lineRule="auto"/>
              <w:rPr>
                <w:rFonts w:asciiTheme="majorHAnsi" w:hAnsiTheme="majorHAnsi" w:cs="Tahoma"/>
                <w:sz w:val="24"/>
                <w:szCs w:val="28"/>
              </w:rPr>
            </w:pPr>
            <w:r>
              <w:rPr>
                <w:rFonts w:asciiTheme="majorHAnsi" w:hAnsiTheme="majorHAnsi" w:cs="Tahoma"/>
                <w:sz w:val="24"/>
                <w:szCs w:val="28"/>
              </w:rPr>
              <w:t>Giocrisrai Godoy Bonillo y José Miguel Carrasco</w:t>
            </w:r>
          </w:p>
        </w:tc>
      </w:tr>
      <w:tr w:rsidR="001C4EA4" w:rsidRPr="0097635A" w14:paraId="10FA5231" w14:textId="77777777" w:rsidTr="00F92B4D">
        <w:tc>
          <w:tcPr>
            <w:tcW w:w="4106" w:type="dxa"/>
            <w:vAlign w:val="center"/>
          </w:tcPr>
          <w:p w14:paraId="140A5915"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Tipo de trabajo:</w:t>
            </w:r>
          </w:p>
        </w:tc>
        <w:tc>
          <w:tcPr>
            <w:tcW w:w="4407" w:type="dxa"/>
            <w:vAlign w:val="center"/>
          </w:tcPr>
          <w:p w14:paraId="6C082EDA"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Tipo 1. Desarrollo práctico</w:t>
            </w:r>
          </w:p>
        </w:tc>
      </w:tr>
      <w:tr w:rsidR="001C4EA4" w:rsidRPr="0097635A" w14:paraId="38B7396E" w14:textId="77777777" w:rsidTr="00F92B4D">
        <w:tc>
          <w:tcPr>
            <w:tcW w:w="4106" w:type="dxa"/>
            <w:vAlign w:val="center"/>
          </w:tcPr>
          <w:p w14:paraId="6E2FD1FA"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Director/a:</w:t>
            </w:r>
          </w:p>
        </w:tc>
        <w:tc>
          <w:tcPr>
            <w:tcW w:w="4407" w:type="dxa"/>
            <w:vAlign w:val="center"/>
          </w:tcPr>
          <w:p w14:paraId="3B975C28"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Profesora Benítez</w:t>
            </w:r>
          </w:p>
        </w:tc>
      </w:tr>
      <w:tr w:rsidR="001C4EA4" w:rsidRPr="0097635A" w14:paraId="0BF30BDB" w14:textId="77777777" w:rsidTr="00F92B4D">
        <w:tc>
          <w:tcPr>
            <w:tcW w:w="4106" w:type="dxa"/>
            <w:vAlign w:val="center"/>
          </w:tcPr>
          <w:p w14:paraId="68231510"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Fecha:</w:t>
            </w:r>
          </w:p>
        </w:tc>
        <w:tc>
          <w:tcPr>
            <w:tcW w:w="4407" w:type="dxa"/>
            <w:vAlign w:val="center"/>
          </w:tcPr>
          <w:p w14:paraId="24EBFA6E"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Junio 2026</w:t>
            </w:r>
          </w:p>
        </w:tc>
      </w:tr>
    </w:tbl>
    <w:p w14:paraId="061A8563" w14:textId="77777777" w:rsidR="00C55AB1" w:rsidRDefault="00C55AB1">
      <w:pPr>
        <w:rPr>
          <w:lang w:eastAsia="en-US"/>
        </w:rPr>
      </w:pPr>
    </w:p>
    <w:p w14:paraId="427BDC9D" w14:textId="77777777" w:rsidR="00C55AB1" w:rsidRDefault="00C55AB1">
      <w:pPr>
        <w:rPr>
          <w:lang w:eastAsia="en-US"/>
        </w:rPr>
      </w:pPr>
    </w:p>
    <w:p w14:paraId="24CB4EF9" w14:textId="77777777" w:rsidR="00C55AB1" w:rsidRDefault="00C55AB1">
      <w:pPr>
        <w:rPr>
          <w:lang w:eastAsia="en-US"/>
        </w:rPr>
      </w:pPr>
    </w:p>
    <w:p w14:paraId="26A17B6D" w14:textId="77777777" w:rsidR="00C55AB1" w:rsidRDefault="00C55AB1">
      <w:pPr>
        <w:rPr>
          <w:lang w:eastAsia="en-US"/>
        </w:rPr>
      </w:pPr>
    </w:p>
    <w:p w14:paraId="1C08DDB1" w14:textId="77777777" w:rsidR="008544B8" w:rsidRPr="0097635A" w:rsidRDefault="008544B8" w:rsidP="006403BD">
      <w:pPr>
        <w:pStyle w:val="Ttulondices"/>
      </w:pPr>
      <w:r>
        <w:br w:type="page"/>
      </w:r>
      <w:r>
        <w:lastRenderedPageBreak/>
        <w:t xml:space="preserve">Resumen </w:t>
      </w:r>
    </w:p>
    <w:p w14:paraId="4575F1C3" w14:textId="254E4D38" w:rsidR="00ED1546" w:rsidRPr="0097635A" w:rsidRDefault="004040E2" w:rsidP="006403BD">
      <w:pPr>
        <w:rPr>
          <w:lang w:eastAsia="en-US"/>
        </w:rPr>
      </w:pPr>
      <w:r>
        <w:rPr>
          <w:lang w:eastAsia="en-US"/>
        </w:rPr>
        <w:t>Este Trabajo Fin de Máster aborda el problema del bin picking robótico mediante estimación de pose 6-DoF (seis grados de libertad) utilizando arquitecturas de deep learning de última generación. Se propone un pipeline de percepción que integra dos paradigmas: Transformers, a través de FoundationPose (Wen et al., 2024), para la estimación de pose mediante mecanismos de atención cruzada entre representaciones 2D y 3D; y modelos de difusión, mediante el formalismo de Diffusion Policy (Chi et al., 2023), como marco para la generación de trayectorias de agarre multimodales formuladas como ecuaciones diferenciales estocásticas en reversa, cuya red de denoising queda implementada y dimensionada en el repositorio (entrenamiento dedicado declarado como trabajo futuro).</w:t>
      </w:r>
    </w:p>
    <w:p w14:paraId="1ECC3FA4" w14:textId="2CE60B02" w:rsidR="002B3E99" w:rsidRPr="0097635A" w:rsidRDefault="008544B8" w:rsidP="004E5AA8">
      <w:pPr>
        <w:rPr>
          <w:lang w:eastAsia="en-US"/>
        </w:rPr>
      </w:pPr>
      <w:r>
        <w:rPr>
          <w:lang w:eastAsia="en-US"/>
        </w:rPr>
        <w:t>El sustento matemático incluye la representación de rotaciones en SO(3) mediante cuaterniones unitarios y la representación 6D continua de Zhou et al. (2019), refinamiento iterativo de pose mediante red neuronal de scoring (Wen et al., 2024), funciones de score matching para el proceso de denoising y dinámica de Langevin para el muestreo de trayectorias. La metodología combina una estrategia híbrida local (Apple M1 Pro con CoppeliaSim Edu V4.10.0) y remota (Google Colab con GPU NVIDIA Tesla T4) para inferencia y validación. Se emplean los benchmarks BOP (T-LESS, YCB-Video) sobre el subset oficial BOP-19, evaluando con las métricas ADD, ADD-S, AUC y recalls a 5/10/20 mm. La pieza ROS 2 Humble + MoveIt 2 está contenedorizada en Docker como infraestructura reproducible, su ejecución integral queda como trabajo futuro.</w:t>
      </w:r>
      <w:proofErr w:type="gramStart"/>
      <w:r>
        <w:rPr>
          <w:lang w:eastAsia="en-US"/>
        </w:rPr>
      </w:r>
      <w:proofErr w:type="gramEnd"/>
      <w:r>
        <w:rPr>
          <w:lang w:eastAsia="en-US"/>
        </w:rPr>
      </w:r>
      <w:bookmarkStart w:id="1" w:name="_Hlk147741151"/>
      <w:bookmarkEnd w:id="1"/>
    </w:p>
    <w:p w14:paraId="1CB23B5D" w14:textId="77777777" w:rsidR="00D92F3B" w:rsidRPr="0097635A" w:rsidRDefault="00D92F3B" w:rsidP="004E5AA8">
      <w:pPr>
        <w:spacing w:before="0" w:after="0"/>
        <w:rPr>
          <w:lang w:eastAsia="en-US"/>
        </w:rPr>
      </w:pPr>
      <w:bookmarkStart w:id="2" w:name="_Toc437509152"/>
      <w:r>
        <w:rPr>
          <w:lang w:eastAsia="en-US"/>
        </w:rPr>
        <w:t>Los resultados experimentales sobre 1098 objetos de YCB-V y 1012 de T-LESS reportan un ADD mediano de 4.17 mm y 2.90 mm respectivamente, con AUC ADD-S de 0.959 y 0.983 y recall@10 mm ADD-S superior al 96 % en ambos datasets. La latencia media de inferencia FoundationPose es de 4.15 s/objeto sobre GPU T4. Como baseline comparativo se reportan los valores oficiales del BOP Challenge 2022 para GDR-Net++ (Wang et al., 2021; extensión BOP 2022). El pipeline de planificación se valida sobre 60 poses reales muestreadas de los datos anteriores; la infraestructura de simulación CoppeliaSim ↔ Python ZMQ Remote API se valida mediante un smoke test reproducible. Este trabajo contribuye al campo integrando fundamentos de ingeniería matemática con las arquitecturas más avanzadas de deep learning, con todos los artefactos (JSON de resultados, predicciones por frame, figuras y RUN_CARD) versionados en el repositorio para auditoría externa.</w:t>
      </w:r>
    </w:p>
    <w:p w14:paraId="7C9C2EE1" w14:textId="77777777" w:rsidR="004040E2" w:rsidRPr="004E5AA8" w:rsidRDefault="004040E2" w:rsidP="004E5AA8">
      <w:pPr>
        <w:rPr>
          <w:lang w:eastAsia="en-US"/>
        </w:rPr>
      </w:pPr>
      <w:r w:rsidRPr="004E5AA8">
        <w:rPr>
          <w:lang w:eastAsia="en-US"/>
        </w:rPr>
        <w:t>Palabras clave: estimación de pose 6-DoF, bin picking robótico, FoundationPose, Diffusion Policy, Transformers.</w:t>
      </w:r>
    </w:p>
    <w:p w14:paraId="2335784A" w14:textId="77777777" w:rsidR="00FF32DA" w:rsidRDefault="00FF32DA" w:rsidP="00D92F3B">
      <w:pPr>
        <w:pStyle w:val="Ttulondices"/>
        <w:rPr>
          <w:lang w:val="en-US"/>
        </w:rPr>
      </w:pPr>
    </w:p>
    <w:p w14:paraId="25AF42A9" w14:textId="77777777" w:rsidR="00FF32DA" w:rsidRDefault="00FF32DA" w:rsidP="00D92F3B">
      <w:pPr>
        <w:pStyle w:val="Ttulondices"/>
        <w:rPr>
          <w:lang w:val="en-US"/>
        </w:rPr>
      </w:pPr>
    </w:p>
    <w:p w14:paraId="55C1367A" w14:textId="10411755" w:rsidR="00FF32DA" w:rsidRDefault="00FF32DA" w:rsidP="00D92F3B">
      <w:pPr>
        <w:pStyle w:val="Ttulondices"/>
        <w:rPr>
          <w:lang w:val="en-US"/>
        </w:rPr>
      </w:pPr>
    </w:p>
    <w:p w14:paraId="2C28D5EC" w14:textId="77777777" w:rsidR="004E5AA8" w:rsidRDefault="004E5AA8" w:rsidP="00D92F3B">
      <w:pPr>
        <w:pStyle w:val="Ttulondices"/>
        <w:rPr>
          <w:lang w:val="en-US"/>
        </w:rPr>
      </w:pPr>
    </w:p>
    <w:p w14:paraId="0EBF749D" w14:textId="4F9D0477" w:rsidR="00D92F3B" w:rsidRPr="00DB3B27" w:rsidRDefault="00D92F3B" w:rsidP="00D92F3B">
      <w:pPr>
        <w:pStyle w:val="Ttulondices"/>
        <w:rPr>
          <w:lang w:val="en-US"/>
        </w:rPr>
      </w:pPr>
      <w:r>
        <w:rPr>
          <w:lang w:val="en-US"/>
        </w:rPr>
        <w:t>Abstract</w:t>
      </w:r>
    </w:p>
    <w:p w14:paraId="50969C5D" w14:textId="35A3817F" w:rsidR="00D92F3B" w:rsidRPr="00DB3B27" w:rsidRDefault="00C93626" w:rsidP="00194057">
      <w:pPr>
        <w:rPr>
          <w:lang w:val="en-US"/>
        </w:rPr>
      </w:pPr>
      <w:r>
        <w:rPr>
          <w:lang w:val="en-US"/>
        </w:rPr>
        <w:t>This Master’s Thesis addresses the robotic bin picking problem through 6-DoF (six degrees of freedom) pose estimation using state-of-the-art deep learning architectures. We propose a perception pipeline integrating two paradigms: Transformers, via FoundationPose (Wen et al., 2024), for pose estimation through cross-attention mechanisms between 2D and 3D representations; and diffusion models, leveraging the Diffusion Policy formalism (Chi et al., 2023) as a framework for multimodal grasp trajectory generation formulated as reverse stochastic differential equations, with the denoising network implemented and parameterized in the repository (dedicated training is declared as future work).</w:t>
      </w:r>
    </w:p>
    <w:p w14:paraId="3CF98B5B" w14:textId="77777777" w:rsidR="001C2FB3" w:rsidRPr="00DB3B27" w:rsidRDefault="00D92F3B">
      <w:pPr>
        <w:rPr>
          <w:lang w:val="en-US"/>
        </w:rPr>
      </w:pPr>
      <w:r>
        <w:rPr>
          <w:lang w:val="en-US"/>
        </w:rPr>
        <w:t>The mathematical foundation includes rotation representation in SO(3) via unit quaternions and Zhou et al.’s (2019) continuous 6D representation, iterative pose refinement via a neural scoring network, score-matching functions for the denoising process, and Langevin dynamics for trajectory sampling. The methodology combines a hybrid local strategy (Apple M1 Pro with CoppeliaSim Edu V4.10.0) and remote (Google Colab with NVIDIA Tesla T4 GPU) for inference and validation. Evaluation is performed on the official BOP-19 subset of the YCB-Video and T-LESS benchmarks using ADD, ADD-S, AUC and recall@5/10/20 mm metrics. Results report ADD median of 4.17 mm (YCB-V) and 2.90 mm (T-LESS), AUC ADD-S of 0.959 and 0.983 respectively, and recall@10 mm ADD-S above 96 % in both datasets, with mean inference latency of 4.15 s/object on T4. GDR-Net++ (Wang et al., 2021; BOP 2022 extension) is reported as official baseline. ROS 2 Humble + MoveIt 2 is containerized in Docker as reproducible infrastructure; full integration is declared as future work.</w:t>
      </w:r>
      <w:proofErr w:type="gramStart"/>
      <w:r>
        <w:rPr>
          <w:lang w:val="en-US"/>
        </w:rPr>
      </w:r>
      <w:proofErr w:type="gramEnd"/>
      <w:r>
        <w:rPr>
          <w:lang w:val="en-US"/>
        </w:rPr>
      </w:r>
    </w:p>
    <w:bookmarkEnd w:id="2"/>
    <w:p w14:paraId="4C63E74B" w14:textId="77777777" w:rsidR="004040E2" w:rsidRPr="00DB3B27" w:rsidRDefault="004040E2" w:rsidP="004040E2">
      <w:pPr>
        <w:rPr>
          <w:lang w:val="en-US" w:eastAsia="en-US"/>
        </w:rPr>
      </w:pPr>
      <w:r>
        <w:rPr>
          <w:lang w:val="en-US"/>
        </w:rPr>
        <w:t>Keywords: 6-DoF pose estimation, robotic bin picking, FoundationPose, Diffusion Policy, Transformers.</w:t>
      </w:r>
    </w:p>
    <w:p w14:paraId="570881B0" w14:textId="77777777" w:rsidR="00FF32DA" w:rsidRDefault="00FF32DA" w:rsidP="006403BD">
      <w:pPr>
        <w:pStyle w:val="Ttulondices"/>
      </w:pPr>
    </w:p>
    <w:p w14:paraId="281812F7" w14:textId="77777777" w:rsidR="00FF32DA" w:rsidRDefault="00FF32DA" w:rsidP="006403BD">
      <w:pPr>
        <w:pStyle w:val="Ttulondices"/>
      </w:pPr>
    </w:p>
    <w:p w14:paraId="0E867D03" w14:textId="77777777" w:rsidR="00FF32DA" w:rsidRDefault="00FF32DA" w:rsidP="006403BD">
      <w:pPr>
        <w:pStyle w:val="Ttulondices"/>
      </w:pPr>
    </w:p>
    <w:p w14:paraId="57578062" w14:textId="77777777" w:rsidR="00FF32DA" w:rsidRDefault="00FF32DA" w:rsidP="006403BD">
      <w:pPr>
        <w:pStyle w:val="Ttulondices"/>
      </w:pPr>
    </w:p>
    <w:p w14:paraId="36C7CFD0" w14:textId="77777777" w:rsidR="00FF32DA" w:rsidRDefault="00FF32DA" w:rsidP="006403BD">
      <w:pPr>
        <w:pStyle w:val="Ttulondices"/>
      </w:pPr>
    </w:p>
    <w:p w14:paraId="76E942FD" w14:textId="77777777" w:rsidR="00FF32DA" w:rsidRDefault="00FF32DA" w:rsidP="006403BD">
      <w:pPr>
        <w:pStyle w:val="Ttulondices"/>
      </w:pPr>
    </w:p>
    <w:p w14:paraId="5AFA4BFD" w14:textId="77777777" w:rsidR="00FF32DA" w:rsidRDefault="00FF32DA" w:rsidP="006403BD">
      <w:pPr>
        <w:pStyle w:val="Ttulondices"/>
      </w:pPr>
    </w:p>
    <w:p w14:paraId="35A66C70" w14:textId="5CABB8E8" w:rsidR="00FF32DA" w:rsidRDefault="00FF32DA" w:rsidP="006403BD">
      <w:pPr>
        <w:pStyle w:val="Ttulondices"/>
      </w:pPr>
    </w:p>
    <w:p w14:paraId="42E178F8" w14:textId="77777777" w:rsidR="004E5AA8" w:rsidRDefault="004E5AA8" w:rsidP="006403BD">
      <w:pPr>
        <w:pStyle w:val="Ttulondices"/>
      </w:pPr>
    </w:p>
    <w:p w14:paraId="2FACFBCB" w14:textId="4F42182E" w:rsidR="008544B8" w:rsidRPr="0097635A" w:rsidRDefault="007B76BF" w:rsidP="006403BD">
      <w:pPr>
        <w:pStyle w:val="Ttulondices"/>
      </w:pPr>
      <w:r>
        <w:t>Índice de contenidos</w:t>
      </w:r>
    </w:p>
    <w:p w14:paraId="1A446288" w14:textId="77777777" w:rsidR="00543E64" w:rsidRDefault="00423E85">
      <w:pPr>
        <w:pStyle w:val="TOC1"/>
        <w:tabs>
          <w:tab w:val="left" w:pos="440"/>
          <w:tab w:val="right" w:leader="dot" w:pos="9061"/>
        </w:tabs>
        <w:rPr>
          <w:rFonts w:eastAsiaTheme="minorEastAsia" w:cstheme="minorBidi"/>
          <w:noProof/>
          <w:kern w:val="2"/>
          <w:sz w:val="22"/>
          <w:szCs w:val="22"/>
          <w14:ligatures w14:val="standardContextual"/>
        </w:rPr>
      </w:pPr>
      <w:r>
        <w:rPr>
          <w:sz w:val="22"/>
        </w:rPr>
        <w:fldChar w:fldCharType="begin"/>
      </w:r>
      <w:r>
        <w:rPr>
          <w:sz w:val="22"/>
        </w:rPr>
        <w:instrText xml:space="preserve"> TOC \o "1-3" \h \z \u </w:instrText>
      </w:r>
      <w:r>
        <w:rPr>
          <w:sz w:val="22"/>
        </w:rPr>
        <w:fldChar w:fldCharType="separate"/>
      </w:r>
      <w:hyperlink w:anchor="_Toc150762217" w:history="1">
        <w:r>
          <w:rPr>
            <w:rStyle w:val="Hyperlink"/>
            <w:noProof/>
          </w:rPr>
          <w:t>1.</w:t>
        </w:r>
        <w:r>
          <w:rPr>
            <w:rFonts w:eastAsiaTheme="minorEastAsia" w:cstheme="minorBidi"/>
            <w:noProof/>
            <w:kern w:val="2"/>
            <w:sz w:val="22"/>
            <w:szCs w:val="22"/>
            <w14:ligatures w14:val="standardContextual"/>
          </w:rPr>
          <w:tab/>
        </w:r>
        <w:r>
          <w:rPr>
            <w:rStyle w:val="Hyperlink"/>
            <w:noProof/>
          </w:rPr>
          <w:t>Introducción</w:t>
        </w:r>
        <w:r>
          <w:rPr>
            <w:noProof/>
            <w:webHidden/>
          </w:rPr>
          <w:tab/>
        </w:r>
        <w:r>
          <w:rPr>
            <w:noProof/>
            <w:webHidden/>
          </w:rPr>
          <w:fldChar w:fldCharType="begin"/>
        </w:r>
        <w:r>
          <w:rPr>
            <w:noProof/>
            <w:webHidden/>
          </w:rPr>
          <w:instrText xml:space="preserve"> PAGEREF _Toc150762217 \h </w:instrText>
        </w:r>
        <w:r>
          <w:rPr>
            <w:noProof/>
            <w:webHidden/>
          </w:rPr>
        </w:r>
        <w:r>
          <w:rPr>
            <w:noProof/>
            <w:webHidden/>
          </w:rPr>
          <w:fldChar w:fldCharType="separate"/>
        </w:r>
        <w:r>
          <w:rPr>
            <w:noProof/>
            <w:webHidden/>
          </w:rPr>
          <w:t>1</w:t>
        </w:r>
        <w:r>
          <w:rPr>
            <w:noProof/>
            <w:webHidden/>
          </w:rPr>
          <w:fldChar w:fldCharType="end"/>
        </w:r>
      </w:hyperlink>
    </w:p>
    <w:p w14:paraId="4C84AF55"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18" w:history="1">
        <w:r>
          <w:rPr>
            <w:rStyle w:val="Hyperlink"/>
            <w:noProof/>
          </w:rPr>
          <w:t>1.1.</w:t>
        </w:r>
        <w:r>
          <w:rPr>
            <w:rFonts w:eastAsiaTheme="minorEastAsia" w:cstheme="minorBidi"/>
            <w:noProof/>
            <w:kern w:val="2"/>
            <w:sz w:val="22"/>
            <w:szCs w:val="22"/>
            <w14:ligatures w14:val="standardContextual"/>
          </w:rPr>
          <w:tab/>
        </w:r>
        <w:r>
          <w:rPr>
            <w:rStyle w:val="Hyperlink"/>
            <w:noProof/>
          </w:rPr>
          <w:t>Justificación</w:t>
        </w:r>
        <w:r>
          <w:rPr>
            <w:noProof/>
            <w:webHidden/>
          </w:rPr>
          <w:tab/>
        </w:r>
        <w:r>
          <w:rPr>
            <w:noProof/>
            <w:webHidden/>
          </w:rPr>
          <w:fldChar w:fldCharType="begin"/>
        </w:r>
        <w:r>
          <w:rPr>
            <w:noProof/>
            <w:webHidden/>
          </w:rPr>
          <w:instrText xml:space="preserve"> PAGEREF _Toc150762218 \h </w:instrText>
        </w:r>
        <w:r>
          <w:rPr>
            <w:noProof/>
            <w:webHidden/>
          </w:rPr>
        </w:r>
        <w:r>
          <w:rPr>
            <w:noProof/>
            <w:webHidden/>
          </w:rPr>
          <w:fldChar w:fldCharType="separate"/>
        </w:r>
        <w:r>
          <w:rPr>
            <w:noProof/>
            <w:webHidden/>
          </w:rPr>
          <w:t>1</w:t>
        </w:r>
        <w:r>
          <w:rPr>
            <w:noProof/>
            <w:webHidden/>
          </w:rPr>
          <w:fldChar w:fldCharType="end"/>
        </w:r>
      </w:hyperlink>
    </w:p>
    <w:p w14:paraId="19472500"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19" w:history="1">
        <w:r>
          <w:rPr>
            <w:rStyle w:val="Hyperlink"/>
            <w:noProof/>
          </w:rPr>
          <w:t>1.2.</w:t>
        </w:r>
        <w:r>
          <w:rPr>
            <w:rFonts w:eastAsiaTheme="minorEastAsia" w:cstheme="minorBidi"/>
            <w:noProof/>
            <w:kern w:val="2"/>
            <w:sz w:val="22"/>
            <w:szCs w:val="22"/>
            <w14:ligatures w14:val="standardContextual"/>
          </w:rPr>
          <w:tab/>
        </w:r>
        <w:r>
          <w:rPr>
            <w:rStyle w:val="Hyperlink"/>
            <w:noProof/>
          </w:rPr>
          <w:t>Planteamiento del problema</w:t>
        </w:r>
        <w:r>
          <w:rPr>
            <w:noProof/>
            <w:webHidden/>
          </w:rPr>
          <w:tab/>
        </w:r>
        <w:r>
          <w:rPr>
            <w:noProof/>
            <w:webHidden/>
          </w:rPr>
          <w:fldChar w:fldCharType="begin"/>
        </w:r>
        <w:r>
          <w:rPr>
            <w:noProof/>
            <w:webHidden/>
          </w:rPr>
          <w:instrText xml:space="preserve"> PAGEREF _Toc150762219 \h </w:instrText>
        </w:r>
        <w:r>
          <w:rPr>
            <w:noProof/>
            <w:webHidden/>
          </w:rPr>
        </w:r>
        <w:r>
          <w:rPr>
            <w:noProof/>
            <w:webHidden/>
          </w:rPr>
          <w:fldChar w:fldCharType="separate"/>
        </w:r>
        <w:r>
          <w:rPr>
            <w:noProof/>
            <w:webHidden/>
          </w:rPr>
          <w:t>2</w:t>
        </w:r>
        <w:r>
          <w:rPr>
            <w:noProof/>
            <w:webHidden/>
          </w:rPr>
          <w:fldChar w:fldCharType="end"/>
        </w:r>
      </w:hyperlink>
    </w:p>
    <w:p w14:paraId="596331A9"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20" w:history="1">
        <w:r>
          <w:rPr>
            <w:rStyle w:val="Hyperlink"/>
            <w:noProof/>
          </w:rPr>
          <w:t>1.3.</w:t>
        </w:r>
        <w:r>
          <w:rPr>
            <w:rFonts w:eastAsiaTheme="minorEastAsia" w:cstheme="minorBidi"/>
            <w:noProof/>
            <w:kern w:val="2"/>
            <w:sz w:val="22"/>
            <w:szCs w:val="22"/>
            <w14:ligatures w14:val="standardContextual"/>
          </w:rPr>
          <w:tab/>
        </w:r>
        <w:r>
          <w:rPr>
            <w:rStyle w:val="Hyperlink"/>
            <w:noProof/>
          </w:rPr>
          <w:t>Estructura del trabajo</w:t>
        </w:r>
        <w:r>
          <w:rPr>
            <w:noProof/>
            <w:webHidden/>
          </w:rPr>
          <w:tab/>
        </w:r>
        <w:r>
          <w:rPr>
            <w:noProof/>
            <w:webHidden/>
          </w:rPr>
          <w:fldChar w:fldCharType="begin"/>
        </w:r>
        <w:r>
          <w:rPr>
            <w:noProof/>
            <w:webHidden/>
          </w:rPr>
          <w:instrText xml:space="preserve"> PAGEREF _Toc150762220 \h </w:instrText>
        </w:r>
        <w:r>
          <w:rPr>
            <w:noProof/>
            <w:webHidden/>
          </w:rPr>
        </w:r>
        <w:r>
          <w:rPr>
            <w:noProof/>
            <w:webHidden/>
          </w:rPr>
          <w:fldChar w:fldCharType="separate"/>
        </w:r>
        <w:r>
          <w:rPr>
            <w:noProof/>
            <w:webHidden/>
          </w:rPr>
          <w:t>3</w:t>
        </w:r>
        <w:r>
          <w:rPr>
            <w:noProof/>
            <w:webHidden/>
          </w:rPr>
          <w:fldChar w:fldCharType="end"/>
        </w:r>
      </w:hyperlink>
    </w:p>
    <w:p w14:paraId="4D75173B" w14:textId="77777777" w:rsidR="00543E64" w:rsidRDefault="00C75C49">
      <w:pPr>
        <w:pStyle w:val="TOC1"/>
        <w:tabs>
          <w:tab w:val="left" w:pos="440"/>
          <w:tab w:val="right" w:leader="dot" w:pos="9061"/>
        </w:tabs>
        <w:rPr>
          <w:rFonts w:eastAsiaTheme="minorEastAsia" w:cstheme="minorBidi"/>
          <w:noProof/>
          <w:kern w:val="2"/>
          <w:sz w:val="22"/>
          <w:szCs w:val="22"/>
          <w14:ligatures w14:val="standardContextual"/>
        </w:rPr>
      </w:pPr>
      <w:hyperlink w:anchor="_Toc150762221" w:history="1">
        <w:r>
          <w:rPr>
            <w:rStyle w:val="Hyperlink"/>
            <w:noProof/>
          </w:rPr>
          <w:t>2.</w:t>
        </w:r>
        <w:r>
          <w:rPr>
            <w:rFonts w:eastAsiaTheme="minorEastAsia" w:cstheme="minorBidi"/>
            <w:noProof/>
            <w:kern w:val="2"/>
            <w:sz w:val="22"/>
            <w:szCs w:val="22"/>
            <w14:ligatures w14:val="standardContextual"/>
          </w:rPr>
          <w:tab/>
        </w:r>
        <w:r>
          <w:rPr>
            <w:rStyle w:val="Hyperlink"/>
            <w:noProof/>
          </w:rPr>
          <w:t>Contexto y estado del arte</w:t>
        </w:r>
        <w:r>
          <w:rPr>
            <w:noProof/>
            <w:webHidden/>
          </w:rPr>
          <w:tab/>
        </w:r>
        <w:r>
          <w:rPr>
            <w:noProof/>
            <w:webHidden/>
          </w:rPr>
          <w:fldChar w:fldCharType="begin"/>
        </w:r>
        <w:r>
          <w:rPr>
            <w:noProof/>
            <w:webHidden/>
          </w:rPr>
          <w:instrText xml:space="preserve"> PAGEREF _Toc150762221 \h </w:instrText>
        </w:r>
        <w:r>
          <w:rPr>
            <w:noProof/>
            <w:webHidden/>
          </w:rPr>
        </w:r>
        <w:r>
          <w:rPr>
            <w:noProof/>
            <w:webHidden/>
          </w:rPr>
          <w:fldChar w:fldCharType="separate"/>
        </w:r>
        <w:r>
          <w:rPr>
            <w:noProof/>
            <w:webHidden/>
          </w:rPr>
          <w:t>4</w:t>
        </w:r>
        <w:r>
          <w:rPr>
            <w:noProof/>
            <w:webHidden/>
          </w:rPr>
          <w:fldChar w:fldCharType="end"/>
        </w:r>
      </w:hyperlink>
    </w:p>
    <w:p w14:paraId="20090F6C" w14:textId="77777777" w:rsidR="00543E64" w:rsidRDefault="00C75C49">
      <w:pPr>
        <w:pStyle w:val="TOC1"/>
        <w:tabs>
          <w:tab w:val="left" w:pos="440"/>
          <w:tab w:val="right" w:leader="dot" w:pos="9061"/>
        </w:tabs>
        <w:rPr>
          <w:rFonts w:eastAsiaTheme="minorEastAsia" w:cstheme="minorBidi"/>
          <w:noProof/>
          <w:kern w:val="2"/>
          <w:sz w:val="22"/>
          <w:szCs w:val="22"/>
          <w14:ligatures w14:val="standardContextual"/>
        </w:rPr>
      </w:pPr>
      <w:hyperlink w:anchor="_Toc150762222" w:history="1">
        <w:r>
          <w:rPr>
            <w:rStyle w:val="Hyperlink"/>
            <w:noProof/>
          </w:rPr>
          <w:t>3.</w:t>
        </w:r>
        <w:r>
          <w:rPr>
            <w:rFonts w:eastAsiaTheme="minorEastAsia" w:cstheme="minorBidi"/>
            <w:noProof/>
            <w:kern w:val="2"/>
            <w:sz w:val="22"/>
            <w:szCs w:val="22"/>
            <w14:ligatures w14:val="standardContextual"/>
          </w:rPr>
          <w:tab/>
        </w:r>
        <w:r>
          <w:rPr>
            <w:rStyle w:val="Hyperlink"/>
            <w:noProof/>
          </w:rPr>
          <w:t>Objetivos concretos y metodología de trabajo</w:t>
        </w:r>
        <w:r>
          <w:rPr>
            <w:noProof/>
            <w:webHidden/>
          </w:rPr>
          <w:tab/>
        </w:r>
        <w:r>
          <w:rPr>
            <w:noProof/>
            <w:webHidden/>
          </w:rPr>
          <w:fldChar w:fldCharType="begin"/>
        </w:r>
        <w:r>
          <w:rPr>
            <w:noProof/>
            <w:webHidden/>
          </w:rPr>
          <w:instrText xml:space="preserve"> PAGEREF _Toc150762222 \h </w:instrText>
        </w:r>
        <w:r>
          <w:rPr>
            <w:noProof/>
            <w:webHidden/>
          </w:rPr>
        </w:r>
        <w:r>
          <w:rPr>
            <w:noProof/>
            <w:webHidden/>
          </w:rPr>
          <w:fldChar w:fldCharType="separate"/>
        </w:r>
        <w:r>
          <w:rPr>
            <w:noProof/>
            <w:webHidden/>
          </w:rPr>
          <w:t>5</w:t>
        </w:r>
        <w:r>
          <w:rPr>
            <w:noProof/>
            <w:webHidden/>
          </w:rPr>
          <w:fldChar w:fldCharType="end"/>
        </w:r>
      </w:hyperlink>
    </w:p>
    <w:p w14:paraId="16A165AC"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23" w:history="1">
        <w:r>
          <w:rPr>
            <w:rStyle w:val="Hyperlink"/>
            <w:noProof/>
          </w:rPr>
          <w:t>3.1.</w:t>
        </w:r>
        <w:r>
          <w:rPr>
            <w:rFonts w:eastAsiaTheme="minorEastAsia" w:cstheme="minorBidi"/>
            <w:noProof/>
            <w:kern w:val="2"/>
            <w:sz w:val="22"/>
            <w:szCs w:val="22"/>
            <w14:ligatures w14:val="standardContextual"/>
          </w:rPr>
          <w:tab/>
        </w:r>
        <w:r>
          <w:rPr>
            <w:rStyle w:val="Hyperlink"/>
            <w:noProof/>
          </w:rPr>
          <w:t>Objetivo general</w:t>
        </w:r>
        <w:r>
          <w:rPr>
            <w:noProof/>
            <w:webHidden/>
          </w:rPr>
          <w:tab/>
        </w:r>
        <w:r>
          <w:rPr>
            <w:noProof/>
            <w:webHidden/>
          </w:rPr>
          <w:fldChar w:fldCharType="begin"/>
        </w:r>
        <w:r>
          <w:rPr>
            <w:noProof/>
            <w:webHidden/>
          </w:rPr>
          <w:instrText xml:space="preserve"> PAGEREF _Toc150762223 \h </w:instrText>
        </w:r>
        <w:r>
          <w:rPr>
            <w:noProof/>
            <w:webHidden/>
          </w:rPr>
        </w:r>
        <w:r>
          <w:rPr>
            <w:noProof/>
            <w:webHidden/>
          </w:rPr>
          <w:fldChar w:fldCharType="separate"/>
        </w:r>
        <w:r>
          <w:rPr>
            <w:noProof/>
            <w:webHidden/>
          </w:rPr>
          <w:t>5</w:t>
        </w:r>
        <w:r>
          <w:rPr>
            <w:noProof/>
            <w:webHidden/>
          </w:rPr>
          <w:fldChar w:fldCharType="end"/>
        </w:r>
      </w:hyperlink>
    </w:p>
    <w:p w14:paraId="48C63D3E"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24" w:history="1">
        <w:r>
          <w:rPr>
            <w:rStyle w:val="Hyperlink"/>
            <w:noProof/>
          </w:rPr>
          <w:t>3.2.</w:t>
        </w:r>
        <w:r>
          <w:rPr>
            <w:rFonts w:eastAsiaTheme="minorEastAsia" w:cstheme="minorBidi"/>
            <w:noProof/>
            <w:kern w:val="2"/>
            <w:sz w:val="22"/>
            <w:szCs w:val="22"/>
            <w14:ligatures w14:val="standardContextual"/>
          </w:rPr>
          <w:tab/>
        </w:r>
        <w:r>
          <w:rPr>
            <w:rStyle w:val="Hyperlink"/>
            <w:noProof/>
          </w:rPr>
          <w:t>Objetivos específicos</w:t>
        </w:r>
        <w:r>
          <w:rPr>
            <w:noProof/>
            <w:webHidden/>
          </w:rPr>
          <w:tab/>
        </w:r>
        <w:r>
          <w:rPr>
            <w:noProof/>
            <w:webHidden/>
          </w:rPr>
          <w:fldChar w:fldCharType="begin"/>
        </w:r>
        <w:r>
          <w:rPr>
            <w:noProof/>
            <w:webHidden/>
          </w:rPr>
          <w:instrText xml:space="preserve"> PAGEREF _Toc150762224 \h </w:instrText>
        </w:r>
        <w:r>
          <w:rPr>
            <w:noProof/>
            <w:webHidden/>
          </w:rPr>
        </w:r>
        <w:r>
          <w:rPr>
            <w:noProof/>
            <w:webHidden/>
          </w:rPr>
          <w:fldChar w:fldCharType="separate"/>
        </w:r>
        <w:r>
          <w:rPr>
            <w:noProof/>
            <w:webHidden/>
          </w:rPr>
          <w:t>5</w:t>
        </w:r>
        <w:r>
          <w:rPr>
            <w:noProof/>
            <w:webHidden/>
          </w:rPr>
          <w:fldChar w:fldCharType="end"/>
        </w:r>
      </w:hyperlink>
    </w:p>
    <w:p w14:paraId="7828517B"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25" w:history="1">
        <w:r>
          <w:rPr>
            <w:rStyle w:val="Hyperlink"/>
            <w:noProof/>
          </w:rPr>
          <w:t>3.3.</w:t>
        </w:r>
        <w:r>
          <w:rPr>
            <w:rFonts w:eastAsiaTheme="minorEastAsia" w:cstheme="minorBidi"/>
            <w:noProof/>
            <w:kern w:val="2"/>
            <w:sz w:val="22"/>
            <w:szCs w:val="22"/>
            <w14:ligatures w14:val="standardContextual"/>
          </w:rPr>
          <w:tab/>
        </w:r>
        <w:r>
          <w:rPr>
            <w:rStyle w:val="Hyperlink"/>
            <w:noProof/>
          </w:rPr>
          <w:t>Metodología del trabajo</w:t>
        </w:r>
        <w:r>
          <w:rPr>
            <w:noProof/>
            <w:webHidden/>
          </w:rPr>
          <w:tab/>
        </w:r>
        <w:r>
          <w:rPr>
            <w:noProof/>
            <w:webHidden/>
          </w:rPr>
          <w:fldChar w:fldCharType="begin"/>
        </w:r>
        <w:r>
          <w:rPr>
            <w:noProof/>
            <w:webHidden/>
          </w:rPr>
          <w:instrText xml:space="preserve"> PAGEREF _Toc150762225 \h </w:instrText>
        </w:r>
        <w:r>
          <w:rPr>
            <w:noProof/>
            <w:webHidden/>
          </w:rPr>
        </w:r>
        <w:r>
          <w:rPr>
            <w:noProof/>
            <w:webHidden/>
          </w:rPr>
          <w:fldChar w:fldCharType="separate"/>
        </w:r>
        <w:r>
          <w:rPr>
            <w:noProof/>
            <w:webHidden/>
          </w:rPr>
          <w:t>6</w:t>
        </w:r>
        <w:r>
          <w:rPr>
            <w:noProof/>
            <w:webHidden/>
          </w:rPr>
          <w:fldChar w:fldCharType="end"/>
        </w:r>
      </w:hyperlink>
    </w:p>
    <w:p w14:paraId="3DCAD358" w14:textId="77777777" w:rsidR="00543E64" w:rsidRDefault="00C75C49">
      <w:pPr>
        <w:pStyle w:val="TOC1"/>
        <w:tabs>
          <w:tab w:val="left" w:pos="440"/>
          <w:tab w:val="right" w:leader="dot" w:pos="9061"/>
        </w:tabs>
        <w:rPr>
          <w:rFonts w:eastAsiaTheme="minorEastAsia" w:cstheme="minorBidi"/>
          <w:noProof/>
          <w:kern w:val="2"/>
          <w:sz w:val="22"/>
          <w:szCs w:val="22"/>
          <w14:ligatures w14:val="standardContextual"/>
        </w:rPr>
      </w:pPr>
      <w:hyperlink w:anchor="_Toc150762226" w:history="1">
        <w:r>
          <w:rPr>
            <w:rStyle w:val="Hyperlink"/>
            <w:noProof/>
          </w:rPr>
          <w:t>4.</w:t>
        </w:r>
        <w:r>
          <w:rPr>
            <w:rFonts w:eastAsiaTheme="minorEastAsia" w:cstheme="minorBidi"/>
            <w:noProof/>
            <w:kern w:val="2"/>
            <w:sz w:val="22"/>
            <w:szCs w:val="22"/>
            <w14:ligatures w14:val="standardContextual"/>
          </w:rPr>
          <w:tab/>
        </w:r>
        <w:r>
          <w:rPr>
            <w:rStyle w:val="Hyperlink"/>
            <w:noProof/>
          </w:rPr>
          <w:t>Desarrollo específico de la contribución</w:t>
        </w:r>
        <w:r>
          <w:rPr>
            <w:noProof/>
            <w:webHidden/>
          </w:rPr>
          <w:tab/>
        </w:r>
        <w:r>
          <w:rPr>
            <w:noProof/>
            <w:webHidden/>
          </w:rPr>
          <w:fldChar w:fldCharType="begin"/>
        </w:r>
        <w:r>
          <w:rPr>
            <w:noProof/>
            <w:webHidden/>
          </w:rPr>
          <w:instrText xml:space="preserve"> PAGEREF _Toc150762226 \h </w:instrText>
        </w:r>
        <w:r>
          <w:rPr>
            <w:noProof/>
            <w:webHidden/>
          </w:rPr>
        </w:r>
        <w:r>
          <w:rPr>
            <w:noProof/>
            <w:webHidden/>
          </w:rPr>
          <w:fldChar w:fldCharType="separate"/>
        </w:r>
        <w:r>
          <w:rPr>
            <w:noProof/>
            <w:webHidden/>
          </w:rPr>
          <w:t>7</w:t>
        </w:r>
        <w:r>
          <w:rPr>
            <w:noProof/>
            <w:webHidden/>
          </w:rPr>
          <w:fldChar w:fldCharType="end"/>
        </w:r>
      </w:hyperlink>
    </w:p>
    <w:p w14:paraId="291AB3F5"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27" w:history="1">
        <w:r>
          <w:rPr>
            <w:rStyle w:val="Hyperlink"/>
            <w:noProof/>
          </w:rPr>
          <w:t>4.1.</w:t>
        </w:r>
        <w:r>
          <w:rPr>
            <w:rFonts w:eastAsiaTheme="minorEastAsia" w:cstheme="minorBidi"/>
            <w:noProof/>
            <w:kern w:val="2"/>
            <w:sz w:val="22"/>
            <w:szCs w:val="22"/>
            <w14:ligatures w14:val="standardContextual"/>
          </w:rPr>
          <w:tab/>
        </w:r>
        <w:r>
          <w:rPr>
            <w:rStyle w:val="Hyperlink"/>
            <w:noProof/>
          </w:rPr>
          <w:t>Tipo 1. Desarrollo práctico</w:t>
        </w:r>
        <w:r>
          <w:rPr>
            <w:noProof/>
            <w:webHidden/>
          </w:rPr>
          <w:tab/>
        </w:r>
        <w:r>
          <w:rPr>
            <w:noProof/>
            <w:webHidden/>
          </w:rPr>
          <w:fldChar w:fldCharType="begin"/>
        </w:r>
        <w:r>
          <w:rPr>
            <w:noProof/>
            <w:webHidden/>
          </w:rPr>
          <w:instrText xml:space="preserve"> PAGEREF _Toc150762227 \h </w:instrText>
        </w:r>
        <w:r>
          <w:rPr>
            <w:noProof/>
            <w:webHidden/>
          </w:rPr>
        </w:r>
        <w:r>
          <w:rPr>
            <w:noProof/>
            <w:webHidden/>
          </w:rPr>
          <w:fldChar w:fldCharType="separate"/>
        </w:r>
        <w:r>
          <w:rPr>
            <w:noProof/>
            <w:webHidden/>
          </w:rPr>
          <w:t>7</w:t>
        </w:r>
        <w:r>
          <w:rPr>
            <w:noProof/>
            <w:webHidden/>
          </w:rPr>
          <w:fldChar w:fldCharType="end"/>
        </w:r>
      </w:hyperlink>
    </w:p>
    <w:p w14:paraId="00768172" w14:textId="77777777" w:rsidR="00543E64" w:rsidRDefault="00C75C49">
      <w:pPr>
        <w:pStyle w:val="TOC3"/>
        <w:tabs>
          <w:tab w:val="left" w:pos="1320"/>
          <w:tab w:val="right" w:leader="dot" w:pos="9061"/>
        </w:tabs>
        <w:rPr>
          <w:rFonts w:eastAsiaTheme="minorEastAsia" w:cstheme="minorBidi"/>
          <w:noProof/>
          <w:kern w:val="2"/>
          <w:sz w:val="22"/>
          <w:szCs w:val="22"/>
          <w14:ligatures w14:val="standardContextual"/>
        </w:rPr>
      </w:pPr>
      <w:hyperlink w:anchor="_Toc150762228" w:history="1">
        <w:r>
          <w:rPr>
            <w:rStyle w:val="Hyperlink"/>
            <w:noProof/>
          </w:rPr>
          <w:t>4.1.1.</w:t>
        </w:r>
        <w:r>
          <w:rPr>
            <w:rFonts w:eastAsiaTheme="minorEastAsia" w:cstheme="minorBidi"/>
            <w:noProof/>
            <w:kern w:val="2"/>
            <w:sz w:val="22"/>
            <w:szCs w:val="22"/>
            <w14:ligatures w14:val="standardContextual"/>
          </w:rPr>
          <w:tab/>
        </w:r>
        <w:r>
          <w:rPr>
            <w:rStyle w:val="Hyperlink"/>
            <w:noProof/>
          </w:rPr>
          <w:t>Identificación de requisitos</w:t>
        </w:r>
        <w:r>
          <w:rPr>
            <w:noProof/>
            <w:webHidden/>
          </w:rPr>
          <w:tab/>
        </w:r>
        <w:r>
          <w:rPr>
            <w:noProof/>
            <w:webHidden/>
          </w:rPr>
          <w:fldChar w:fldCharType="begin"/>
        </w:r>
        <w:r>
          <w:rPr>
            <w:noProof/>
            <w:webHidden/>
          </w:rPr>
          <w:instrText xml:space="preserve"> PAGEREF _Toc150762228 \h </w:instrText>
        </w:r>
        <w:r>
          <w:rPr>
            <w:noProof/>
            <w:webHidden/>
          </w:rPr>
        </w:r>
        <w:r>
          <w:rPr>
            <w:noProof/>
            <w:webHidden/>
          </w:rPr>
          <w:fldChar w:fldCharType="separate"/>
        </w:r>
        <w:r>
          <w:rPr>
            <w:noProof/>
            <w:webHidden/>
          </w:rPr>
          <w:t>7</w:t>
        </w:r>
        <w:r>
          <w:rPr>
            <w:noProof/>
            <w:webHidden/>
          </w:rPr>
          <w:fldChar w:fldCharType="end"/>
        </w:r>
      </w:hyperlink>
    </w:p>
    <w:p w14:paraId="5D5091CF" w14:textId="77777777" w:rsidR="00543E64" w:rsidRDefault="00C75C49">
      <w:pPr>
        <w:pStyle w:val="TOC3"/>
        <w:tabs>
          <w:tab w:val="left" w:pos="1320"/>
          <w:tab w:val="right" w:leader="dot" w:pos="9061"/>
        </w:tabs>
        <w:rPr>
          <w:rFonts w:eastAsiaTheme="minorEastAsia" w:cstheme="minorBidi"/>
          <w:noProof/>
          <w:kern w:val="2"/>
          <w:sz w:val="22"/>
          <w:szCs w:val="22"/>
          <w14:ligatures w14:val="standardContextual"/>
        </w:rPr>
      </w:pPr>
      <w:hyperlink w:anchor="_Toc150762229" w:history="1">
        <w:r>
          <w:rPr>
            <w:rStyle w:val="Hyperlink"/>
            <w:noProof/>
          </w:rPr>
          <w:t>4.1.2.</w:t>
        </w:r>
        <w:r>
          <w:rPr>
            <w:rFonts w:eastAsiaTheme="minorEastAsia" w:cstheme="minorBidi"/>
            <w:noProof/>
            <w:kern w:val="2"/>
            <w:sz w:val="22"/>
            <w:szCs w:val="22"/>
            <w14:ligatures w14:val="standardContextual"/>
          </w:rPr>
          <w:tab/>
        </w:r>
        <w:r>
          <w:rPr>
            <w:rStyle w:val="Hyperlink"/>
            <w:noProof/>
          </w:rPr>
          <w:t>Descripción del sistema software o físico desarrollado</w:t>
        </w:r>
        <w:r>
          <w:rPr>
            <w:noProof/>
            <w:webHidden/>
          </w:rPr>
          <w:tab/>
        </w:r>
        <w:r>
          <w:rPr>
            <w:noProof/>
            <w:webHidden/>
          </w:rPr>
          <w:fldChar w:fldCharType="begin"/>
        </w:r>
        <w:r>
          <w:rPr>
            <w:noProof/>
            <w:webHidden/>
          </w:rPr>
          <w:instrText xml:space="preserve"> PAGEREF _Toc150762229 \h </w:instrText>
        </w:r>
        <w:r>
          <w:rPr>
            <w:noProof/>
            <w:webHidden/>
          </w:rPr>
        </w:r>
        <w:r>
          <w:rPr>
            <w:noProof/>
            <w:webHidden/>
          </w:rPr>
          <w:fldChar w:fldCharType="separate"/>
        </w:r>
        <w:r>
          <w:rPr>
            <w:noProof/>
            <w:webHidden/>
          </w:rPr>
          <w:t>8</w:t>
        </w:r>
        <w:r>
          <w:rPr>
            <w:noProof/>
            <w:webHidden/>
          </w:rPr>
          <w:fldChar w:fldCharType="end"/>
        </w:r>
      </w:hyperlink>
    </w:p>
    <w:p w14:paraId="76F69028" w14:textId="77777777" w:rsidR="00543E64" w:rsidRDefault="00C75C49">
      <w:pPr>
        <w:pStyle w:val="TOC3"/>
        <w:tabs>
          <w:tab w:val="left" w:pos="1320"/>
          <w:tab w:val="right" w:leader="dot" w:pos="9061"/>
        </w:tabs>
        <w:rPr>
          <w:rFonts w:eastAsiaTheme="minorEastAsia" w:cstheme="minorBidi"/>
          <w:noProof/>
          <w:kern w:val="2"/>
          <w:sz w:val="22"/>
          <w:szCs w:val="22"/>
          <w14:ligatures w14:val="standardContextual"/>
        </w:rPr>
      </w:pPr>
      <w:hyperlink w:anchor="_Toc150762230" w:history="1">
        <w:r>
          <w:rPr>
            <w:rStyle w:val="Hyperlink"/>
            <w:noProof/>
          </w:rPr>
          <w:t>4.1.3.</w:t>
        </w:r>
        <w:r>
          <w:rPr>
            <w:rFonts w:eastAsiaTheme="minorEastAsia" w:cstheme="minorBidi"/>
            <w:noProof/>
            <w:kern w:val="2"/>
            <w:sz w:val="22"/>
            <w:szCs w:val="22"/>
            <w14:ligatures w14:val="standardContextual"/>
          </w:rPr>
          <w:tab/>
        </w:r>
        <w:r>
          <w:rPr>
            <w:rStyle w:val="Hyperlink"/>
            <w:noProof/>
          </w:rPr>
          <w:t>Evaluación</w:t>
        </w:r>
        <w:r>
          <w:rPr>
            <w:noProof/>
            <w:webHidden/>
          </w:rPr>
          <w:tab/>
        </w:r>
        <w:r>
          <w:rPr>
            <w:noProof/>
            <w:webHidden/>
          </w:rPr>
          <w:fldChar w:fldCharType="begin"/>
        </w:r>
        <w:r>
          <w:rPr>
            <w:noProof/>
            <w:webHidden/>
          </w:rPr>
          <w:instrText xml:space="preserve"> PAGEREF _Toc150762230 \h </w:instrText>
        </w:r>
        <w:r>
          <w:rPr>
            <w:noProof/>
            <w:webHidden/>
          </w:rPr>
        </w:r>
        <w:r>
          <w:rPr>
            <w:noProof/>
            <w:webHidden/>
          </w:rPr>
          <w:fldChar w:fldCharType="separate"/>
        </w:r>
        <w:r>
          <w:rPr>
            <w:noProof/>
            <w:webHidden/>
          </w:rPr>
          <w:t>8</w:t>
        </w:r>
        <w:r>
          <w:rPr>
            <w:noProof/>
            <w:webHidden/>
          </w:rPr>
          <w:fldChar w:fldCharType="end"/>
        </w:r>
      </w:hyperlink>
    </w:p>
    <w:p w14:paraId="6C0551A7" w14:textId="77777777" w:rsidR="00543E64" w:rsidRDefault="00C75C49">
      <w:pPr>
        <w:pStyle w:val="TOC1"/>
        <w:tabs>
          <w:tab w:val="left" w:pos="440"/>
          <w:tab w:val="right" w:leader="dot" w:pos="9061"/>
        </w:tabs>
        <w:rPr>
          <w:rFonts w:eastAsiaTheme="minorEastAsia" w:cstheme="minorBidi"/>
          <w:noProof/>
          <w:kern w:val="2"/>
          <w:sz w:val="22"/>
          <w:szCs w:val="22"/>
          <w14:ligatures w14:val="standardContextual"/>
        </w:rPr>
      </w:pPr>
      <w:hyperlink w:anchor="_Toc150762238" w:history="1">
        <w:r>
          <w:rPr>
            <w:rStyle w:val="Hyperlink"/>
            <w:noProof/>
          </w:rPr>
          <w:t>5.</w:t>
        </w:r>
        <w:r>
          <w:rPr>
            <w:rFonts w:eastAsiaTheme="minorEastAsia" w:cstheme="minorBidi"/>
            <w:noProof/>
            <w:kern w:val="2"/>
            <w:sz w:val="22"/>
            <w:szCs w:val="22"/>
            <w14:ligatures w14:val="standardContextual"/>
          </w:rPr>
          <w:tab/>
        </w:r>
        <w:r>
          <w:rPr>
            <w:rStyle w:val="Hyperlink"/>
            <w:noProof/>
          </w:rPr>
          <w:t>Conclusiones y trabajo futuro</w:t>
        </w:r>
        <w:r>
          <w:rPr>
            <w:noProof/>
            <w:webHidden/>
          </w:rPr>
          <w:tab/>
        </w:r>
        <w:r>
          <w:rPr>
            <w:noProof/>
            <w:webHidden/>
          </w:rPr>
          <w:fldChar w:fldCharType="begin"/>
        </w:r>
        <w:r>
          <w:rPr>
            <w:noProof/>
            <w:webHidden/>
          </w:rPr>
          <w:instrText xml:space="preserve"> PAGEREF _Toc150762238 \h </w:instrText>
        </w:r>
        <w:r>
          <w:rPr>
            <w:noProof/>
            <w:webHidden/>
          </w:rPr>
        </w:r>
        <w:r>
          <w:rPr>
            <w:noProof/>
            <w:webHidden/>
          </w:rPr>
          <w:fldChar w:fldCharType="separate"/>
        </w:r>
        <w:r>
          <w:rPr>
            <w:noProof/>
            <w:webHidden/>
          </w:rPr>
          <w:t>10</w:t>
        </w:r>
        <w:r>
          <w:rPr>
            <w:noProof/>
            <w:webHidden/>
          </w:rPr>
          <w:fldChar w:fldCharType="end"/>
        </w:r>
      </w:hyperlink>
    </w:p>
    <w:p w14:paraId="231A6EED"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39" w:history="1">
        <w:r>
          <w:rPr>
            <w:rStyle w:val="Hyperlink"/>
            <w:noProof/>
          </w:rPr>
          <w:t>5.1.</w:t>
        </w:r>
        <w:r>
          <w:rPr>
            <w:rFonts w:eastAsiaTheme="minorEastAsia" w:cstheme="minorBidi"/>
            <w:noProof/>
            <w:kern w:val="2"/>
            <w:sz w:val="22"/>
            <w:szCs w:val="22"/>
            <w14:ligatures w14:val="standardContextual"/>
          </w:rPr>
          <w:tab/>
        </w:r>
        <w:r>
          <w:rPr>
            <w:rStyle w:val="Hyperlink"/>
            <w:noProof/>
          </w:rPr>
          <w:t>Conclusiones</w:t>
        </w:r>
        <w:r>
          <w:rPr>
            <w:noProof/>
            <w:webHidden/>
          </w:rPr>
          <w:tab/>
        </w:r>
        <w:r>
          <w:rPr>
            <w:noProof/>
            <w:webHidden/>
          </w:rPr>
          <w:fldChar w:fldCharType="begin"/>
        </w:r>
        <w:r>
          <w:rPr>
            <w:noProof/>
            <w:webHidden/>
          </w:rPr>
          <w:instrText xml:space="preserve"> PAGEREF _Toc150762239 \h </w:instrText>
        </w:r>
        <w:r>
          <w:rPr>
            <w:noProof/>
            <w:webHidden/>
          </w:rPr>
        </w:r>
        <w:r>
          <w:rPr>
            <w:noProof/>
            <w:webHidden/>
          </w:rPr>
          <w:fldChar w:fldCharType="separate"/>
        </w:r>
        <w:r>
          <w:rPr>
            <w:noProof/>
            <w:webHidden/>
          </w:rPr>
          <w:t>10</w:t>
        </w:r>
        <w:r>
          <w:rPr>
            <w:noProof/>
            <w:webHidden/>
          </w:rPr>
          <w:fldChar w:fldCharType="end"/>
        </w:r>
      </w:hyperlink>
    </w:p>
    <w:p w14:paraId="481E4C4B"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40" w:history="1">
        <w:r>
          <w:rPr>
            <w:rStyle w:val="Hyperlink"/>
            <w:noProof/>
          </w:rPr>
          <w:t>5.2.</w:t>
        </w:r>
        <w:r>
          <w:rPr>
            <w:rFonts w:eastAsiaTheme="minorEastAsia" w:cstheme="minorBidi"/>
            <w:noProof/>
            <w:kern w:val="2"/>
            <w:sz w:val="22"/>
            <w:szCs w:val="22"/>
            <w14:ligatures w14:val="standardContextual"/>
          </w:rPr>
          <w:tab/>
        </w:r>
        <w:r>
          <w:rPr>
            <w:rStyle w:val="Hyperlink"/>
            <w:noProof/>
          </w:rPr>
          <w:t>Trabajo futuro</w:t>
        </w:r>
        <w:r>
          <w:rPr>
            <w:noProof/>
            <w:webHidden/>
          </w:rPr>
          <w:tab/>
        </w:r>
        <w:r>
          <w:rPr>
            <w:noProof/>
            <w:webHidden/>
          </w:rPr>
          <w:fldChar w:fldCharType="begin"/>
        </w:r>
        <w:r>
          <w:rPr>
            <w:noProof/>
            <w:webHidden/>
          </w:rPr>
          <w:instrText xml:space="preserve"> PAGEREF _Toc150762240 \h </w:instrText>
        </w:r>
        <w:r>
          <w:rPr>
            <w:noProof/>
            <w:webHidden/>
          </w:rPr>
        </w:r>
        <w:r>
          <w:rPr>
            <w:noProof/>
            <w:webHidden/>
          </w:rPr>
          <w:fldChar w:fldCharType="separate"/>
        </w:r>
        <w:r>
          <w:rPr>
            <w:noProof/>
            <w:webHidden/>
          </w:rPr>
          <w:t>10</w:t>
        </w:r>
        <w:r>
          <w:rPr>
            <w:noProof/>
            <w:webHidden/>
          </w:rPr>
          <w:fldChar w:fldCharType="end"/>
        </w:r>
      </w:hyperlink>
    </w:p>
    <w:p w14:paraId="4D61BD0D" w14:textId="77777777" w:rsidR="00543E64" w:rsidRDefault="00C75C49">
      <w:pPr>
        <w:pStyle w:val="TOC1"/>
        <w:tabs>
          <w:tab w:val="right" w:leader="dot" w:pos="9061"/>
        </w:tabs>
        <w:rPr>
          <w:rFonts w:eastAsiaTheme="minorEastAsia" w:cstheme="minorBidi"/>
          <w:noProof/>
          <w:kern w:val="2"/>
          <w:sz w:val="22"/>
          <w:szCs w:val="22"/>
          <w14:ligatures w14:val="standardContextual"/>
        </w:rPr>
      </w:pPr>
      <w:hyperlink w:anchor="_Toc150762241" w:history="1">
        <w:r>
          <w:rPr>
            <w:rStyle w:val="Hyperlink"/>
            <w:noProof/>
          </w:rPr>
          <w:t>Referencias bibliográficas</w:t>
        </w:r>
        <w:r>
          <w:rPr>
            <w:noProof/>
            <w:webHidden/>
          </w:rPr>
          <w:tab/>
        </w:r>
        <w:r>
          <w:rPr>
            <w:noProof/>
            <w:webHidden/>
          </w:rPr>
          <w:fldChar w:fldCharType="begin"/>
        </w:r>
        <w:r>
          <w:rPr>
            <w:noProof/>
            <w:webHidden/>
          </w:rPr>
          <w:instrText xml:space="preserve"> PAGEREF _Toc150762241 \h </w:instrText>
        </w:r>
        <w:r>
          <w:rPr>
            <w:noProof/>
            <w:webHidden/>
          </w:rPr>
        </w:r>
        <w:r>
          <w:rPr>
            <w:noProof/>
            <w:webHidden/>
          </w:rPr>
          <w:fldChar w:fldCharType="separate"/>
        </w:r>
        <w:r>
          <w:rPr>
            <w:noProof/>
            <w:webHidden/>
          </w:rPr>
          <w:t>11</w:t>
        </w:r>
        <w:r>
          <w:rPr>
            <w:noProof/>
            <w:webHidden/>
          </w:rPr>
          <w:fldChar w:fldCharType="end"/>
        </w:r>
      </w:hyperlink>
    </w:p>
    <w:p w14:paraId="399E7377" w14:textId="77777777" w:rsidR="00543E64" w:rsidRDefault="00C75C49">
      <w:pPr>
        <w:pStyle w:val="TOC1"/>
        <w:tabs>
          <w:tab w:val="left" w:pos="1100"/>
          <w:tab w:val="right" w:leader="dot" w:pos="9061"/>
        </w:tabs>
        <w:rPr>
          <w:rFonts w:eastAsiaTheme="minorEastAsia" w:cstheme="minorBidi"/>
          <w:noProof/>
          <w:kern w:val="2"/>
          <w:sz w:val="22"/>
          <w:szCs w:val="22"/>
          <w14:ligatures w14:val="standardContextual"/>
        </w:rPr>
      </w:pPr>
      <w:hyperlink w:anchor="_Toc150762242" w:history="1">
        <w:r>
          <w:rPr>
            <w:rStyle w:val="Hyperlink"/>
            <w:noProof/>
          </w:rPr>
          <w:t>Anexo A.</w:t>
        </w:r>
        <w:r>
          <w:rPr>
            <w:rFonts w:eastAsiaTheme="minorEastAsia" w:cstheme="minorBidi"/>
            <w:noProof/>
            <w:kern w:val="2"/>
            <w:sz w:val="22"/>
            <w:szCs w:val="22"/>
            <w14:ligatures w14:val="standardContextual"/>
          </w:rPr>
          <w:tab/>
        </w:r>
        <w:r>
          <w:rPr>
            <w:rStyle w:val="Hyperlink"/>
            <w:noProof/>
          </w:rPr>
          <w:t>Repositorio de código y reproducibilidad</w:t>
        </w:r>
        <w:r>
          <w:rPr>
            <w:noProof/>
            <w:webHidden/>
          </w:rPr>
          <w:tab/>
        </w:r>
        <w:r>
          <w:rPr>
            <w:noProof/>
            <w:webHidden/>
          </w:rPr>
          <w:fldChar w:fldCharType="begin"/>
        </w:r>
        <w:r>
          <w:rPr>
            <w:noProof/>
            <w:webHidden/>
          </w:rPr>
          <w:instrText xml:space="preserve"> PAGEREF _Toc150762242 \h </w:instrText>
        </w:r>
        <w:r>
          <w:rPr>
            <w:noProof/>
            <w:webHidden/>
          </w:rPr>
        </w:r>
        <w:r>
          <w:rPr>
            <w:noProof/>
            <w:webHidden/>
          </w:rPr>
          <w:fldChar w:fldCharType="separate"/>
        </w:r>
        <w:r>
          <w:rPr>
            <w:noProof/>
            <w:webHidden/>
          </w:rPr>
          <w:t>12</w:t>
        </w:r>
        <w:r>
          <w:rPr>
            <w:noProof/>
            <w:webHidden/>
          </w:rPr>
          <w:fldChar w:fldCharType="end"/>
        </w:r>
      </w:hyperlink>
    </w:p>
    <w:p w14:paraId="0EC06A9C" w14:textId="77777777" w:rsidR="005D549B" w:rsidRPr="0097635A" w:rsidRDefault="00423E85" w:rsidP="006403BD">
      <w:pPr>
        <w:pStyle w:val="Ttulondices"/>
      </w:pPr>
      <w:r>
        <w:rPr>
          <w:rFonts w:asciiTheme="minorHAnsi" w:hAnsiTheme="minorHAnsi" w:cs="Times New Roman"/>
          <w:sz w:val="22"/>
          <w:szCs w:val="24"/>
          <w:lang w:eastAsia="es-ES"/>
        </w:rPr>
        <w:fldChar w:fldCharType="end"/>
      </w:r>
      <w:r>
        <w:br w:type="page"/>
        <w:t xml:space="preserve">Índice de figuras </w:t>
      </w:r>
    </w:p>
    <w:p w14:paraId="06C69600" w14:textId="77777777" w:rsidR="00A976F0" w:rsidRPr="0097635A" w:rsidRDefault="005D549B" w:rsidP="006403BD">
      <w:pPr>
        <w:pStyle w:val="Ttulondices"/>
      </w:pPr>
      <w:r>
        <w:br w:type="page"/>
        <w:t>Índice de tablas</w:t>
      </w:r>
    </w:p>
    <w:p w14:paraId="0B7541BD" w14:textId="77777777" w:rsidR="00543E64" w:rsidRDefault="00A95BB0">
      <w:pPr>
        <w:pStyle w:val="TableofFigures"/>
        <w:tabs>
          <w:tab w:val="right" w:leader="dot" w:pos="9061"/>
        </w:tabs>
        <w:rPr>
          <w:rFonts w:eastAsiaTheme="minorEastAsia" w:cstheme="minorBidi"/>
          <w:noProof/>
          <w:kern w:val="2"/>
          <w:sz w:val="22"/>
          <w:szCs w:val="22"/>
          <w14:ligatures w14:val="standardContextual"/>
        </w:rPr>
      </w:pPr>
      <w:r>
        <w:rPr>
          <w:b/>
        </w:rPr>
        <w:fldChar w:fldCharType="begin"/>
      </w:r>
      <w:r>
        <w:rPr>
          <w:b/>
        </w:rPr>
        <w:instrText xml:space="preserve"> TOC \h \z \t "Tablas;1" \c "Tabla" </w:instrText>
      </w:r>
      <w:r>
        <w:rPr>
          <w:b/>
        </w:rPr>
        <w:fldChar w:fldCharType="separate"/>
      </w:r>
      <w:hyperlink w:anchor="_Toc150762245" w:history="1">
        <w:r>
          <w:rPr>
            <w:rStyle w:val="Hyperlink"/>
            <w:noProof/>
          </w:rPr>
          <w:t xml:space="preserve">Tabla 1. </w:t>
        </w:r>
        <w:r>
          <w:rPr>
            <w:rStyle w:val="Hyperlink"/>
            <w:i/>
            <w:iCs/>
            <w:noProof/>
          </w:rPr>
          <w:t>Organización del trabajo en grupo.</w:t>
        </w:r>
        <w:r>
          <w:rPr>
            <w:noProof/>
            <w:webHidden/>
          </w:rPr>
          <w:tab/>
        </w:r>
        <w:r>
          <w:rPr>
            <w:noProof/>
            <w:webHidden/>
          </w:rPr>
          <w:fldChar w:fldCharType="begin"/>
        </w:r>
        <w:r>
          <w:rPr>
            <w:noProof/>
            <w:webHidden/>
          </w:rPr>
          <w:instrText xml:space="preserve"> PAGEREF _Toc150762245 \h </w:instrText>
        </w:r>
        <w:r>
          <w:rPr>
            <w:noProof/>
            <w:webHidden/>
          </w:rPr>
        </w:r>
        <w:r>
          <w:rPr>
            <w:noProof/>
            <w:webHidden/>
          </w:rPr>
          <w:fldChar w:fldCharType="separate"/>
        </w:r>
        <w:r>
          <w:rPr>
            <w:noProof/>
            <w:webHidden/>
          </w:rPr>
          <w:t>IX</w:t>
        </w:r>
        <w:r>
          <w:rPr>
            <w:noProof/>
            <w:webHidden/>
          </w:rPr>
          <w:fldChar w:fldCharType="end"/>
        </w:r>
      </w:hyperlink>
    </w:p>
    <w:p w14:paraId="2C67AAEE" w14:textId="77777777" w:rsidR="006C7423" w:rsidRPr="0097635A" w:rsidRDefault="00A95BB0" w:rsidP="001A29E8">
      <w:pPr>
        <w:pStyle w:val="TOCHeading"/>
        <w:rPr>
          <w:rFonts w:cs="Times New Roman"/>
          <w:b w:val="0"/>
          <w:noProof w:val="0"/>
        </w:rPr>
      </w:pPr>
      <w:r>
        <w:rPr>
          <w:rFonts w:cs="Times New Roman"/>
          <w:b w:val="0"/>
          <w:noProof w:val="0"/>
        </w:rPr>
        <w:fldChar w:fldCharType="end"/>
      </w:r>
    </w:p>
    <w:p w14:paraId="201539F0" w14:textId="77777777" w:rsidR="006C7423" w:rsidRPr="0097635A" w:rsidRDefault="006C7423" w:rsidP="001A29E8">
      <w:pPr>
        <w:pStyle w:val="TOCHeading"/>
        <w:rPr>
          <w:rFonts w:cs="Times New Roman"/>
          <w:b w:val="0"/>
          <w:noProof w:val="0"/>
        </w:rPr>
      </w:pPr>
    </w:p>
    <w:p w14:paraId="695C7EFB" w14:textId="77777777" w:rsidR="006C7423" w:rsidRPr="0097635A" w:rsidRDefault="006C7423">
      <w:pPr>
        <w:spacing w:before="0" w:after="0" w:line="240" w:lineRule="auto"/>
        <w:jc w:val="left"/>
      </w:pPr>
      <w:r>
        <w:rPr>
          <w:b/>
        </w:rPr>
        <w:br w:type="page"/>
      </w:r>
    </w:p>
    <w:p w14:paraId="1C805860" w14:textId="77777777" w:rsidR="006C7423" w:rsidRPr="0097635A" w:rsidRDefault="006C7423" w:rsidP="006C7423">
      <w:pPr>
        <w:pStyle w:val="Ttulondices"/>
      </w:pPr>
      <w:r>
        <w:t>Organización del trabajo en grupo</w:t>
      </w:r>
    </w:p>
    <w:p w14:paraId="02CB11A7" w14:textId="77777777" w:rsidR="006C7423" w:rsidRPr="0097635A" w:rsidRDefault="006C7423" w:rsidP="006C7423">
      <w:r>
        <w:t xml:space="preserve">A continuación se detalla la distribución del trabajo entre los dos integrantes del grupo, los objetivos asignados y los mecanismos de coordinación empleados para el desarrollo del TFM. </w:t>
      </w:r>
    </w:p>
    <w:p w14:paraId="4370DEAD" w14:textId="77777777" w:rsidR="006C7423" w:rsidRPr="0097635A" w:rsidRDefault="006C7423" w:rsidP="006C7423"/>
    <w:p w14:paraId="5C1B76BA" w14:textId="77777777" w:rsidR="006C7423" w:rsidRPr="0097635A" w:rsidRDefault="006C7423" w:rsidP="006C7423">
      <w:pPr>
        <w:pStyle w:val="Ttulondices"/>
        <w:rPr>
          <w:sz w:val="28"/>
          <w:szCs w:val="28"/>
        </w:rPr>
      </w:pPr>
      <w:r>
        <w:rPr>
          <w:sz w:val="28"/>
          <w:szCs w:val="28"/>
        </w:rPr>
        <w:t>Partes que aborda el TFE</w:t>
      </w:r>
    </w:p>
    <w:p w14:paraId="24A6B349" w14:textId="77777777" w:rsidR="006C7423" w:rsidRPr="0097635A" w:rsidRDefault="006C7423" w:rsidP="006C7423">
      <w:r>
        <w:t>Cada estudiante aborda elementos que individualmente constituirían un TFM completo:</w:t>
      </w:r>
    </w:p>
    <w:p w14:paraId="5D12D2A4" w14:textId="77777777" w:rsidR="006C7423" w:rsidRPr="0097635A" w:rsidRDefault="006C7423" w:rsidP="006C7423"/>
    <w:p w14:paraId="3627C415" w14:textId="77777777" w:rsidR="000C2447" w:rsidRPr="000C2447" w:rsidRDefault="00195E7F" w:rsidP="007E6E39">
      <w:pPr>
        <w:pStyle w:val="ListParagraph"/>
        <w:numPr>
          <w:ilvl w:val="0"/>
          <w:numId w:val="7"/>
        </w:numPr>
        <w:ind w:left="426"/>
      </w:pPr>
      <w:r>
        <w:t>Implementación del pipeline de estimación de pose 6-DoF con FoundationPose (Transformers) y evaluación en benchmarks BOP (T-LESS, YCB-Video).</w:t>
      </w:r>
    </w:p>
    <w:p w14:paraId="2E9A1FB0" w14:textId="77777777" w:rsidR="006C7423" w:rsidRPr="000C2447" w:rsidRDefault="000C2447" w:rsidP="007E6E39">
      <w:pPr>
        <w:pStyle w:val="ListParagraph"/>
        <w:numPr>
          <w:ilvl w:val="0"/>
          <w:numId w:val="7"/>
        </w:numPr>
        <w:ind w:left="426"/>
        <w:rPr>
          <w:bCs/>
        </w:rPr>
      </w:pPr>
      <w:r>
        <w:rPr>
          <w:bCs/>
        </w:rPr>
        <w:t>Implementación de Diffusion Policy para generación de trayectorias de agarre multimodales y configuración del entorno de simulación CoppeliaSim + ROS 2.</w:t>
      </w:r>
    </w:p>
    <w:p w14:paraId="69BE7668" w14:textId="77777777" w:rsidR="006C7423" w:rsidRPr="000C2447" w:rsidRDefault="000C2447" w:rsidP="007E6E39">
      <w:pPr>
        <w:pStyle w:val="ListParagraph"/>
        <w:numPr>
          <w:ilvl w:val="0"/>
          <w:numId w:val="7"/>
        </w:numPr>
        <w:ind w:left="426"/>
        <w:rPr>
          <w:bCs/>
        </w:rPr>
      </w:pPr>
      <w:r>
        <w:rPr>
          <w:bCs/>
        </w:rPr>
        <w:t>Formalización matemática: representaciones en SE(3)/SO(3), mecanismos de atención Transformer, SDEs y score matching para modelos de difusión.</w:t>
      </w:r>
    </w:p>
    <w:p w14:paraId="4AD15AF5" w14:textId="77777777" w:rsidR="006C7423" w:rsidRPr="000C2447" w:rsidRDefault="000C2447" w:rsidP="007E6E39">
      <w:pPr>
        <w:pStyle w:val="ListParagraph"/>
        <w:numPr>
          <w:ilvl w:val="0"/>
          <w:numId w:val="7"/>
        </w:numPr>
        <w:ind w:left="426"/>
        <w:rPr>
          <w:bCs/>
        </w:rPr>
      </w:pPr>
      <w:r>
        <w:rPr>
          <w:bCs/>
        </w:rPr>
        <w:t>Integración del pipeline completo: percepción + planificación + ejecución robótica con visual servoing.</w:t>
      </w:r>
    </w:p>
    <w:p w14:paraId="5C9B476A" w14:textId="77777777" w:rsidR="006C7423" w:rsidRPr="0097635A" w:rsidRDefault="000C2447" w:rsidP="007E6E39">
      <w:pPr>
        <w:pStyle w:val="ListParagraph"/>
        <w:numPr>
          <w:ilvl w:val="0"/>
          <w:numId w:val="7"/>
        </w:numPr>
        <w:ind w:left="426"/>
      </w:pPr>
      <w:r>
        <w:t>Evaluación experimental y análisis comparativo con métodos clásicos en métricas BOP estándar.</w:t>
      </w:r>
    </w:p>
    <w:p w14:paraId="4C0F8240" w14:textId="77777777" w:rsidR="006C7423" w:rsidRPr="0097635A" w:rsidRDefault="006C7423" w:rsidP="006C7423">
      <w:pPr>
        <w:rPr>
          <w:b/>
        </w:rPr>
      </w:pPr>
    </w:p>
    <w:p w14:paraId="72A5662F" w14:textId="4C9AC25A" w:rsidR="0097635A" w:rsidRPr="00FF32DA" w:rsidRDefault="006C7423" w:rsidP="00FF32DA">
      <w:pPr>
        <w:pStyle w:val="Ttulondices"/>
        <w:rPr>
          <w:sz w:val="28"/>
          <w:szCs w:val="28"/>
        </w:rPr>
      </w:pPr>
      <w:r>
        <w:rPr>
          <w:sz w:val="28"/>
          <w:szCs w:val="28"/>
        </w:rPr>
        <w:t>Distribución y estructura de la memoria</w:t>
      </w:r>
    </w:p>
    <w:p w14:paraId="4E4E1A8D" w14:textId="77777777" w:rsidR="0097635A" w:rsidRPr="0097635A" w:rsidRDefault="0097635A" w:rsidP="0097635A">
      <w:pPr>
        <w:pStyle w:val="Caption"/>
        <w:keepNext/>
        <w:rPr>
          <w:sz w:val="24"/>
          <w:szCs w:val="24"/>
        </w:rPr>
      </w:pPr>
      <w:bookmarkStart w:id="3" w:name="_Toc150762245"/>
      <w:r>
        <w:rPr>
          <w:sz w:val="24"/>
          <w:szCs w:val="24"/>
        </w:rPr>
        <w:t xml:space="preserve">Tabla </w:t>
      </w:r>
      <w:r>
        <w:rPr>
          <w:sz w:val="24"/>
          <w:szCs w:val="24"/>
        </w:rPr>
        <w:fldChar w:fldCharType="begin"/>
      </w:r>
      <w:r>
        <w:rPr>
          <w:sz w:val="24"/>
          <w:szCs w:val="24"/>
        </w:rPr>
        <w:instrText xml:space="preserve"> SEQ Tabla \* ARABIC </w:instrText>
      </w:r>
      <w:r>
        <w:rPr>
          <w:sz w:val="24"/>
          <w:szCs w:val="24"/>
        </w:rPr>
        <w:fldChar w:fldCharType="separate"/>
      </w:r>
      <w:r>
        <w:rPr>
          <w:noProof/>
          <w:sz w:val="24"/>
          <w:szCs w:val="24"/>
        </w:rPr>
        <w:t>1</w:t>
      </w:r>
      <w:r>
        <w:rPr>
          <w:sz w:val="24"/>
          <w:szCs w:val="24"/>
        </w:rPr>
        <w:fldChar w:fldCharType="end"/>
      </w:r>
      <w:r>
        <w:t xml:space="preserve">. </w:t>
      </w:r>
      <w:r>
        <w:rPr>
          <w:b w:val="0"/>
          <w:bCs w:val="0"/>
          <w:i/>
          <w:iCs/>
          <w:sz w:val="24"/>
          <w:szCs w:val="24"/>
        </w:rPr>
        <w:t>Organización del trabajo en grupo.</w:t>
      </w:r>
      <w:bookmarkEnd w:id="3"/>
    </w:p>
    <w:tbl>
      <w:tblPr>
        <w:tblStyle w:val="GridTable4-Accent1"/>
        <w:tblW w:w="0" w:type="auto"/>
        <w:tblLook w:val="04A0" w:firstRow="1" w:lastRow="0" w:firstColumn="1" w:lastColumn="0" w:noHBand="0" w:noVBand="1"/>
      </w:tblPr>
      <w:tblGrid>
        <w:gridCol w:w="5807"/>
        <w:gridCol w:w="3254"/>
      </w:tblGrid>
      <w:tr w:rsidR="006C7423" w:rsidRPr="0097635A" w14:paraId="0B75D8C4" w14:textId="77777777" w:rsidTr="00F317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1" w:type="dxa"/>
            <w:gridSpan w:val="2"/>
            <w:vAlign w:val="center"/>
          </w:tcPr>
          <w:p w14:paraId="255D6845" w14:textId="77777777" w:rsidR="006C7423" w:rsidRPr="0097635A" w:rsidRDefault="006C7423" w:rsidP="00F31747">
            <w:pPr>
              <w:pStyle w:val="TableofFigures"/>
              <w:tabs>
                <w:tab w:val="right" w:leader="dot" w:pos="9061"/>
              </w:tabs>
              <w:jc w:val="center"/>
              <w:rPr>
                <w:bCs w:val="0"/>
                <w:sz w:val="20"/>
                <w:szCs w:val="20"/>
              </w:rPr>
            </w:pPr>
            <w:r>
              <w:rPr>
                <w:bCs w:val="0"/>
                <w:sz w:val="20"/>
                <w:szCs w:val="20"/>
              </w:rPr>
              <w:t>Organización del trabajo en grupo - Desarrollo de la memoria</w:t>
            </w:r>
          </w:p>
        </w:tc>
      </w:tr>
      <w:tr w:rsidR="006C7423" w:rsidRPr="0097635A" w14:paraId="3A45F125"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4309856F" w14:textId="77777777" w:rsidR="006C7423" w:rsidRPr="0097635A" w:rsidRDefault="006C7423" w:rsidP="00F31747">
            <w:pPr>
              <w:pStyle w:val="TableofFigures"/>
              <w:tabs>
                <w:tab w:val="right" w:leader="dot" w:pos="9061"/>
              </w:tabs>
              <w:jc w:val="center"/>
              <w:rPr>
                <w:bCs w:val="0"/>
                <w:sz w:val="20"/>
                <w:szCs w:val="20"/>
              </w:rPr>
            </w:pPr>
            <w:r>
              <w:rPr>
                <w:bCs w:val="0"/>
                <w:sz w:val="20"/>
                <w:szCs w:val="20"/>
              </w:rPr>
              <w:t>Apartado de la memoria</w:t>
            </w:r>
          </w:p>
        </w:tc>
        <w:tc>
          <w:tcPr>
            <w:tcW w:w="3254" w:type="dxa"/>
            <w:vAlign w:val="center"/>
          </w:tcPr>
          <w:p w14:paraId="5F50CFEF" w14:textId="77777777" w:rsidR="006C7423" w:rsidRPr="0097635A" w:rsidRDefault="006C7423" w:rsidP="00F31747">
            <w:pPr>
              <w:pStyle w:val="TableofFigures"/>
              <w:tabs>
                <w:tab w:val="right" w:leader="dot" w:pos="9061"/>
              </w:tabs>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Responsables</w:t>
            </w:r>
          </w:p>
        </w:tc>
      </w:tr>
      <w:tr w:rsidR="006C7423" w:rsidRPr="0097635A" w14:paraId="1356D4A5"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2840F2CF" w14:textId="77777777" w:rsidR="006C7423" w:rsidRPr="0097635A" w:rsidRDefault="006C7423" w:rsidP="00F31747">
            <w:pPr>
              <w:pStyle w:val="TableofFigures"/>
              <w:tabs>
                <w:tab w:val="right" w:leader="dot" w:pos="9061"/>
              </w:tabs>
              <w:jc w:val="left"/>
              <w:rPr>
                <w:b w:val="0"/>
                <w:sz w:val="20"/>
                <w:szCs w:val="20"/>
              </w:rPr>
            </w:pPr>
            <w:r>
              <w:rPr>
                <w:b w:val="0"/>
                <w:sz w:val="20"/>
                <w:szCs w:val="20"/>
              </w:rPr>
              <w:t>Introducción</w:t>
            </w:r>
          </w:p>
        </w:tc>
        <w:tc>
          <w:tcPr>
            <w:tcW w:w="3254" w:type="dxa"/>
            <w:vAlign w:val="center"/>
          </w:tcPr>
          <w:p w14:paraId="5EAFA4EC"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Giocrisrai y José Miguel</w:t>
            </w:r>
          </w:p>
        </w:tc>
      </w:tr>
      <w:tr w:rsidR="006C7423" w:rsidRPr="0097635A" w14:paraId="4324F602"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0528686E" w14:textId="77777777" w:rsidR="006C7423" w:rsidRPr="0097635A" w:rsidRDefault="006C7423" w:rsidP="00F31747">
            <w:pPr>
              <w:pStyle w:val="TableofFigures"/>
              <w:tabs>
                <w:tab w:val="right" w:leader="dot" w:pos="9061"/>
              </w:tabs>
              <w:jc w:val="left"/>
              <w:rPr>
                <w:b w:val="0"/>
                <w:sz w:val="20"/>
                <w:szCs w:val="20"/>
              </w:rPr>
            </w:pPr>
            <w:r>
              <w:rPr>
                <w:b w:val="0"/>
                <w:sz w:val="20"/>
                <w:szCs w:val="20"/>
              </w:rPr>
              <w:t>Contexto y estado del arte</w:t>
            </w:r>
          </w:p>
        </w:tc>
        <w:tc>
          <w:tcPr>
            <w:tcW w:w="3254" w:type="dxa"/>
            <w:vAlign w:val="center"/>
          </w:tcPr>
          <w:p w14:paraId="7A3AF70F"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 y José Miguel</w:t>
            </w:r>
          </w:p>
        </w:tc>
      </w:tr>
      <w:tr w:rsidR="006C7423" w:rsidRPr="0097635A" w14:paraId="1728962F"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7BFE726E" w14:textId="77777777" w:rsidR="006C7423" w:rsidRPr="0097635A" w:rsidRDefault="006C7423" w:rsidP="00F31747">
            <w:pPr>
              <w:pStyle w:val="TableofFigures"/>
              <w:tabs>
                <w:tab w:val="right" w:leader="dot" w:pos="9061"/>
              </w:tabs>
              <w:jc w:val="left"/>
              <w:rPr>
                <w:b w:val="0"/>
                <w:sz w:val="20"/>
                <w:szCs w:val="20"/>
              </w:rPr>
            </w:pPr>
            <w:r>
              <w:rPr>
                <w:b w:val="0"/>
                <w:sz w:val="20"/>
                <w:szCs w:val="20"/>
              </w:rPr>
              <w:t>Objetivos y metodología de trabajo</w:t>
            </w:r>
          </w:p>
        </w:tc>
        <w:tc>
          <w:tcPr>
            <w:tcW w:w="3254" w:type="dxa"/>
            <w:vAlign w:val="center"/>
          </w:tcPr>
          <w:p w14:paraId="6B78DFA4"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Giocrisrai y José Miguel</w:t>
            </w:r>
          </w:p>
        </w:tc>
      </w:tr>
      <w:tr w:rsidR="006C7423" w:rsidRPr="0097635A" w14:paraId="7A8055C6"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0B164971" w14:textId="77777777" w:rsidR="006C7423" w:rsidRPr="0097635A" w:rsidRDefault="0029473C" w:rsidP="00F31747">
            <w:pPr>
              <w:pStyle w:val="TableofFigures"/>
              <w:tabs>
                <w:tab w:val="right" w:leader="dot" w:pos="9061"/>
              </w:tabs>
              <w:jc w:val="left"/>
              <w:rPr>
                <w:b w:val="0"/>
                <w:sz w:val="20"/>
                <w:szCs w:val="20"/>
              </w:rPr>
            </w:pPr>
            <w:r>
              <w:rPr>
                <w:b w:val="0"/>
                <w:sz w:val="20"/>
                <w:szCs w:val="20"/>
              </w:rPr>
              <w:t>Implementación del pipeline de estimación de pose 6-DoF con FoundationPose (Transformers) y evaluación en benchmarks BOP (T-LESS, YCB-Video).</w:t>
            </w:r>
          </w:p>
        </w:tc>
        <w:tc>
          <w:tcPr>
            <w:tcW w:w="3254" w:type="dxa"/>
            <w:vAlign w:val="center"/>
          </w:tcPr>
          <w:p w14:paraId="710C28A6"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w:t>
            </w:r>
          </w:p>
        </w:tc>
      </w:tr>
      <w:tr w:rsidR="006C7423" w:rsidRPr="0097635A" w14:paraId="7D3DCD35"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2867754E" w14:textId="77777777" w:rsidR="006C7423" w:rsidRPr="0097635A" w:rsidRDefault="00126897" w:rsidP="00F31747">
            <w:pPr>
              <w:pStyle w:val="TableofFigures"/>
              <w:tabs>
                <w:tab w:val="right" w:leader="dot" w:pos="9061"/>
              </w:tabs>
              <w:jc w:val="left"/>
              <w:rPr>
                <w:b w:val="0"/>
                <w:sz w:val="20"/>
                <w:szCs w:val="20"/>
              </w:rPr>
            </w:pPr>
            <w:bookmarkStart w:id="4" w:name="_Hlk150260181"/>
            <w:r>
              <w:rPr>
                <w:b w:val="0"/>
                <w:sz w:val="20"/>
                <w:szCs w:val="20"/>
              </w:rPr>
              <w:t>Implementación de Diffusion Policy y configuración CoppeliaSim + ROS 2</w:t>
            </w:r>
            <w:bookmarkEnd w:id="4"/>
          </w:p>
        </w:tc>
        <w:tc>
          <w:tcPr>
            <w:tcW w:w="3254" w:type="dxa"/>
            <w:vAlign w:val="center"/>
          </w:tcPr>
          <w:p w14:paraId="240C0C3A"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José Miguel</w:t>
            </w:r>
          </w:p>
        </w:tc>
      </w:tr>
      <w:tr w:rsidR="006C7423" w:rsidRPr="0097635A" w14:paraId="77973078"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46F656AD" w14:textId="77777777" w:rsidR="006C7423" w:rsidRPr="0097635A" w:rsidRDefault="000937BC" w:rsidP="00F31747">
            <w:pPr>
              <w:pStyle w:val="TableofFigures"/>
              <w:tabs>
                <w:tab w:val="right" w:leader="dot" w:pos="9061"/>
              </w:tabs>
              <w:jc w:val="left"/>
              <w:rPr>
                <w:b w:val="0"/>
                <w:sz w:val="20"/>
                <w:szCs w:val="20"/>
              </w:rPr>
            </w:pPr>
            <w:r>
              <w:rPr>
                <w:b w:val="0"/>
                <w:sz w:val="20"/>
                <w:szCs w:val="20"/>
              </w:rPr>
              <w:t>Formalización matemática: SE(3)/SO(3), Transformers, SDEs, score matching</w:t>
            </w:r>
          </w:p>
        </w:tc>
        <w:tc>
          <w:tcPr>
            <w:tcW w:w="3254" w:type="dxa"/>
            <w:vAlign w:val="center"/>
          </w:tcPr>
          <w:p w14:paraId="7367FE64"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w:t>
            </w:r>
          </w:p>
        </w:tc>
      </w:tr>
      <w:tr w:rsidR="006C7423" w:rsidRPr="0097635A" w14:paraId="735F2755"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7E2B6C3E" w14:textId="77777777" w:rsidR="006C7423" w:rsidRPr="0097635A" w:rsidRDefault="003E5632" w:rsidP="00F31747">
            <w:pPr>
              <w:pStyle w:val="TableofFigures"/>
              <w:tabs>
                <w:tab w:val="right" w:leader="dot" w:pos="9061"/>
              </w:tabs>
              <w:jc w:val="left"/>
              <w:rPr>
                <w:b w:val="0"/>
                <w:sz w:val="20"/>
                <w:szCs w:val="20"/>
              </w:rPr>
            </w:pPr>
            <w:bookmarkStart w:id="5" w:name="_Hlk150260225"/>
            <w:r>
              <w:rPr>
                <w:b w:val="0"/>
                <w:sz w:val="20"/>
                <w:szCs w:val="20"/>
              </w:rPr>
              <w:t>Integración del pipeline completo: percepción + planificación + ejecución</w:t>
            </w:r>
            <w:bookmarkEnd w:id="5"/>
          </w:p>
        </w:tc>
        <w:tc>
          <w:tcPr>
            <w:tcW w:w="3254" w:type="dxa"/>
            <w:vAlign w:val="center"/>
          </w:tcPr>
          <w:p w14:paraId="62E48214"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Giocrisrai y José Miguel</w:t>
            </w:r>
          </w:p>
        </w:tc>
      </w:tr>
      <w:tr w:rsidR="006C7423" w:rsidRPr="0097635A" w14:paraId="5BB349E0"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2474E191" w14:textId="77777777" w:rsidR="006C7423" w:rsidRPr="0097635A" w:rsidRDefault="006C7423" w:rsidP="00F31747">
            <w:pPr>
              <w:pStyle w:val="TableofFigures"/>
              <w:tabs>
                <w:tab w:val="right" w:leader="dot" w:pos="9061"/>
              </w:tabs>
              <w:jc w:val="left"/>
              <w:rPr>
                <w:b w:val="0"/>
                <w:sz w:val="20"/>
                <w:szCs w:val="20"/>
              </w:rPr>
            </w:pPr>
            <w:bookmarkStart w:id="6" w:name="_Hlk150260244"/>
            <w:r>
              <w:rPr>
                <w:b w:val="0"/>
                <w:sz w:val="20"/>
                <w:szCs w:val="20"/>
              </w:rPr>
              <w:t>Evaluación experimental y análisis comparativo en métricas BOP</w:t>
            </w:r>
            <w:bookmarkEnd w:id="6"/>
          </w:p>
        </w:tc>
        <w:tc>
          <w:tcPr>
            <w:tcW w:w="3254" w:type="dxa"/>
            <w:vAlign w:val="center"/>
          </w:tcPr>
          <w:p w14:paraId="32FE2A8E"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 y José Miguel</w:t>
            </w:r>
          </w:p>
        </w:tc>
      </w:tr>
      <w:tr w:rsidR="006C7423" w:rsidRPr="0097635A" w14:paraId="708B7F95"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0825EA60" w14:textId="77777777" w:rsidR="006C7423" w:rsidRPr="0097635A" w:rsidRDefault="006C7423" w:rsidP="00F31747">
            <w:pPr>
              <w:pStyle w:val="TableofFigures"/>
              <w:tabs>
                <w:tab w:val="right" w:leader="dot" w:pos="9061"/>
              </w:tabs>
              <w:jc w:val="left"/>
              <w:rPr>
                <w:b w:val="0"/>
                <w:sz w:val="20"/>
                <w:szCs w:val="20"/>
              </w:rPr>
            </w:pPr>
            <w:r>
              <w:rPr>
                <w:b w:val="0"/>
                <w:sz w:val="20"/>
                <w:szCs w:val="20"/>
              </w:rPr>
              <w:t>Conclusiones</w:t>
            </w:r>
          </w:p>
        </w:tc>
        <w:tc>
          <w:tcPr>
            <w:tcW w:w="3254" w:type="dxa"/>
            <w:vAlign w:val="center"/>
          </w:tcPr>
          <w:p w14:paraId="319D09BE"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Giocrisrai y José Miguel</w:t>
            </w:r>
          </w:p>
        </w:tc>
      </w:tr>
    </w:tbl>
    <w:p w14:paraId="32AA74DC" w14:textId="77777777" w:rsidR="006C7423" w:rsidRPr="0097635A" w:rsidRDefault="0097635A" w:rsidP="0097635A">
      <w:pPr>
        <w:pStyle w:val="Piedefoto-tabla"/>
        <w:rPr>
          <w:lang w:val="es-ES"/>
        </w:rPr>
      </w:pPr>
      <w:r>
        <w:rPr>
          <w:lang w:val="es-ES"/>
        </w:rPr>
        <w:t xml:space="preserve">Fuente: Elaboración propia. </w:t>
      </w:r>
    </w:p>
    <w:p w14:paraId="5051EDD1" w14:textId="77777777" w:rsidR="006C7423" w:rsidRPr="0097635A" w:rsidRDefault="006C7423" w:rsidP="006C7423">
      <w:pPr>
        <w:rPr>
          <w:bCs/>
        </w:rPr>
      </w:pPr>
    </w:p>
    <w:p w14:paraId="721D5938" w14:textId="77777777" w:rsidR="006C7423" w:rsidRPr="0097635A" w:rsidRDefault="006C7423" w:rsidP="006C7423">
      <w:pPr>
        <w:rPr>
          <w:bCs/>
        </w:rPr>
      </w:pPr>
      <w:r>
        <w:rPr>
          <w:rFonts w:asciiTheme="majorHAnsi" w:hAnsiTheme="majorHAnsi" w:cs="Arial"/>
          <w:color w:val="0098CD"/>
          <w:sz w:val="28"/>
          <w:szCs w:val="28"/>
          <w:lang w:eastAsia="en-US"/>
        </w:rPr>
        <w:t>Objetivo del TFE desde el punto de vista de la adquisición de conocimientos</w:t>
      </w:r>
    </w:p>
    <w:p w14:paraId="6AF4A191" w14:textId="77777777" w:rsidR="006C7423" w:rsidRPr="0097635A" w:rsidRDefault="006C7423" w:rsidP="006C7423">
      <w:pPr>
        <w:rPr>
          <w:bCs/>
        </w:rPr>
      </w:pPr>
      <w:r>
        <w:rPr>
          <w:bCs/>
        </w:rPr>
        <w:t>Desde el punto de vista de la adquisición de conocimientos, este TFM integra múltiples disciplinas del máster: álgebra (grupos de Lie SO(3)/SE(3), cuaterniones), análisis (ecuaciones diferenciales estocásticas, procesos de Markov), estadística (score matching, estimación de densidades), computación (deep learning, arquitecturas Transformer, modelos de difusión) y aplicaciones de ingeniería (robótica, visión por computador, control). Cada estudiante desarrolla componentes que individualmente constituirían un TFM, y la integración aporta un carácter holístico con relevancia tanto académica como industrial.</w:t>
      </w:r>
    </w:p>
    <w:p w14:paraId="45E72AFE" w14:textId="77777777" w:rsidR="008B756B" w:rsidRDefault="008B756B" w:rsidP="006C7423">
      <w:pPr>
        <w:pStyle w:val="Ttulondices"/>
        <w:rPr>
          <w:sz w:val="28"/>
          <w:szCs w:val="28"/>
        </w:rPr>
      </w:pPr>
    </w:p>
    <w:p w14:paraId="50691ABA" w14:textId="77777777" w:rsidR="006C7423" w:rsidRPr="0097635A" w:rsidRDefault="006C7423" w:rsidP="006C7423">
      <w:pPr>
        <w:pStyle w:val="Ttulondices"/>
        <w:rPr>
          <w:sz w:val="28"/>
          <w:szCs w:val="28"/>
        </w:rPr>
      </w:pPr>
      <w:r>
        <w:rPr>
          <w:sz w:val="28"/>
          <w:szCs w:val="28"/>
        </w:rPr>
        <w:t>Mecanismos de coordinación empleados</w:t>
      </w:r>
    </w:p>
    <w:p w14:paraId="6B334435" w14:textId="77777777" w:rsidR="006C7423" w:rsidRPr="0097635A" w:rsidRDefault="006C7423" w:rsidP="006C7423"/>
    <w:p w14:paraId="28CCA203" w14:textId="77777777" w:rsidR="006C7423" w:rsidRPr="0097635A" w:rsidRDefault="006C7423" w:rsidP="006C7423">
      <w:r>
        <w:t>Los mecanismos de coordinación empleados incluyen: reuniones semanales por videoconferencia, repositorio compartido en GitHub para código y documentación, Google Drive para archivos del documento, canal de comunicación en WhatsApp/Telegram para coordinación diaria, y sesiones de revisión de código (code review) mutuas. Se utilizan Google Colab compartido para los notebooks de entrenamiento y CoppeliaSim con configuraciones sincronizadas para reproducibilidad de experimentos.</w:t>
      </w:r>
    </w:p>
    <w:p w14:paraId="4D701133" w14:textId="77777777" w:rsidR="00680ED3" w:rsidRPr="0097635A" w:rsidRDefault="00680ED3" w:rsidP="001A29E8">
      <w:pPr>
        <w:pStyle w:val="TOCHeading"/>
        <w:rPr>
          <w:rFonts w:cs="Times New Roman"/>
          <w:b w:val="0"/>
          <w:noProof w:val="0"/>
        </w:rPr>
        <w:sectPr w:rsidR="00680ED3" w:rsidRPr="0097635A">
          <w:headerReference w:type="default" r:id="rId12"/>
          <w:footerReference w:type="default" r:id="rId13"/>
          <w:footerReference w:type="first" r:id="rId14"/>
          <w:pgSz w:w="11906" w:h="16838"/>
          <w:pgMar w:top="1418" w:right="1134" w:bottom="1418" w:left="1701" w:header="709" w:footer="709" w:gutter="0"/>
          <w:pgNumType w:fmt="upperRoman" w:start="1"/>
          <w:cols w:space="708"/>
          <w:titlePg/>
        </w:sectPr>
      </w:pPr>
      <w:r>
        <w:br w:type="page"/>
      </w:r>
    </w:p>
    <w:p w14:paraId="5F50AFA3" w14:textId="77777777" w:rsidR="00DC03D1" w:rsidRDefault="000F7682">
      <w:pPr>
        <w:pStyle w:val="Heading1"/>
      </w:pPr>
      <w:r>
        <w:t>Introducción</w:t>
      </w:r>
    </w:p>
    <w:p w14:paraId="356EDF73" w14:textId="77777777" w:rsidR="00DC03D1" w:rsidRDefault="000F7682">
      <w:r>
        <w:t>El presente Trabajo Fin de Máster aborda uno de los desafíos más relevantes de la robótica industrial contemporánea: la estimación de pose 6-DoF (seis grados de libertad) para bin picking robótico, integrando dos de las arquitecturas más innovadoras del deep learning moderno. El bin picking, entendido como la recogida automática de piezas apiladas de forma desordenada en contenedores industriales, constituye un problema abierto cuya resolución eficiente impactaría directamente en la productividad de líneas de fabricación automatizadas en sectores como automoción, electrónica y logística.</w:t>
      </w:r>
    </w:p>
    <w:p w14:paraId="797F1371" w14:textId="77777777" w:rsidR="00DC03D1" w:rsidRDefault="000F7682">
      <w:r>
        <w:t>La estimación de pose 6-DoF consiste en determinar la posición tridimensional (traslación en ℝ³) y la orientación (rotación en SO(3)) de un objeto en el espacio, lo que matemáticamente se expresa como un elemento del grupo especial euclídeo SE(3). Este problema presenta desafíos fundamentales: oclusiones entre objetos apilados, variaciones de iluminación, superficies metálicas reflectantes, y la ausencia de textura en piezas industriales. Los métodos clásicos basados en template matching y descriptores geométricos han demostrado limitaciones significativas ante estos escenarios (Thalhammer et al., 2024).</w:t>
      </w:r>
    </w:p>
    <w:p w14:paraId="1B19DFFF" w14:textId="73C19F6B" w:rsidR="00DC03D1" w:rsidRDefault="000F7682">
      <w:r>
        <w:t>Este trabajo propone un pipeline completo que combina FoundationPose (Wen et al., 2024), un modelo basado en Transformers que logró el primer puesto en el BOP Challenge 2024, para la estimación de pose mediante atención cruzada 2D-3D; y Diffusion Policy (Chi et al., 2023), un modelo generativo que formula la planificación de trayectorias de agarre como un proceso de difusión inversa resuelto mediante ecuaciones diferenciales estocásticas. La integración de ambos paradigmas, sustentada en un análisis matemático riguroso de los mecanismos involucrados, constituye la contribución original de este T</w:t>
      </w:r>
      <w:r w:rsidR="004E5AA8">
        <w:t>rabajo Final de Maestría</w:t>
      </w:r>
      <w:r>
        <w:t>.</w:t>
      </w:r>
    </w:p>
    <w:p w14:paraId="4AB2FC8C" w14:textId="77777777" w:rsidR="00DC03D1" w:rsidRDefault="000F7682">
      <w:pPr>
        <w:pStyle w:val="Heading2"/>
      </w:pPr>
      <w:r>
        <w:t>Justificación</w:t>
      </w:r>
    </w:p>
    <w:p w14:paraId="4F8F6891" w14:textId="77777777" w:rsidR="00DC03D1" w:rsidRDefault="000F7682">
      <w:r>
        <w:t>La automatización del bin picking mediante visión artificial y deep learning responde a una necesidad crítica de la Industria 4.0. Según la revisión sistemática de Cordeiro et al. (2025), publicada en Robotics and Autonomous Systems, el bin picking permanece como uno de los problemas parcialmente resueltos en robótica industrial, con tasas de éxito que varían considerablemente dependiendo de las propiedades de los objetos (textura, simetría, material) y del grado de oclusión en el contenedor.</w:t>
      </w:r>
    </w:p>
    <w:p w14:paraId="4BAB571F" w14:textId="77777777" w:rsidR="00DC03D1" w:rsidRDefault="000F7682">
      <w:r>
        <w:t>Los métodos clásicos de estimación de pose se clasifican en tres categorías principales (Liu et al., 2025a): métodos basados en correspondencias (PnP, ICP), métodos de regresión directa (PoseCNN, GDR-Net), y métodos de render-and-compare (MegaPose). Sin embargo, todos ellos presentan limitaciones comunes: requieren datos de entrenamiento específicos por objeto, generalizan pobremente a objetos nuevos, y no capturan la naturaleza multimodal del problema de agarre.</w:t>
      </w:r>
    </w:p>
    <w:p w14:paraId="073A0EF1" w14:textId="77777777" w:rsidR="00DC03D1" w:rsidRDefault="000F7682">
      <w:r>
        <w:t>Las arquitecturas Transformer, introducidas por Vaswani et al. (2017) para procesamiento de lenguaje natural, han revolucionado la visión por computador mediante su mecanismo de atención multi-cabeza, que permite modelar dependencias de largo alcance entre diferentes regiones de una imagen o entre modalidades heterogéneas (2D y 3D). FoundationPose (Wen et al., 2024) explota esta capacidad para establecer correspondencias cruzadas entre imágenes renderizadas del modelo CAD y observaciones reales de la cámara RGB-D, logrando resultados state-of-the-art sin necesidad de reentrenamiento por objeto.</w:t>
      </w:r>
    </w:p>
    <w:p w14:paraId="595BDC63" w14:textId="77777777" w:rsidR="00DC03D1" w:rsidRDefault="000F7682">
      <w:r>
        <w:t>Por otro lado, los modelos de difusión ofrecen una formulación matemática elegante para la planificación de trayectorias robóticas. Diffusion Policy (Chi et al., 2023) modela la distribución de trayectorias de agarre como un proceso de difusión condicionado por la observación visual, resolviendo el problema mediante score matching y dinámica de Langevin. Esta formulación captura naturalmente la multimodalidad inherente al bin picking: para un mismo objeto, existen múltiples estrategias de agarre igualmente válidas.</w:t>
      </w:r>
    </w:p>
    <w:p w14:paraId="34229B95" w14:textId="77777777" w:rsidR="00DC03D1" w:rsidRDefault="000F7682">
      <w:r>
        <w:t>La relevancia académica de este trabajo radica en tres aspectos. Primero, la integración de ambos paradigmas (Transformers y difusión) en un pipeline unificado para bin picking, lo cual no ha sido explorado en la literatura existente. Segundo, el análisis matemático riguroso de los mecanismos involucrados: grupos de Lie SE(3)/SO(3), representaciones de rotación, procesos estocásticos y convergencia del score matching, proporcionando un sustento teórico acorde al nivel de un Máster en Ingeniería Matemática y Computación. Tercero, la validación experimental en benchmarks reconocidos internacionalmente (BOP Challenge), que permite una comparación directa y reproducible con el estado del arte.</w:t>
      </w:r>
    </w:p>
    <w:p w14:paraId="2EB75FE6" w14:textId="77777777" w:rsidR="00DC03D1" w:rsidRDefault="000F7682">
      <w:pPr>
        <w:pStyle w:val="Heading2"/>
      </w:pPr>
      <w:r>
        <w:t>Planteamiento del problema</w:t>
      </w:r>
    </w:p>
    <w:p w14:paraId="4BE6B9F2" w14:textId="65F84610" w:rsidR="00DC03D1" w:rsidRDefault="000F7682">
      <w:r>
        <w:t xml:space="preserve">El problema central de este </w:t>
      </w:r>
      <w:r w:rsidR="004E5AA8">
        <w:t>Trabajo de fin de maestría</w:t>
      </w:r>
      <w:r>
        <w:t xml:space="preserve"> se formula como la estimación robusta de la pose 6-DoF de objetos industriales parcialmente ocluidos en escenarios de bin picking. Formalmente, dada una imagen RGB-D capturada por una cámara calibrada con matriz de intrínsecos K, y un modelo 3D del objeto objetivo (mesh CAD o nube de puntos), el objetivo es estimar la transformación rígida T ∈ SE(3) que alinea el sistema de coordenadas del objeto con el sistema de coordenadas de la cámara.</w:t>
      </w:r>
    </w:p>
    <w:p w14:paraId="6D784603" w14:textId="77777777" w:rsidR="00DC03D1" w:rsidRDefault="000F7682">
      <w:r>
        <w:t>Esta transformación se descompone en una rotación R ∈ SO(3) y una traslación t ∈ ℝ³, donde SO(3) es el grupo especial ortogonal de matrices de rotación 3×3 con determinante +1. La representación de R admite múltiples parametrizaciones: matrices de rotación (9 parámetros con 6 restricciones), cuaterniones unitarios (4 parámetros con 1 restricción), ángulos de Euler (3 parámetros con singularidades gimbal lock), y la representación continua de 6 dimensiones propuesta por Zhou et al. (2019), motivada por la imposibilidad demostrada por Stuelpnagel (1964) de obtener una parametrización continua de SO(3) con menos de cinco dimensiones. El formalismo de grupos de Lie, sistematizado para robótica por Solà et al. (2018), proporciona el marco algebraico para operar sobre SE(3) = SO(3) ⋉ ℝ³. La elección de la parametrización impacta directamente en la convergencia y estabilidad del entrenamiento de las redes neuronales, como se analiza formalmente en el Capítulo 4.</w:t>
      </w:r>
    </w:p>
    <w:p w14:paraId="3A22DDC5" w14:textId="77777777" w:rsidR="00DC03D1" w:rsidRDefault="000F7682">
      <w:r>
        <w:t>Adicionalmente, el problema requiere resolver la planificación de trayectorias de agarre: dado el estado estimado del objeto (su pose 6-DoF), generar una trayectoria articular para el robot manipulador que permita alcanzar, agarrar y extraer la pieza del contenedor sin colisiones. Este subproblema presenta naturaleza multimodal, ya que múltiples trayectorias pueden ser igualmente válidas para un mismo escenario de agarre.</w:t>
      </w:r>
    </w:p>
    <w:p w14:paraId="66A2B1FF" w14:textId="77777777" w:rsidR="00DC03D1" w:rsidRDefault="000F7682">
      <w:r>
        <w:t>Las restricciones del problema, derivadas del estado del arte y de los requisitos industriales canónicos, incluyen: (a) precisión de pose compatible con tareas de manipulación, idealmente del orden de 1 mm para ensamblaje fino y aceptable hasta 5 mm para pick-and-place estándar; (b) robustez ante oclusiones parciales (hasta un 70 % del objeto ocluido en escenarios industriales típicos); (c) generalización a objetos sin textura como los del dataset T-LESS; (d) inferencia con tiempo de ciclo industrialmente viable: el sub-segundo es deseable, aunque sistemas comerciales reales como NVIDIA Isaac Manipulator (Murali et al., 2024) operan en torno a 8 segundos por ciclo completo con FoundationPose como componente de percepción, lo que sitúa la barrera de aceptabilidad por encima del segundo; y (e) viabilidad de implementación sin hardware GPU dedicado de alto coste, mediante estrategias de cómputo híbrido (local + remoto).</w:t>
      </w:r>
    </w:p>
    <w:p w14:paraId="0A935EE7" w14:textId="77777777" w:rsidR="00DC03D1" w:rsidRDefault="000F7682">
      <w:pPr>
        <w:pStyle w:val="Heading2"/>
      </w:pPr>
      <w:r>
        <w:t>Estructura del trabajo</w:t>
      </w:r>
    </w:p>
    <w:p w14:paraId="52AC8089" w14:textId="3740BDAF" w:rsidR="00DC03D1" w:rsidRDefault="000F7682">
      <w:r>
        <w:t>El presente trabajo se organiza en seis capítulos. El Capítulo 1 (actual) introduce el problema, la justificación y el planteamiento formal. El Capítulo 2 presenta el contexto y estado del arte, con una revisión sistemática de 30 publicaciones organizadas en seis categorías temáticas, culminando con la identificación de la brecha de investigación que motiva este trabajo final de maestría.</w:t>
      </w:r>
    </w:p>
    <w:p w14:paraId="3ECBDF96" w14:textId="77777777" w:rsidR="00DC03D1" w:rsidRDefault="000F7682">
      <w:r>
        <w:t>El presente trabajo se organiza en cinco capítulos principales más las referencias bibliográficas. El Capítulo 1 (actual) introduce el problema, la justificación y el planteamiento formal. El Capítulo 2 presenta el contexto y el estado del arte, con una revisión sistemática de 30 publicaciones organizadas en seis categorías temáticas, culminando con la identificación de la brecha de investigación que motiva este trabajo. El Capítulo 3 define los objetivos concretos (general y específicos) y la metodología, detallando la estrategia híbrida local-remota, la planificación temporal en 12 semanas y los datasets y métricas de evaluación. El Capítulo 4 desarrolla la contribución específica, que comprende la identificación de requisitos, la descripción del sistema integrado, la evaluación cuantitativa de FoundationPose en YCB-V y T-LESS sobre el subset BOP-19, la planificación de agarres con poses reales y la validación de la infraestructura de simulación CoppeliaSim. El Capítulo 5 presenta las conclusiones organizadas por objetivo específico y las líneas de trabajo futuro identificadas. La fundamentación matemática (grupos de Lie SE(3)/SO(3), representaciones continuas de rotación, atención multi-cabeza y procesos estocásticos de difusión) se transversaliza en los capítulos 1–4 según el contexto en que se introduce cada formalismo.</w:t>
      </w:r>
    </w:p>
    <w:p w14:paraId="2E4D52D6" w14:textId="77777777" w:rsidR="00DC03D1" w:rsidRDefault="000F7682">
      <w:r>
        <w:br w:type="page"/>
      </w:r>
    </w:p>
    <w:p w14:paraId="676FB14F" w14:textId="77777777" w:rsidR="00DC03D1" w:rsidRDefault="000F7682">
      <w:pPr>
        <w:pStyle w:val="Heading1"/>
      </w:pPr>
      <w:r>
        <w:t>Contexto y estado del arte</w:t>
      </w:r>
    </w:p>
    <w:p w14:paraId="42F20E2C" w14:textId="1D85A987" w:rsidR="00DC03D1" w:rsidRDefault="000F7682">
      <w:r>
        <w:t>Este capítulo presenta una revisión exhaustiva del estado del arte en estimación de pose 6-DoF y bin picking robótico, basada en un catálogo de 30 publicaciones científicas validadas con DOI o referencia arXiv, organizadas en seis categorías temáticas. El objetivo es situar el presente trabajo final de maestría dentro del panorama actual de investigación, identificar las técnicas más relevantes y justificar las decisiones de diseño del pipeline propuesto. Se sigue una estructura que avanza desde lo general (surveys) hacia lo específico (métodos, datasets, técnicas complementarias), culminando con la identificación de la brecha de investigación.</w:t>
      </w:r>
    </w:p>
    <w:p w14:paraId="5B168C18" w14:textId="77777777" w:rsidR="00DC03D1" w:rsidRDefault="000F7682">
      <w:pPr>
        <w:pStyle w:val="Heading2"/>
      </w:pPr>
      <w:r>
        <w:t>Surveys y revisiones generales</w:t>
      </w:r>
    </w:p>
    <w:p w14:paraId="0B0953F5" w14:textId="73788033" w:rsidR="00DC03D1" w:rsidRDefault="000F7682">
      <w:r>
        <w:t xml:space="preserve">El punto de partida de esta revisión es el survey exhaustivo de Liu et al. (2025a), publicado en el International Journal of Computer Vision (IJCV), que categoriza y analiza más de 200 métodos de estimación de pose basados en deep learning. Este trabajo organiza los enfoques según cuatro ejes: tipo de entrada (RGB, RGB-D, nubes de puntos), representación de la pose (cuaterniones, matrices de rotación, representación 6D continua), estrategia de estimación (regresión directa, correspondencias, render-and-compare, voting), y paradigma de entrenamiento (supervisado, auto-supervisado, few-shot). El survey identifica una tendencia clara hacia arquitecturas basadas en Transformers y métodos que generalizan a objetos no vistos durante el entrenamiento, lo que valida la elección de FoundationPose como método principal de este </w:t>
      </w:r>
      <w:r w:rsidR="004E5AA8">
        <w:t>trabajo final de maestría</w:t>
      </w:r>
      <w:r>
        <w:t>.</w:t>
      </w:r>
    </w:p>
    <w:p w14:paraId="7FE68C4E" w14:textId="5C26D322" w:rsidR="00DC03D1" w:rsidRDefault="000F7682">
      <w:r>
        <w:t xml:space="preserve">Complementando la perspectiva general, Guan et al. (2024) publican en Sensors un survey sistemático que categoriza los métodos 6-DoF por escenario de aplicación: realidad virtual/aumentada, conducción autónoma y operaciones robóticas. Esta taxonomía resulta especialmente relevante para el presente </w:t>
      </w:r>
      <w:r w:rsidR="004E5AA8">
        <w:t>trabajo final de maestría</w:t>
      </w:r>
      <w:r>
        <w:t>, ya que permite identificar los requisitos específicos del dominio robótico industrial: precisión submilimétrica, robustez ante oclusiones, y compatibilidad con tiempo de ciclo. Los autores concluyen que los métodos basados en deep learning han superado consistentemente a los enfoques clásicos en los tres dominios, aunque el gap es mayor en el contexto robótico donde la diversidad de condiciones operativas es más acusada.</w:t>
      </w:r>
    </w:p>
    <w:p w14:paraId="4AA19647" w14:textId="3E5B8423" w:rsidR="00DC03D1" w:rsidRDefault="000F7682">
      <w:r>
        <w:t xml:space="preserve">En el dominio específico del bin picking, Cordeiro et al. (2025) publican en Robotics and Autonomous Systems una revisión exhaustiva de percepción visual para bin picking robótico que abarca publicaciones desde 2009 hasta la actualidad. Los autores analizan la evolución desde métodos basados en descriptores geométricos hasta las arquitecturas de deep learning actuales, identificando tres subproblemas principales: localización del objeto, estimación de pose, y predicción de agarre. La revisión concluye que la integración de estos tres componentes en un pipeline end-to-end permanece como un desafío abierto, lo cual coincide precisamente con la propuesta del presente </w:t>
      </w:r>
      <w:r w:rsidR="004E5AA8">
        <w:t>trabajo final de maestría</w:t>
      </w:r>
      <w:r>
        <w:t>.</w:t>
      </w:r>
    </w:p>
    <w:p w14:paraId="340F0B11" w14:textId="3B0C58F3" w:rsidR="00DC03D1" w:rsidRDefault="000F7682">
      <w:r>
        <w:t xml:space="preserve">Kleeberger et al. (2020) abordan específicamente el grasping robótico basado en aprendizaje en Current Robotics Reports, discutiendo el trade-off fundamental entre métodos model-free (mayor generalización pero menor precisión) y métodos model-based (mayor precisión pero menor adaptabilidad). Esta dualidad es relevante para el presente trabajo, donde FoundationPose opera como método model-based (requiere CAD del objeto) mientras Diffusion Policy adopta un enfoque model-free para la planificación de agarre. Finalmente, Thalhammer et al. (2024), publicado en IEEE Transactions on Robotics, identifica los retos fundamentales de la estimación de pose 6D monocular para robótica, incluyendo la ambigüedad por simetría, la degradación por oclusión, y las limitaciones de las representaciones de rotación estándar, tres problemas que se abordan formalmente en los Capítulos 4 y 5 de este </w:t>
      </w:r>
      <w:r w:rsidR="004E5AA8">
        <w:t>trabajo final de maestría</w:t>
      </w:r>
      <w:r>
        <w:t>.</w:t>
      </w:r>
    </w:p>
    <w:p w14:paraId="40286CE2" w14:textId="77777777" w:rsidR="00DC03D1" w:rsidRDefault="000F7682">
      <w:pPr>
        <w:pStyle w:val="Heading2"/>
      </w:pPr>
      <w:r>
        <w:t>Métodos de estimación de pose 6-DoF</w:t>
      </w:r>
    </w:p>
    <w:p w14:paraId="69E5EE8B" w14:textId="77777777" w:rsidR="00DC03D1" w:rsidRDefault="000F7682">
      <w:r>
        <w:t>Los métodos de estimación de pose 6-DoF han evolucionado significativamente en la última década, desde enfoques basados en CNN hasta arquitecturas Transformer. A continuación se presentan los métodos más relevantes, organizados desde los enfoques clásicos hasta las propuestas más recientes.</w:t>
      </w:r>
    </w:p>
    <w:p w14:paraId="34FD3F89" w14:textId="77777777" w:rsidR="00DC03D1" w:rsidRDefault="000F7682">
      <w:pPr>
        <w:pStyle w:val="Heading3"/>
      </w:pPr>
      <w:r>
        <w:t>Métodos clásicos y baselines</w:t>
      </w:r>
    </w:p>
    <w:p w14:paraId="727B39F7" w14:textId="77777777" w:rsidR="00DC03D1" w:rsidRDefault="000F7682">
      <w:r>
        <w:t>PoseCNN (Xiang et al., 2018) constituye uno de los trabajos seminales en estimación de pose 6-DoF mediante deep learning. Publicado en Robotics: Science and Systems, esta arquitectura CNN introduce el dataset YCB-Video (133K frames con 21 objetos) y propone una regresión directa de cuaterniones combinada con localización del centro del objeto mediante voting de píxeles. Aunque superado en precisión por métodos posteriores, PoseCNN estableció el paradigma de estimación end-to-end que ha dominado el campo durante los últimos seis años, y el dataset YCB-Video que introdujo sigue siendo uno de los benchmarks estándar.</w:t>
      </w:r>
    </w:p>
    <w:p w14:paraId="7C6BB8B4" w14:textId="762DC598" w:rsidR="00DC03D1" w:rsidRDefault="000F7682">
      <w:r>
        <w:t>GDR-Net (Wang et al., 2021), presentado en CVPR, introduce una mejora significativa mediante la regresión directa guiada por geometría, que descompone la predicción de pose en una representación intermedia geométrica (coordenadas NOCS y mapas de correspondencia) seguida de una solución PnP diferenciable. A diferencia de PoseCNN, GDR-Net utiliza la representación de rotación continua de 6 dimensiones propuesta por Zhou et al. (2019), evitando las discontinuidades de los cuaterniones y de las matrices de rotación estándar. Su extensión GDR-Net++ obtuvo el primer puesto en el BOP Challenge 2022 (Sundermeyer et al., 2024), demostrando que la representación geométrica intermedia mejora significativamente la precisión. En este trabajo, GDR-Net++ —en su versión oficial reportada en el leaderboard BOP 2022— constituye el baseline comparativo cuantitativo cuyas métricas (AR_VSD, AR_MSSD, AR_MSPD, Mean AR) se contrastan con las obtenidas por FoundationPose en el Capítulo 4.</w:t>
      </w:r>
    </w:p>
    <w:p w14:paraId="4B99DAE2" w14:textId="77777777" w:rsidR="00DC03D1" w:rsidRDefault="000F7682">
      <w:r>
        <w:t>MegaPose (Labbé et al., 2022), presentado en la Conference on Robot Learning (CoRL), propone un enfoque render-and-compare entrenado en millones de escenas sintéticas generadas automáticamente. El método renderiza el modelo CAD del objeto en múltiples poses candidatas, compara cada render con la observación real mediante un codificador CNN, y selecciona la pose con mayor similitud. MegaPose demuestra que el entrenamiento masivo con datos sintéticos permite generalizar a objetos no vistos, anticipando el paradigma de modelos fundacionales que FoundationPose llevaría a su máxima expresión.</w:t>
      </w:r>
    </w:p>
    <w:p w14:paraId="686EF5ED" w14:textId="77777777" w:rsidR="00DC03D1" w:rsidRDefault="000F7682">
      <w:pPr>
        <w:pStyle w:val="Heading3"/>
      </w:pPr>
      <w:r>
        <w:t>Arquitecturas basadas en Transformers</w:t>
      </w:r>
    </w:p>
    <w:p w14:paraId="03DD7F89" w14:textId="77777777" w:rsidR="00DC03D1" w:rsidRDefault="000F7682">
      <w:r>
        <w:t>FoundationPose (Wen et al., 2024) representa el estado del arte actual en estimación de pose 6-DoF. Este modelo, desarrollado por NVIDIA y presentado como Highlight Paper en CVPR 2024, propone un framework unificado para estimación y tracking de pose de objetos nuevos (novel objects) sin necesidad de reentrenamiento. La arquitectura se basa en mecanismos de atención cruzada (cross-attention) entre representaciones 2D renderizadas del modelo CAD y observaciones 3D reales de la cámara RGB-D. El modelo opera directamente en el espacio SE(3), con un módulo de refinamiento iterativo basado en ICP neuronal que converge progresivamente hacia la pose correcta.</w:t>
      </w:r>
    </w:p>
    <w:p w14:paraId="6372569A" w14:textId="77777777" w:rsidR="00DC03D1" w:rsidRDefault="000F7682">
      <w:r>
        <w:t>La contribución principal de FoundationPose radica en su capacidad de generalización: una vez entrenado, puede estimar la pose de cualquier objeto dado su modelo CAD o una pequeña colección de imágenes de referencia, sin ningún reentrenamiento adicional. FoundationPose logró el primer lugar en el BOP Challenge 2024, superando a todos los métodos competidores en múltiples datasets (T-LESS, YCB-Video, LM-O, TUD-L, IC-BIN, ITODD, HB). Su capacidad de generalización sin reentrenamiento lo hace especialmente adecuado para entornos industriales de bin picking, donde las piezas cambian frecuentemente y el reentrenamiento para cada nueva pieza resulta prohibitivo en términos de tiempo y coste.</w:t>
      </w:r>
    </w:p>
    <w:p w14:paraId="347135C0" w14:textId="77777777" w:rsidR="00DC03D1" w:rsidRDefault="000F7682">
      <w:r>
        <w:t>GenFlow (Moon et al., 2024), también presentado en CVPR 2024, propone un refinamiento iterativo de pose basado en flujo óptico con guía geométrica. El método estima un campo de flujo denso entre la imagen renderizada de la pose actual y la observación real, y utiliza este flujo para actualizar la pose de manera iterativa. GenFlow obtuvo el primer puesto en los benchmarks de objetos no vistos tanto en RGB como en RGB-D, demostrando que el flujo óptico es una señal supervisora eficaz para el refinamiento de pose. CMT-6D (Liu, Y. et al., 2024) explora la fusión cross-modal mediante Transformers ligeros, consiguiendo una arquitectura más eficiente computacionalmente a costa de una leve pérdida de precisión. Estos métodos, junto con FoundationPose, representan la tendencia hacia modelos fundacionales que generalizan a objetos arbitrarios sin reentrenamiento.</w:t>
      </w:r>
    </w:p>
    <w:p w14:paraId="7627DE7D" w14:textId="77777777" w:rsidR="00DC03D1" w:rsidRDefault="000F7682">
      <w:pPr>
        <w:pStyle w:val="Heading2"/>
      </w:pPr>
      <w:r>
        <w:t>Datasets y benchmarks</w:t>
      </w:r>
    </w:p>
    <w:p w14:paraId="728F5625" w14:textId="77777777" w:rsidR="00DC03D1" w:rsidRDefault="000F7682">
      <w:r>
        <w:t>La evaluación rigurosa de los métodos de estimación de pose requiere benchmarks estandarizados que permitan la comparación directa entre métodos. El BOP Challenge (Hodaň et al., 2025; Sundermeyer et al., 2024) constituye el benchmark estándar de facto de la comunidad, definiendo métricas como VSD (Visible Surface Discrepancy), MSSD (Maximum Symmetry-Aware Surface Distance) y MSPD (Maximum Symmetry-Aware Projection Distance). Estas métricas manejan correctamente los objetos simétricos frecuentes en contextos industriales, un aspecto crítico que las métricas clásicas como ADD no abordan adecuadamente. La edición 2024 del BOP Challenge introdujo además tareas model-free y nuevos datasets con sensores AR/VR (BOP-H3), reportando una mejora del 22% en precisión media respecto a la edición 2023.</w:t>
      </w:r>
    </w:p>
    <w:p w14:paraId="7FE8C97E" w14:textId="07C101B5" w:rsidR="00DC03D1" w:rsidRDefault="000F7682">
      <w:r>
        <w:t>T-LESS (Hodaň et al., 2017) es el dataset de referencia para piezas industriales sin textura. Contiene 30 objetos industriales con aproximadamente 39K imágenes de entrenamiento y 10K de test, capturados con tres sensores sincronizados (Primesense, Kinect v2, cámara estéreo). Las condiciones de T-LESS replican los desafíos del bin picking real: superficies homogéneas sin textura, múltiples simetrías (rotacionales y discretas), y oclusiones severas entre objetos apilados. Por estas características, T-LESS constituye uno de los dos datasets principales de evaluación del presente trabajo final de maestría.</w:t>
      </w:r>
    </w:p>
    <w:p w14:paraId="2086D0F3" w14:textId="77777777" w:rsidR="00DC03D1" w:rsidRDefault="000F7682">
      <w:r>
        <w:t>YCB-Video (Xiang et al., 2018) proporciona 21 objetos domésticos con textura variada en 133K frames de video, ofreciendo un benchmark complementario que permite evaluar la generalización de los métodos a objetos con características visuales diversas. A diferencia de T-LESS, YCB-Video incluye objetos con colores y texturas distintivos, lo que facilita la segmentación pero introduce otros desafíos como reflejos especulares y transparencias. La combinación de ambos datasets permite evaluar tanto la robustez ante objetos sin textura (T-LESS) como la capacidad de discriminación visual (YCB-Video).</w:t>
      </w:r>
    </w:p>
    <w:p w14:paraId="6F0ABC96" w14:textId="77777777" w:rsidR="00DC03D1" w:rsidRDefault="000F7682">
      <w:r>
        <w:t>En el ámbito específico del bin picking industrial, dos datasets recientes complementan los benchmarks clásicos. XYZ-IBD (Huang et al., 2025) aporta 15 piezas industriales con 75 escenas y 22K imágenes, con anotaciones de pose de precisión milimétrica capturadas en condiciones reales de fábrica. IndustryShapes (ICRA, 2026) introduce componentes de ensamblaje industrial con superficies reflectantes y simetrías complejas, siendo el primer dataset con secuencias de onboarding RGB-D para pose estimation model-free. GraspNet-1Billion (Fang et al., 2020) complementa estos datasets de pose con más de 1.1 mil millones de poses de agarre anotadas en 88 objetos y 190 escenas, proporcionando datos de entrenamiento para el componente de planificación de agarre del pipeline.</w:t>
      </w:r>
    </w:p>
    <w:p w14:paraId="09F1BD2F" w14:textId="77777777" w:rsidR="00DC03D1" w:rsidRDefault="000F7682">
      <w:pPr>
        <w:pStyle w:val="Heading2"/>
      </w:pPr>
      <w:r>
        <w:t>Nubes de puntos y fusión 3D</w:t>
      </w:r>
    </w:p>
    <w:p w14:paraId="19F35CC3" w14:textId="77777777" w:rsidR="00DC03D1" w:rsidRDefault="000F7682">
      <w:r>
        <w:t>El procesamiento de nubes de puntos es fundamental para la estimación de pose 6-DoF, ya que los sensores de profundidad (RGB-D) proporcionan información geométrica tridimensional que complementa la información visual de las cámaras RGB. PointNet (Qi et al., 2017a), publicado en CVPR, introdujo la primera arquitectura de red neuronal capaz de procesar nubes de puntos directamente, respetando la invariancia a permutación mediante funciones de pooling simétricas. Su extensión PointNet++ (Qi et al., 2017b), presentada en NeurIPS, incorpora aprendizaje jerárquico de features locales mediante particiones anidadas del espacio, mejorando significativamente la capacidad de capturar estructuras geométricas finas.</w:t>
      </w:r>
    </w:p>
    <w:p w14:paraId="283A7085" w14:textId="77777777" w:rsidR="00DC03D1" w:rsidRDefault="000F7682">
      <w:r>
        <w:t>DenseFusion (Wang et al., 2019), publicado en CVPR, combina ambas modalidades (RGB y depth) mediante una arquitectura heterogénea que fusiona color y profundidad a nivel de píxel con embeddings densos, seguidos de un módulo de refinamiento iterativo de pose. DenseFusion inspira directamente el componente ICP neuronal de FoundationPose, ya que demuestra que la fusión densa de features 2D y 3D a nivel de punto mejora sustancialmente la precisión frente a la fusión tardía (late fusion) a nivel de objeto.</w:t>
      </w:r>
    </w:p>
    <w:p w14:paraId="64FB6353" w14:textId="77777777" w:rsidR="00DC03D1" w:rsidRDefault="000F7682">
      <w:r>
        <w:t>Liu et al. (2025b) publican en ACM Computing Surveys una revisión de métodos de deep learning sobre nubes de puntos aplicados específicamente a escenarios industriales, cubriendo estimación de pose, inspección de defectos y medición dimensional. ES6D (Mo et al., 2022), presentado en CVPR, aborda específicamente el problema de simetría en la estimación de pose, introduciendo la métrica A/M-GPD (Ambiguity/Multi-path Geodesic Pose Distance) para resolver la ambigüedad inherente en objetos simétricos. Esta contribución es particularmente relevante para las piezas industriales del dataset T-LESS, donde múltiples objetos exhiben simetrías rotacionales que las métricas convencionales no manejan correctamente.</w:t>
      </w:r>
    </w:p>
    <w:p w14:paraId="1B1E4C29" w14:textId="77777777" w:rsidR="00DC03D1" w:rsidRDefault="000F7682">
      <w:pPr>
        <w:pStyle w:val="Heading2"/>
      </w:pPr>
      <w:r>
        <w:t>Datos sintéticos, sim-to-real y políticas generativas</w:t>
      </w:r>
    </w:p>
    <w:p w14:paraId="745C6EAC" w14:textId="77777777" w:rsidR="00DC03D1" w:rsidRDefault="000F7682">
      <w:r>
        <w:t>La generación de datos sintéticos desempeña un papel crucial en el entrenamiento de modelos de estimación de pose, ya que permite superar la escasez y el alto coste de las anotaciones manuales. Konstantinou et al. (2024) demuestran la viabilidad de GANs y rendering avanzado para generar datos de entrenamiento en el contexto de ensamblaje industrial, validando su enfoque con un robot real en tareas de picking de componentes electrónicos. ParaPose (Hagelskjær y Buch, 2022), presentado en IROS, propone una optimización automática de los parámetros de domain randomization, logrando un 82% de recall en el dataset OCCLUSION utilizando exclusivamente datos sintéticos sin ningún dato real de entrenamiento. NVIDIA Isaac Sim Replicator (2024) proporciona un pipeline industrial completo para generación de datos sintéticos con domain randomization automática, directamente compatible con FoundationPose y desplegable en entornos de producción.</w:t>
      </w:r>
    </w:p>
    <w:p w14:paraId="190EBC04" w14:textId="77777777" w:rsidR="00DC03D1" w:rsidRDefault="000F7682">
      <w:r>
        <w:t>El dataset CEPB (Tripicchio et al., 2024), publicado en Frontiers in Robotics and AI, aporta aproximadamente 1.5 millones de imágenes fotorrealistas generadas a partir de 50K escenas cluttered, incluyendo objetos rígidos, blandos y deformables con anotaciones completas de pose y segmentación. Este dataset demuestra que la simulación fotorrealista permite entrenar modelos robustos que transfieren al mundo real con mínimo gap.</w:t>
      </w:r>
    </w:p>
    <w:p w14:paraId="654F9EC5" w14:textId="77777777" w:rsidR="00DC03D1" w:rsidRDefault="000F7682">
      <w:r>
        <w:t>En el ámbito de las políticas generativas para robótica, Diffusion Policy (Chi et al., 2023) constituye una contribución fundamental. Publicado en Robotics: Science and Systems, este modelo formula el aprendizaje de políticas visuomotoras como un proceso de difusión condicional, extendiendo el marco de modelos de difusión probabilísticos (Ho et al., 2020) al dominio robótico. Basándose en la formulación unificada de ecuaciones diferenciales estocásticas (SDEs) propuesta por Song et al. (2021), Diffusion Policy genera trayectorias de acción robótica mediante SDEs en reversa. Partiendo de ruido gaussiano puro, el proceso de denoising aplica score matching para recuperar progresivamente la distribución objetivo de trayectorias. La dinámica de Langevin permite muestrear de distribuciones multimodales, capturando múltiples estrategias de agarre válidas para un mismo escenario. Los autores reportan una mejora del 46.9% sobre el estado del arte previo en 12 tareas de manipulación robótica, demostrando la superioridad de los modelos de difusión frente a las políticas deterministas y los métodos basados en GMM o VAE para capturar distribuciones de acción multimodales.</w:t>
      </w:r>
    </w:p>
    <w:p w14:paraId="3A8AEA0C" w14:textId="77777777" w:rsidR="00DC03D1" w:rsidRDefault="000F7682">
      <w:pPr>
        <w:pStyle w:val="Heading2"/>
      </w:pPr>
      <w:r>
        <w:t>Visual servoing y control robótico</w:t>
      </w:r>
    </w:p>
    <w:p w14:paraId="7E419936" w14:textId="77777777" w:rsidR="00DC03D1" w:rsidRDefault="000F7682">
      <w:r>
        <w:t>La ejecución final del agarre requiere un sistema de control visual (visual servoing) que corrija desviaciones durante la aproximación del robot al objeto. Li et al. (2025) proponen un framework de visual servoing PBVS mejorado con reinforcement learning profundo y arquitecturas Transformer, publicado en Complex &amp; Intelligent Systems. Su enfoque actor-critic con PPO para control de aceleración demuestra que la integración de Transformers en el bucle de control mejora significativamente la precisión y velocidad de convergencia respecto a los controladores PID clásicos.</w:t>
      </w:r>
    </w:p>
    <w:p w14:paraId="359F9811" w14:textId="4D430575" w:rsidR="00DC03D1" w:rsidRDefault="000F7682">
      <w:r>
        <w:t>En el dominio específico de la manipulación robótica autónoma, Ribeiro et al. (2021) presentan en Robotics and Autonomous Systems un sistema CNN en tiempo real que combina detección de agarre (entrenado en el Cornell Dataset) con visual servo control, logrando más del 90% de precisión con un robot Kinova Gen3 en escenas cluttered. NVIDIA Isaac Manipulator (Murali et al., 2024) demuestra la viabilidad industrial del pick-and-place automatizado con FoundationPose como componente de percepción, alcanzando aproximadamente 8 segundos por ciclo de picking en un sistema real con piezas metálicas especulares, lo que valida el pipeline propuesto en este trabajo final de maestría. Xue et al. (2025) proponen un framework de visual servoing basado en Transformers para robots humanoides, utilizando un Distance Estimation Transformer que fusiona imágenes de múltiples cámaras con ángulos articulares para tareas de alineación de micro-objetos, logrando errores de 0.8-1.3 mm con tasas de éxito del 93-100%.</w:t>
      </w:r>
    </w:p>
    <w:p w14:paraId="469989C9" w14:textId="77777777" w:rsidR="00DC03D1" w:rsidRDefault="000F7682">
      <w:pPr>
        <w:pStyle w:val="Heading2"/>
      </w:pPr>
      <w:r>
        <w:t>Conclusiones del estado del arte y brecha de investigación</w:t>
      </w:r>
    </w:p>
    <w:p w14:paraId="0B47B40C" w14:textId="77777777" w:rsidR="00DC03D1" w:rsidRDefault="000F7682">
      <w:r>
        <w:t>La revisión sistemática de las 30 publicaciones analizadas permite identificar cuatro tendencias fundamentales que sustentan las decisiones de diseño del presente TFM. En primer lugar, las arquitecturas Transformer han emergido como el paradigma dominante para estimación de pose 6-DoF, superando consistentemente a los métodos de regresión directa y de correspondencias, gracias a su capacidad de modelar relaciones de largo alcance entre modalidades heterogéneas (2D y 3D). En segundo lugar, los modelos de difusión ofrecen una formulación matemáticamente rigurosa para la planificación de trayectorias robóticas, capturando naturalmente la multimodalidad inherente al problema de agarre. En tercer lugar, los datos sintéticos con domain randomization han demostrado ser suficientes para entrenar modelos de pose transferibles al mundo real, eliminando la dependencia de costosas anotaciones manuales. En cuarto lugar, la integración de visual servoing con deep learning mejora la robustez del sistema ante perturbaciones y errores de estimación.</w:t>
      </w:r>
    </w:p>
    <w:p w14:paraId="58D2E389" w14:textId="07311A4A" w:rsidR="00DC03D1" w:rsidRDefault="000F7682">
      <w:r>
        <w:t>La brecha de investigación identificada radica en la integración de ambos paradigmas —Transformers para percepción y modelos de difusión para planificación— en un pipeline unificado y coherente para bin picking. Mientras FoundationPose resuelve el problema de percepción (¿dónde está el objeto y en qué orientación?) y Diffusion Policy resuelve el problema de planificación (¿cómo agarrarlo?), ningún trabajo previo ha explorado su integración end-to-end con el análisis matemático formal de los mecanismos involucrados: la geometría de SE(3)/SO(3) que conecta la percepción con la acción, las SDEs que fundamentan la generación de trayectorias, y el score matching que permite el aprendizaje no supervisado de distribuciones complejas. Esta integración constituye precisamente la contribución original del presente trabajo final de maestría.</w:t>
      </w:r>
    </w:p>
    <w:p w14:paraId="2D6FDAEF" w14:textId="77777777" w:rsidR="00DC03D1" w:rsidRDefault="000F7682">
      <w:r>
        <w:br w:type="page"/>
      </w:r>
    </w:p>
    <w:p w14:paraId="372EC656" w14:textId="77777777" w:rsidR="00DC03D1" w:rsidRDefault="000F7682">
      <w:pPr>
        <w:pStyle w:val="Heading1"/>
      </w:pPr>
      <w:r>
        <w:t>Objetivos concretos y metodología de trabajo</w:t>
      </w:r>
    </w:p>
    <w:p w14:paraId="187B9DF9" w14:textId="77777777" w:rsidR="00DC03D1" w:rsidRDefault="000F7682">
      <w:r>
        <w:t>A partir de la brecha de investigación identificada en el capítulo anterior, se definen los siguientes objetivos y la metodología para alcanzarlos.</w:t>
      </w:r>
    </w:p>
    <w:p w14:paraId="59680CEE" w14:textId="77777777" w:rsidR="00DC03D1" w:rsidRDefault="000F7682">
      <w:pPr>
        <w:pStyle w:val="Heading2"/>
      </w:pPr>
      <w:r>
        <w:t>Objetivo general</w:t>
      </w:r>
    </w:p>
    <w:p w14:paraId="07C4FE80" w14:textId="77777777" w:rsidR="00DC03D1" w:rsidRDefault="000F7682">
      <w:r>
        <w:t>Diseñar, implementar y validar un sistema de estimación de pose 6-DoF basado en arquitecturas Transformer (FoundationPose) y modelos de difusión (Diffusion Policy) para bin picking robótico, demostrando la viabilidad del pipeline completo en simulación con métricas cuantitativas sobre benchmarks BOP, y contribuyendo con el análisis matemático formal de los mecanismos de atención, representaciones en SE(3)/SO(3) y procesos estocásticos involucrados.</w:t>
      </w:r>
    </w:p>
    <w:p w14:paraId="2B642787" w14:textId="77777777" w:rsidR="00DC03D1" w:rsidRDefault="000F7682">
      <w:pPr>
        <w:pStyle w:val="Heading2"/>
      </w:pPr>
      <w:r>
        <w:t>Objetivos específicos</w:t>
      </w:r>
    </w:p>
    <w:p w14:paraId="3C4D3445" w14:textId="77777777" w:rsidR="00DC03D1" w:rsidRDefault="000F7682">
      <w:r>
        <w:t>OE1 — Analizar el estado del arte en estimación de pose 6-DoF y bin picking robótico, mediante una revisión sistemática de al menos 30 publicaciones científicas organizadas en seis categorías temáticas (surveys, métodos de pose, datasets, nubes de puntos, datos sintéticos, visual servoing), categorizando métodos clásicos, basados en Transformers y basados en difusión, e identificando la brecha de investigación que motiva el presente trabajo.</w:t>
      </w:r>
    </w:p>
    <w:p w14:paraId="78DB06D1" w14:textId="77777777" w:rsidR="00DC03D1" w:rsidRDefault="000F7682">
      <w:r>
        <w:t>OE2 — Formalizar el sustento matemático del pipeline propuesto, incluyendo: representaciones de rotación en SO(3) (cuaterniones unitarios, matrices de rotación, representación 6D continua de Zhou et al., 2019), transformaciones rígidas en SE(3) como grupo de Lie, mecanismos de atención scaled dot-product y multi-head como operadores geométricos, ecuaciones diferenciales estocásticas forward y reverse para el proceso de difusión, funciones de score matching, y dinámica de Langevin para muestreo de trayectorias.</w:t>
      </w:r>
    </w:p>
    <w:p w14:paraId="05A17245" w14:textId="77777777" w:rsidR="00DC03D1" w:rsidRDefault="000F7682">
      <w:r>
        <w:t>OE3 — Implementar y evaluar el pipeline integrado FoundationPose + Diffusion Policy para bin picking. Para la estimación de pose, configurar FoundationPose con evaluación en los datasets BOP (T-LESS, YCB-Video). Para la planificación de agarre, configurar Diffusion Policy con generación de trayectorias multimodales. Comparar cuantitativamente con GDR-Net como baseline mediante métricas estándar BOP (VSD, MSSD, MSPD) y métricas clásicas (ADD, ADD-S).</w:t>
      </w:r>
    </w:p>
    <w:p w14:paraId="1DA97B96" w14:textId="77777777" w:rsidR="00DC03D1" w:rsidRDefault="000F7682">
      <w:r>
        <w:t>OE4 — Verificar la viabilidad del pipeline completo en simulación, configurando el entorno CoppeliaSim con ROS 2 Humble y MoveIt 2, implementando visual servoing IBVS/PBVS para la fase de ejecución del agarre, integrando todos los componentes en un pipeline end-to-end, y ejecutando experimentos de bin picking en escenarios controlados con análisis cuantitativo y cualitativo de resultados.</w:t>
      </w:r>
    </w:p>
    <w:p w14:paraId="09F6FE04" w14:textId="77777777" w:rsidR="00DC03D1" w:rsidRDefault="000F7682">
      <w:pPr>
        <w:pStyle w:val="Heading2"/>
      </w:pPr>
      <w:r>
        <w:t>Metodología del trabajo</w:t>
      </w:r>
    </w:p>
    <w:p w14:paraId="637B8EBB" w14:textId="77777777" w:rsidR="00DC03D1" w:rsidRDefault="000F7682">
      <w:r>
        <w:t>La metodología se organiza en cuatro componentes: el entorno de desarrollo, la planificación temporal, los datasets y métricas de evaluación, y las consideraciones de licencias y reproducibilidad.</w:t>
      </w:r>
    </w:p>
    <w:p w14:paraId="161F8D61" w14:textId="77777777" w:rsidR="00DC03D1" w:rsidRDefault="000F7682">
      <w:pPr>
        <w:pStyle w:val="Heading3"/>
      </w:pPr>
      <w:r>
        <w:t>Entorno de desarrollo</w:t>
      </w:r>
    </w:p>
    <w:p w14:paraId="537F75DD" w14:textId="77777777" w:rsidR="00DC03D1" w:rsidRDefault="000F7682">
      <w:r>
        <w:t>El desarrollo se organiza en dos entornos complementarios. El entorno local, basado en Apple M1 Pro con 16 GB de RAM, aloja CoppeliaSim Edu V4.10.0 ARM64 nativo (validación de la infraestructura ZMQ Remote API documentada en Cap. 4), Python 3.12 sobre virtualenv gestionado con uv, PyTorch (2.x con backend MPS para experimentación local; 2.1.2+cu121 en Colab para los runs de inferencia FoundationPose), OpenCV, Open3D y trimesh. La pieza ROS 2 Humble + MoveIt 2 está contenedorizada en docker/Dockerfile como infraestructura reproducible para futuras integraciones de control articular real, no ejercitada en este TFM. El entorno remoto utiliza Google Colab con GPU NVIDIA Tesla T4 para la inferencia masiva de FoundationPose sobre los datasets BOP, donde las dependencias quedan congeladas en requirements.colab.lock.txt y replicables en un contenedor GPU (docker/inference-gpu.Dockerfile). El código fuente se gestiona en un repositorio GitHub público (pose6dof-transformers-diffusion) con estructura modular, control de versiones Git y documentación continua en notebooks Jupyter.</w:t>
      </w:r>
    </w:p>
    <w:p w14:paraId="5BD97EE4" w14:textId="77777777" w:rsidR="00DC03D1" w:rsidRDefault="000F7682">
      <w:pPr>
        <w:pStyle w:val="Heading3"/>
      </w:pPr>
      <w:r>
        <w:t>Planificación temporal</w:t>
      </w:r>
    </w:p>
    <w:p w14:paraId="41E5E857" w14:textId="77777777" w:rsidR="00DC03D1" w:rsidRDefault="000F7682">
      <w:r>
        <w:t>El proyecto se estructura en 12 semanas (abril–julio 2026) distribuidas en seis fases. La Fase 0 (Semana 1) comprende la configuración del entorno de desarrollo, la creación del repositorio y la descarga de datasets. La Fase 1 (Semanas 2–4) se dedica a la reproducción de baselines: GDR-Net y FoundationPose en los datasets BOP, estableciendo las métricas de referencia. La Fase 2 (Semanas 3–5) aborda los fundamentos matemáticos y la redacción del Capítulo 4. La Fase 3 (Semanas 5–8) comprende el desarrollo del pipeline integrado: wrappers de percepción, Diffusion Policy para agarre, y orquestador end-to-end. La Fase 4 (Semanas 6–9) configura la simulación CoppeliaSim + ROS 2 + visual servoing. La Fase 5 (Semanas 8–10) ejecuta los experimentos finales y genera resultados comparativos. La Fase 6 (Semanas 10–12) se dedica a la redacción final y preparación de la defensa.</w:t>
      </w:r>
    </w:p>
    <w:p w14:paraId="2C0F2095" w14:textId="77777777" w:rsidR="00DC03D1" w:rsidRDefault="000F7682">
      <w:pPr>
        <w:pStyle w:val="Heading3"/>
      </w:pPr>
      <w:r>
        <w:t>Datasets y métricas de evaluación</w:t>
      </w:r>
    </w:p>
    <w:p w14:paraId="5B61B8D6" w14:textId="77777777" w:rsidR="00DC03D1" w:rsidRDefault="000F7682">
      <w:r>
        <w:t>Los datasets de evaluación seleccionados son T-LESS (licencia CC BY 4.0), que proporciona 30 objetos industriales sin textura representativos del escenario de bin picking; y YCB-Video (licencia MIT), con 21 objetos domésticos texturados que permiten evaluar la generalización. Las métricas ejecutadas en este TFM son las clásicas ADD y ADD-S (Average Distance of Distinguishable / Symmetric model points), junto con sus AUC y los recalls a 5/10/20 mm —elegidas por ser comparables a los resultados de FoundationPose reportados en su publicación original (Wen et al., 2024) y por no requerir las dependencias C++ del toolkit BOP oficial—. Para la comparación con el leaderboard BOP Challenge 2022 (Sundermeyer et al., 2024) se citan los valores oficiales de VSD (Visible Surface Discrepancy), MSSD (Maximum Symmetry-Aware Surface Distance) y MSPD (Maximum Symmetry-Aware Projection Distance) que producen los autores del benchmark; la comparación entre ambas familias de métricas se trata explícitamente como cualitativa en el Capítulo 4.</w:t>
      </w:r>
    </w:p>
    <w:p w14:paraId="4EFCD93C" w14:textId="77777777" w:rsidR="00DC03D1" w:rsidRDefault="000F7682">
      <w:pPr>
        <w:pStyle w:val="Heading3"/>
      </w:pPr>
      <w:r>
        <w:t>Licencias y reproducibilidad</w:t>
      </w:r>
    </w:p>
    <w:p w14:paraId="5526B76D" w14:textId="77777777" w:rsidR="00DC03D1" w:rsidRDefault="000F7682">
      <w:r>
        <w:t>Todos los componentes de software y datos utilizados cuentan con licencias compatibles con uso académico: FoundationPose (NVIDIA Non-Commercial License), Diffusion Policy (MIT License), GDR-Net++ (Apache 2.0), CoppeliaSim (Educational License), ROS 2 Humble (Apache 2.0), datasets BOP (CC BY 4.0 / CC BY-NC-SA 4.0). El código fuente, los notebooks de experimentos y los scripts de evaluación se mantienen en el repositorio GitHub pose6dof-transformers-diffusion para garantizar la reproducibilidad completa de los resultados presentados.</w:t>
      </w:r>
    </w:p>
    <w:p w14:paraId="4957A843" w14:textId="77777777" w:rsidR="00DC03D1" w:rsidRDefault="000F7682">
      <w:r>
        <w:br w:type="page"/>
      </w:r>
    </w:p>
    <w:p w14:paraId="42DF001C" w14:textId="77777777" w:rsidR="009C485E" w:rsidRPr="0097635A" w:rsidRDefault="009C485E" w:rsidP="009C485E">
      <w:pPr>
        <w:pStyle w:val="Heading1"/>
      </w:pPr>
      <w:bookmarkStart w:id="7" w:name="_Toc150762226"/>
      <w:r>
        <w:t>Desarrollo específico de la contribución</w:t>
      </w:r>
      <w:bookmarkEnd w:id="7"/>
    </w:p>
    <w:p w14:paraId="00140FFC" w14:textId="77777777" w:rsidR="009C485E" w:rsidRPr="0097635A" w:rsidRDefault="00BD1D22" w:rsidP="00BD1D22">
      <w:r>
        <w:t>Este capítulo describe el desarrollo del sistema de bin picking 6-DoF propuesto, siguiendo la estructura de un desarrollo práctico (Tipo 1). Se detallan los requisitos del sistema, la arquitectura del pipeline de percepción y planificación, y la estrategia de evaluación experimental en simulación.</w:t>
      </w:r>
    </w:p>
    <w:p w14:paraId="1CB5F9E9" w14:textId="77777777" w:rsidR="00BD1D22" w:rsidRPr="0097635A" w:rsidRDefault="00BD1D22" w:rsidP="00BD1D22"/>
    <w:p w14:paraId="0C411E70" w14:textId="77777777" w:rsidR="00BD1D22" w:rsidRPr="0097635A" w:rsidRDefault="008C01FC" w:rsidP="003B2360">
      <w:pPr>
        <w:pStyle w:val="Heading2"/>
      </w:pPr>
      <w:bookmarkStart w:id="8" w:name="_Toc150762227"/>
      <w:r>
        <w:t>Tipo 1. Desarrollo práctico</w:t>
      </w:r>
      <w:bookmarkEnd w:id="8"/>
    </w:p>
    <w:p w14:paraId="3939780B" w14:textId="0C5366C7" w:rsidR="0021542C" w:rsidRPr="0097635A" w:rsidRDefault="0021542C" w:rsidP="0021542C">
      <w:r>
        <w:t>El desarrollo práctico de este Trabajo Fin de Máster consiste en un pipeline de percepción y planificación de agarre robótico que integra FoundationPose para estimación de pose 6-DoF y un wrapper de Diffusion Policy para planificación de trayectorias de agarre, evaluado cuantitativamente sobre el subset oficial BOP-19 de YCB-Video y T-LESS, y conectado a una infraestructura de simulación CoppeliaSim ZMQ Remote API validada mediante un smoke test reproducible (Cap. 4 Validación de la infraestructura de simulación).</w:t>
      </w:r>
      <w:r w:rsidR="00E37826"/>
      <w:r/>
    </w:p>
    <w:p w14:paraId="6CBF112A" w14:textId="77777777" w:rsidR="0021542C" w:rsidRPr="0097635A" w:rsidRDefault="0021542C" w:rsidP="0021542C"/>
    <w:p w14:paraId="790269EC" w14:textId="77777777" w:rsidR="0021542C" w:rsidRPr="0097635A" w:rsidRDefault="0021542C" w:rsidP="0021542C">
      <w:pPr>
        <w:pStyle w:val="Heading3"/>
      </w:pPr>
      <w:bookmarkStart w:id="9" w:name="_Toc150762228"/>
      <w:r>
        <w:t>Identificación de requisitos</w:t>
      </w:r>
      <w:bookmarkEnd w:id="9"/>
    </w:p>
    <w:p w14:paraId="6CA671B3" w14:textId="77777777" w:rsidR="0021542C" w:rsidRPr="0097635A" w:rsidRDefault="0021542C" w:rsidP="0021542C">
      <w:r>
        <w:t>Los requisitos del sistema se derivan del análisis del estado del arte y las limitaciones identificadas en los métodos existentes. El sistema debe: (a) estimar la pose 6-DoF de objetos industriales con un error compatible con manipulación robótica (objetivo: ADD &lt; 5 mm en la mediana), a partir de imágenes RGB-D; (b) manejar oclusiones parciales y objetos sin textura como los del dataset T-LESS; (c) generar trayectorias de agarre robustas ante la ambigüedad multimodal inherente al bin picking, mediante una formulación generativa basada en difusión; y (d) operar con tiempo de ciclo industrialmente viable, entendiendo que sistemas comerciales reales con FoundationPose como componente operan en el orden de unidades de segundos. Las tecnologías que componen el stack son: FoundationPose (NVIDIA, licencia académica/no comercial) para estimación de pose, el wrapper Diffusion Policy + GraspSampler (MIT) para planificación, CoppeliaSim Edu V4.10.0 para simulación, PyTorch como framework de deep learning, Open3D y trimesh para geometría 3D. La pieza ROS 2 Humble + MoveIt 2 está contenedorizada como infraestructura disponible para extensiones futuras, no ejercitada en este TFM.</w:t>
      </w:r>
    </w:p>
    <w:p w14:paraId="4864E0AE" w14:textId="77777777" w:rsidR="0021542C" w:rsidRPr="0097635A" w:rsidRDefault="0021542C" w:rsidP="0021542C"/>
    <w:p w14:paraId="610C4867" w14:textId="77777777" w:rsidR="0021542C" w:rsidRPr="0097635A" w:rsidRDefault="0021542C" w:rsidP="0021542C">
      <w:pPr>
        <w:pStyle w:val="Heading3"/>
      </w:pPr>
      <w:bookmarkStart w:id="10" w:name="_Toc150762229"/>
      <w:r>
        <w:t>Descripción del sistema software o físico desarrollado</w:t>
      </w:r>
      <w:bookmarkEnd w:id="10"/>
    </w:p>
    <w:p w14:paraId="2F42856A" w14:textId="77777777" w:rsidR="0021542C" w:rsidRPr="0097635A" w:rsidRDefault="0021542C" w:rsidP="0021542C">
      <w:r>
        <w:t>El pipeline propuesto consta de las siguientes fases: (1) Adquisición: imágenes RGB-D del subset oficial BOP-19 (en la evaluación cuantitativa de este TFM) o producidas por la cámara virtual de CoppeliaSim (en la pieza de validación de la infraestructura de simulación). (2) Segmentación: máscaras por instancia tomadas del ground truth BOP por gt_idx —el desarrollo de un detector neuronal específico queda como trabajo futuro—. (3) Estimación de pose: FoundationPose procesa las regiones segmentadas mediante atención cruzada entre features 2D (imagen) y 3D (modelo CAD), generando una estimación inicial en SE(3). (4) Refinamiento iterativo: la red de scoring de FoundationPose evalúa pares (render, observación) y refina la pose en N iteraciones (N = 5 en los experimentos del Cap. 4), análogamente a un esquema de render-and-compare diferenciable. (5) Planificación de agarre: el GraspSampler genera 64 candidatos top-down/side y el wrapper DiffusionGraspPlanner formula la trayectoria como un proceso DDPM (Chi et al., 2023) sobre el espacio de acción 7-DoF (x, y, z, r_x, r_y, r_z, gripper); el entrenamiento de la red de denoising queda fuera del alcance del TFM y la ejecución cualitativa se realiza con la trayectoria heurística que el wrapper expone. (6) Ejecución: en este TFM la integración con MoveIt 2 / ROS 2 queda preparada como pieza contenedorizada disponible para futuras validaciones con hardware real.</w:t>
      </w:r>
    </w:p>
    <w:p w14:paraId="2604FFDD" w14:textId="77777777" w:rsidR="0021542C" w:rsidRPr="0097635A" w:rsidRDefault="0021542C" w:rsidP="0021542C"/>
    <w:p w14:paraId="28D87849" w14:textId="77777777" w:rsidR="0021542C" w:rsidRPr="0097635A" w:rsidRDefault="0021542C" w:rsidP="0021542C">
      <w:pPr>
        <w:pStyle w:val="Heading3"/>
      </w:pPr>
      <w:bookmarkStart w:id="11" w:name="_Toc150762230"/>
      <w:r>
        <w:t>Evaluación</w:t>
      </w:r>
      <w:bookmarkEnd w:id="11"/>
    </w:p>
    <w:p w14:paraId="6166A1D7" w14:textId="77777777" w:rsidR="0021542C" w:rsidRPr="0097635A" w:rsidRDefault="0021542C" w:rsidP="0021542C"/>
    <w:p>
      <w:pPr/>
      <w:r>
        <w:t>La evaluación experimental del sistema se realiza sobre los datasets BOP YCB-Video y T-LESS, utilizando el subconjunto oficial de evaluación BOP-19 (definido en test_targets_bop19.json) que garantiza comparabilidad con el leaderboard del BOP Challenge. Se reportan las métricas ADD/ADD-S y AUC, computadas sobre el conjunto completo de predicciones generadas por FoundationPose en Google Colab con GPU NVIDIA Tesla T4 y dependencias congeladas mediante un lockfile (requirements.colab.lock.txt) para reproducibilidad estricta.</w:t>
      </w:r>
    </w:p>
    <w:p>
      <w:pPr/>
      <w:r>
        <w:t>La configuración del experimento corresponde al modo de validación intensiva (MODE='dev' en el notebook 01_foundationpose_eval.ipynb): 5 escenas por dataset (de 12 disponibles en YCB-V y 20 en T-LESS) con 50 imágenes por escena, lo que totaliza 250 imágenes y 2110 objetos evaluados (1098 en YCB-V y 1012 en T-LESS). El refinamiento iterativo de FoundationPose se ejecuta con 5 iteraciones de registro por objeto.</w:t>
      </w:r>
    </w:p>
    <w:p>
      <w:pPr/>
      <w:r>
        <w:t>La Tabla 4.1 resume las métricas obtenidas. El ADD mediano se sitúa por debajo de 5 mm en ambos datasets y la AUC ADD-S supera 0.95, lo que evidencia errores simétricos por debajo de 3 mm en la mediana — magnitud equivalente al registro de pose de un sistema industrial bien calibrado. La diferencia entre ADD y ADD-S indica además que parte significativa del error en YCB-V proviene de ambigüedades de simetría del objeto, que la métrica ADD penaliza pero ADD-S no.</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Métrica</w:t>
            </w:r>
          </w:p>
        </w:tc>
        <w:tc>
          <w:tcPr>
            <w:tcW w:type="dxa" w:w="2268"/>
          </w:tcPr>
          <w:p>
            <w:r>
              <w:rPr>
                <w:b/>
              </w:rPr>
              <w:t>YCB-V</w:t>
            </w:r>
          </w:p>
        </w:tc>
        <w:tc>
          <w:tcPr>
            <w:tcW w:type="dxa" w:w="2268"/>
          </w:tcPr>
          <w:p>
            <w:r>
              <w:rPr>
                <w:b/>
              </w:rPr>
              <w:t>T-LESS</w:t>
            </w:r>
          </w:p>
        </w:tc>
        <w:tc>
          <w:tcPr>
            <w:tcW w:type="dxa" w:w="2268"/>
          </w:tcPr>
          <w:p>
            <w:r>
              <w:rPr>
                <w:b/>
              </w:rPr>
              <w:t>Notas</w:t>
            </w:r>
          </w:p>
        </w:tc>
      </w:tr>
      <w:tr>
        <w:tc>
          <w:tcPr>
            <w:tcW w:type="dxa" w:w="2268"/>
          </w:tcPr>
          <w:p>
            <w:r>
              <w:t>Imágenes evaluadas</w:t>
            </w:r>
          </w:p>
        </w:tc>
        <w:tc>
          <w:tcPr>
            <w:tcW w:type="dxa" w:w="2268"/>
          </w:tcPr>
          <w:p>
            <w:r>
              <w:t>250</w:t>
            </w:r>
          </w:p>
        </w:tc>
        <w:tc>
          <w:tcPr>
            <w:tcW w:type="dxa" w:w="2268"/>
          </w:tcPr>
          <w:p>
            <w:r>
              <w:t>250</w:t>
            </w:r>
          </w:p>
        </w:tc>
        <w:tc>
          <w:tcPr>
            <w:tcW w:type="dxa" w:w="2268"/>
          </w:tcPr>
          <w:p>
            <w:r>
              <w:t>5 escenas × 50 imgs (subset BOP-19)</w:t>
            </w:r>
          </w:p>
        </w:tc>
      </w:tr>
      <w:tr>
        <w:tc>
          <w:tcPr>
            <w:tcW w:type="dxa" w:w="2268"/>
          </w:tcPr>
          <w:p>
            <w:r>
              <w:t>Objetos evaluados</w:t>
            </w:r>
          </w:p>
        </w:tc>
        <w:tc>
          <w:tcPr>
            <w:tcW w:type="dxa" w:w="2268"/>
          </w:tcPr>
          <w:p>
            <w:r>
              <w:t>1098</w:t>
            </w:r>
          </w:p>
        </w:tc>
        <w:tc>
          <w:tcPr>
            <w:tcW w:type="dxa" w:w="2268"/>
          </w:tcPr>
          <w:p>
            <w:r>
              <w:t>1012</w:t>
            </w:r>
          </w:p>
        </w:tc>
        <w:tc>
          <w:tcPr>
            <w:tcW w:type="dxa" w:w="2268"/>
          </w:tcPr>
          <w:p>
            <w:r>
              <w:t>Multi-objeto por imagen, GT por (obj_id, gt_idx)</w:t>
            </w:r>
          </w:p>
        </w:tc>
      </w:tr>
      <w:tr>
        <w:tc>
          <w:tcPr>
            <w:tcW w:type="dxa" w:w="2268"/>
          </w:tcPr>
          <w:p>
            <w:r>
              <w:t>ADD mediano (mm)</w:t>
            </w:r>
          </w:p>
        </w:tc>
        <w:tc>
          <w:tcPr>
            <w:tcW w:type="dxa" w:w="2268"/>
          </w:tcPr>
          <w:p>
            <w:r>
              <w:t>4.17</w:t>
            </w:r>
          </w:p>
        </w:tc>
        <w:tc>
          <w:tcPr>
            <w:tcW w:type="dxa" w:w="2268"/>
          </w:tcPr>
          <w:p>
            <w:r>
              <w:t>2.90</w:t>
            </w:r>
          </w:p>
        </w:tc>
        <w:tc>
          <w:tcPr>
            <w:tcW w:type="dxa" w:w="2268"/>
          </w:tcPr>
          <w:p>
            <w:r>
              <w:t>Distancia media de puntos del modelo</w:t>
            </w:r>
          </w:p>
        </w:tc>
      </w:tr>
      <w:tr>
        <w:tc>
          <w:tcPr>
            <w:tcW w:type="dxa" w:w="2268"/>
          </w:tcPr>
          <w:p>
            <w:r>
              <w:t>ADD-S mediano (mm)</w:t>
            </w:r>
          </w:p>
        </w:tc>
        <w:tc>
          <w:tcPr>
            <w:tcW w:type="dxa" w:w="2268"/>
          </w:tcPr>
          <w:p>
            <w:r>
              <w:t>2.09</w:t>
            </w:r>
          </w:p>
        </w:tc>
        <w:tc>
          <w:tcPr>
            <w:tcW w:type="dxa" w:w="2268"/>
          </w:tcPr>
          <w:p>
            <w:r>
              <w:t>1.36</w:t>
            </w:r>
          </w:p>
        </w:tc>
        <w:tc>
          <w:tcPr>
            <w:tcW w:type="dxa" w:w="2268"/>
          </w:tcPr>
          <w:p>
            <w:r>
              <w:t>Variante simétrica de ADD</w:t>
            </w:r>
          </w:p>
        </w:tc>
      </w:tr>
      <w:tr>
        <w:tc>
          <w:tcPr>
            <w:tcW w:type="dxa" w:w="2268"/>
          </w:tcPr>
          <w:p>
            <w:r>
              <w:t>AUC ADD</w:t>
            </w:r>
          </w:p>
        </w:tc>
        <w:tc>
          <w:tcPr>
            <w:tcW w:type="dxa" w:w="2268"/>
          </w:tcPr>
          <w:p>
            <w:r>
              <w:t>0.829</w:t>
            </w:r>
          </w:p>
        </w:tc>
        <w:tc>
          <w:tcPr>
            <w:tcW w:type="dxa" w:w="2268"/>
          </w:tcPr>
          <w:p>
            <w:r>
              <w:t>0.805</w:t>
            </w:r>
          </w:p>
        </w:tc>
        <w:tc>
          <w:tcPr>
            <w:tcW w:type="dxa" w:w="2268"/>
          </w:tcPr>
          <w:p>
            <w:r>
              <w:t>Área bajo curva, threshold máx 100 mm</w:t>
            </w:r>
          </w:p>
        </w:tc>
      </w:tr>
      <w:tr>
        <w:tc>
          <w:tcPr>
            <w:tcW w:type="dxa" w:w="2268"/>
          </w:tcPr>
          <w:p>
            <w:r>
              <w:t>AUC ADD-S</w:t>
            </w:r>
          </w:p>
        </w:tc>
        <w:tc>
          <w:tcPr>
            <w:tcW w:type="dxa" w:w="2268"/>
          </w:tcPr>
          <w:p>
            <w:r>
              <w:t>0.959</w:t>
            </w:r>
          </w:p>
        </w:tc>
        <w:tc>
          <w:tcPr>
            <w:tcW w:type="dxa" w:w="2268"/>
          </w:tcPr>
          <w:p>
            <w:r>
              <w:t>0.983</w:t>
            </w:r>
          </w:p>
        </w:tc>
        <w:tc>
          <w:tcPr>
            <w:tcW w:type="dxa" w:w="2268"/>
          </w:tcPr>
          <w:p>
            <w:r>
              <w:t>Métrica robusta a simetrías</w:t>
            </w:r>
          </w:p>
        </w:tc>
      </w:tr>
      <w:tr>
        <w:tc>
          <w:tcPr>
            <w:tcW w:type="dxa" w:w="2268"/>
          </w:tcPr>
          <w:p>
            <w:r>
              <w:t>Recall@5mm ADD</w:t>
            </w:r>
          </w:p>
        </w:tc>
        <w:tc>
          <w:tcPr>
            <w:tcW w:type="dxa" w:w="2268"/>
          </w:tcPr>
          <w:p>
            <w:r>
              <w:t>59.9%</w:t>
            </w:r>
          </w:p>
        </w:tc>
        <w:tc>
          <w:tcPr>
            <w:tcW w:type="dxa" w:w="2268"/>
          </w:tcPr>
          <w:p>
            <w:r>
              <w:t>69.8%</w:t>
            </w:r>
          </w:p>
        </w:tc>
        <w:tc>
          <w:tcPr>
            <w:tcW w:type="dxa" w:w="2268"/>
          </w:tcPr>
          <w:p>
            <w:r>
              <w:t>Frac. objetos con error &lt; 5 mm</w:t>
            </w:r>
          </w:p>
        </w:tc>
      </w:tr>
      <w:tr>
        <w:tc>
          <w:tcPr>
            <w:tcW w:type="dxa" w:w="2268"/>
          </w:tcPr>
          <w:p>
            <w:r>
              <w:t>Recall@10mm ADD</w:t>
            </w:r>
          </w:p>
        </w:tc>
        <w:tc>
          <w:tcPr>
            <w:tcW w:type="dxa" w:w="2268"/>
          </w:tcPr>
          <w:p>
            <w:r>
              <w:t>77.0%</w:t>
            </w:r>
          </w:p>
        </w:tc>
        <w:tc>
          <w:tcPr>
            <w:tcW w:type="dxa" w:w="2268"/>
          </w:tcPr>
          <w:p>
            <w:r>
              <w:t>72.1%</w:t>
            </w:r>
          </w:p>
        </w:tc>
        <w:tc>
          <w:tcPr>
            <w:tcW w:type="dxa" w:w="2268"/>
          </w:tcPr>
          <w:p>
            <w:r/>
          </w:p>
        </w:tc>
      </w:tr>
      <w:tr>
        <w:tc>
          <w:tcPr>
            <w:tcW w:type="dxa" w:w="2268"/>
          </w:tcPr>
          <w:p>
            <w:r>
              <w:t>Recall@10mm ADD-S</w:t>
            </w:r>
          </w:p>
        </w:tc>
        <w:tc>
          <w:tcPr>
            <w:tcW w:type="dxa" w:w="2268"/>
          </w:tcPr>
          <w:p>
            <w:r>
              <w:t>96.5%</w:t>
            </w:r>
          </w:p>
        </w:tc>
        <w:tc>
          <w:tcPr>
            <w:tcW w:type="dxa" w:w="2268"/>
          </w:tcPr>
          <w:p>
            <w:r>
              <w:t>99.7%</w:t>
            </w:r>
          </w:p>
        </w:tc>
        <w:tc>
          <w:tcPr>
            <w:tcW w:type="dxa" w:w="2268"/>
          </w:tcPr>
          <w:p>
            <w:r>
              <w:t>Métrica clave para simetrías</w:t>
            </w:r>
          </w:p>
        </w:tc>
      </w:tr>
      <w:tr>
        <w:tc>
          <w:tcPr>
            <w:tcW w:type="dxa" w:w="2268"/>
          </w:tcPr>
          <w:p>
            <w:r>
              <w:t>Recall@20mm ADD-S</w:t>
            </w:r>
          </w:p>
        </w:tc>
        <w:tc>
          <w:tcPr>
            <w:tcW w:type="dxa" w:w="2268"/>
          </w:tcPr>
          <w:p>
            <w:r>
              <w:t>97.7%</w:t>
            </w:r>
          </w:p>
        </w:tc>
        <w:tc>
          <w:tcPr>
            <w:tcW w:type="dxa" w:w="2268"/>
          </w:tcPr>
          <w:p>
            <w:r>
              <w:t>99.9%</w:t>
            </w:r>
          </w:p>
        </w:tc>
        <w:tc>
          <w:tcPr>
            <w:tcW w:type="dxa" w:w="2268"/>
          </w:tcPr>
          <w:p>
            <w:r/>
          </w:p>
        </w:tc>
      </w:tr>
      <w:tr>
        <w:tc>
          <w:tcPr>
            <w:tcW w:type="dxa" w:w="2268"/>
          </w:tcPr>
          <w:p>
            <w:r>
              <w:t>Tiempo total (h:min)</w:t>
            </w:r>
          </w:p>
        </w:tc>
        <w:tc>
          <w:tcPr>
            <w:tcW w:type="dxa" w:w="2268"/>
          </w:tcPr>
          <w:p>
            <w:r>
              <w:t>1:16</w:t>
            </w:r>
          </w:p>
        </w:tc>
        <w:tc>
          <w:tcPr>
            <w:tcW w:type="dxa" w:w="2268"/>
          </w:tcPr>
          <w:p>
            <w:r>
              <w:t>1:13</w:t>
            </w:r>
          </w:p>
        </w:tc>
        <w:tc>
          <w:tcPr>
            <w:tcW w:type="dxa" w:w="2268"/>
          </w:tcPr>
          <w:p>
            <w:r>
              <w:t>GPU NVIDIA Tesla T4 (Colab)</w:t>
            </w:r>
          </w:p>
        </w:tc>
      </w:tr>
      <w:tr>
        <w:tc>
          <w:tcPr>
            <w:tcW w:type="dxa" w:w="2268"/>
          </w:tcPr>
          <w:p>
            <w:r>
              <w:t>Tiempo por objeto (s)</w:t>
            </w:r>
          </w:p>
        </w:tc>
        <w:tc>
          <w:tcPr>
            <w:tcW w:type="dxa" w:w="2268"/>
          </w:tcPr>
          <w:p>
            <w:r>
              <w:t>4.15</w:t>
            </w:r>
          </w:p>
        </w:tc>
        <w:tc>
          <w:tcPr>
            <w:tcW w:type="dxa" w:w="2268"/>
          </w:tcPr>
          <w:p>
            <w:r>
              <w:t>4.35</w:t>
            </w:r>
          </w:p>
        </w:tc>
        <w:tc>
          <w:tcPr>
            <w:tcW w:type="dxa" w:w="2268"/>
          </w:tcPr>
          <w:p>
            <w:r>
              <w:t>5 register iters por objeto</w:t>
            </w:r>
          </w:p>
        </w:tc>
      </w:tr>
    </w:tbl>
    <w:p>
      <w:pPr/>
      <w:r>
        <w:t>Tabla 4.1 — Métricas de FoundationPose en YCB-V y T-LESS (subset BOP-19, 5×50 imágenes por dataset). Fuente: experiments/results/foundationpose_eval/comparison_20260427_084807.json.</w:t>
      </w:r>
    </w:p>
    <w:p>
      <w:r>
        <w:drawing>
          <wp:inline xmlns:a="http://schemas.openxmlformats.org/drawingml/2006/main" xmlns:pic="http://schemas.openxmlformats.org/drawingml/2006/picture">
            <wp:extent cx="5486400" cy="1959429"/>
            <wp:docPr id="5127" name="Picture 5127"/>
            <wp:cNvGraphicFramePr>
              <a:graphicFrameLocks noChangeAspect="1"/>
            </wp:cNvGraphicFramePr>
            <a:graphic>
              <a:graphicData uri="http://schemas.openxmlformats.org/drawingml/2006/picture">
                <pic:pic>
                  <pic:nvPicPr>
                    <pic:cNvPr id="0" name="fig_6_X_fp_real_add_metrics.png"/>
                    <pic:cNvPicPr/>
                  </pic:nvPicPr>
                  <pic:blipFill>
                    <a:blip r:embed="rId19"/>
                    <a:stretch>
                      <a:fillRect/>
                    </a:stretch>
                  </pic:blipFill>
                  <pic:spPr>
                    <a:xfrm>
                      <a:off x="0" y="0"/>
                      <a:ext cx="5486400" cy="1959429"/>
                    </a:xfrm>
                    <a:prstGeom prst="rect"/>
                  </pic:spPr>
                </pic:pic>
              </a:graphicData>
            </a:graphic>
          </wp:inline>
        </w:drawing>
      </w:r>
    </w:p>
    <w:p>
      <w:pPr/>
      <w:r>
        <w:t>Figura 4.1 — Recalls (ADD/ADD-S a 5/10/20 mm) y AUCs en YCB-V y T-LESS, calculados sobre 1098 + 1012 objetos del subset BOP-19.</w:t>
      </w:r>
    </w:p>
    <w:p>
      <w:r>
        <w:drawing>
          <wp:inline xmlns:a="http://schemas.openxmlformats.org/drawingml/2006/main" xmlns:pic="http://schemas.openxmlformats.org/drawingml/2006/picture">
            <wp:extent cx="5486400" cy="1959429"/>
            <wp:docPr id="5128" name="Picture 5128"/>
            <wp:cNvGraphicFramePr>
              <a:graphicFrameLocks noChangeAspect="1"/>
            </wp:cNvGraphicFramePr>
            <a:graphic>
              <a:graphicData uri="http://schemas.openxmlformats.org/drawingml/2006/picture">
                <pic:pic>
                  <pic:nvPicPr>
                    <pic:cNvPr id="0" name="fig_6_X_fp_vs_gdrnet_official.png"/>
                    <pic:cNvPicPr/>
                  </pic:nvPicPr>
                  <pic:blipFill>
                    <a:blip r:embed="rId20"/>
                    <a:stretch>
                      <a:fillRect/>
                    </a:stretch>
                  </pic:blipFill>
                  <pic:spPr>
                    <a:xfrm>
                      <a:off x="0" y="0"/>
                      <a:ext cx="5486400" cy="1959429"/>
                    </a:xfrm>
                    <a:prstGeom prst="rect"/>
                  </pic:spPr>
                </pic:pic>
              </a:graphicData>
            </a:graphic>
          </wp:inline>
        </w:drawing>
      </w:r>
    </w:p>
    <w:p>
      <w:pPr/>
      <w:r>
        <w:t>Figura 4.2 — Comparativa cualitativa con baselines BOP oficiales (GDR-Net++, BOP Challenge 2022 y FoundationPose paper, CVPR 2024). Las métricas no son directamente equivalentes (AR vs ADD/ADD-S), por lo que la comparación es ilustrativa del posicionamiento del método.</w:t>
      </w:r>
    </w:p>
    <w:p>
      <w:pPr/>
      <w:r>
        <w:t>Por dataset, YCB-V presenta mayor varianza en ADD (mediana 4.17 mm, Recall@5 mm = 60 %) reflejando la presencia de objetos con simetrías parciales y oclusiones complejas. La métrica simétrica ADD-S alcanza el 88.8 % a 5 mm, lo que indica que la mayoría de errores provienen de ambigüedades de simetría que la métrica ADD penaliza. T-LESS, pese a contener objetos industriales sin textura y con simetrías rotacionales fuertes, obtiene mejores resultados absolutos (ADD mediano 2.90 mm, ADD-S mediano 1.36 mm) probablemente por la geometría más controlada del subconjunto test_primesense.</w:t>
      </w:r>
    </w:p>
    <w:p>
      <w:pPr/>
      <w:r>
        <w:t>Toda la evidencia experimental está versionada en el repositorio en experiments/results/foundationpose_eval/: (a) comparison_20260427_084807.json con las métricas agregadas; (b) predictions_ycbv y predictions_tless con las 2110 predicciones por frame (R, t, scene_id, img_id, gt_idx); (c) RUN_CARD.md con la tarjeta del run (commit, hardware, schema, fixes aplicados); (d) lockfile de versiones del entorno Colab. La regeneración de figuras y tabla LaTeX se automatiza mediante experiments/generate_chapter6_figures.py.</w:t>
      </w:r>
    </w:p>
    <w:p>
      <w:pPr>
        <w:pStyle w:val="Heading3"/>
      </w:pPr>
      <w:r>
        <w:t>Planificación de agarres con poses reales</w:t>
      </w:r>
    </w:p>
    <w:p>
      <w:pPr/>
      <w:r>
        <w:t>Las poses 6-DoF estimadas por FoundationPose en el subset BOP-19 (sección anterior) constituyen la entrada del módulo de planificación de agarres. El script experiments/run_diffusion_planning_real.py materializa este enlace consumiendo directamente predictions_ycbv_20260427_084807.json y predictions_tless_20260427_084807.json, sin pasos manuales intermedios.</w:t>
      </w:r>
    </w:p>
    <w:p>
      <w:pPr/>
      <w:r>
        <w:t>Para cada predicción T_obj = (R_pred, t_pred) ∈ SE(3) obtenida del run del 27 de abril de 2026, el pipeline ejecuta: (1) muestreo de 64 candidatos de agarre con GraspSampler.sample combinando estrategias top-down y side approach; (2) filtrado por ángulo de aproximación θ ∈ [0, π/3] rad respecto al eje vertical; (3) scoring por estabilidad de contacto; (4) selección top-1 y generación de trayectoria de aproximación de 16 waypoints; (5) generación de trayectoria DDPM-style siguiendo el formalismo de Diffusion Policy (Chi et al., 2023): 16 waypoints en formato (x, y, z, r_x, r_y, r_z, gripper) ∈ R^7, equivalente al espacio de acción que la red ConditionalUNet1D predeciría tras entrenamiento.</w:t>
      </w:r>
    </w:p>
    <w:p>
      <w:pPr/>
      <w:r>
        <w:t>Se procesó una muestra aleatoria reproducible (RNG_SEED=42) de 30 poses por dataset sobre los 1098 (YCB-V) y 1012 (T-LESS) registros disponibles. La Tabla 5.1 resume las métricas geométricas y temporales obtenidas.</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Métrica</w:t>
            </w:r>
          </w:p>
        </w:tc>
        <w:tc>
          <w:tcPr>
            <w:tcW w:type="dxa" w:w="3024"/>
          </w:tcPr>
          <w:p>
            <w:r>
              <w:rPr>
                <w:b/>
              </w:rPr>
              <w:t>YCB-V</w:t>
            </w:r>
          </w:p>
        </w:tc>
        <w:tc>
          <w:tcPr>
            <w:tcW w:type="dxa" w:w="3024"/>
          </w:tcPr>
          <w:p>
            <w:r>
              <w:rPr>
                <w:b/>
              </w:rPr>
              <w:t>T-LESS</w:t>
            </w:r>
          </w:p>
        </w:tc>
      </w:tr>
      <w:tr>
        <w:tc>
          <w:tcPr>
            <w:tcW w:type="dxa" w:w="3024"/>
          </w:tcPr>
          <w:p>
            <w:r>
              <w:t>Poses procesadas con éxito</w:t>
            </w:r>
          </w:p>
        </w:tc>
        <w:tc>
          <w:tcPr>
            <w:tcW w:type="dxa" w:w="3024"/>
          </w:tcPr>
          <w:p>
            <w:r>
              <w:t>30/30</w:t>
            </w:r>
          </w:p>
        </w:tc>
        <w:tc>
          <w:tcPr>
            <w:tcW w:type="dxa" w:w="3024"/>
          </w:tcPr>
          <w:p>
            <w:r>
              <w:t>30/30</w:t>
            </w:r>
          </w:p>
        </w:tc>
      </w:tr>
      <w:tr>
        <w:tc>
          <w:tcPr>
            <w:tcW w:type="dxa" w:w="3024"/>
          </w:tcPr>
          <w:p>
            <w:r>
              <w:t>Score top-1 (mediana)</w:t>
            </w:r>
          </w:p>
        </w:tc>
        <w:tc>
          <w:tcPr>
            <w:tcW w:type="dxa" w:w="3024"/>
          </w:tcPr>
          <w:p>
            <w:r>
              <w:t>0.964</w:t>
            </w:r>
          </w:p>
        </w:tc>
        <w:tc>
          <w:tcPr>
            <w:tcW w:type="dxa" w:w="3024"/>
          </w:tcPr>
          <w:p>
            <w:r>
              <w:t>0.964</w:t>
            </w:r>
          </w:p>
        </w:tc>
      </w:tr>
      <w:tr>
        <w:tc>
          <w:tcPr>
            <w:tcW w:type="dxa" w:w="3024"/>
          </w:tcPr>
          <w:p>
            <w:r>
              <w:t>Std del score top-1</w:t>
            </w:r>
          </w:p>
        </w:tc>
        <w:tc>
          <w:tcPr>
            <w:tcW w:type="dxa" w:w="3024"/>
          </w:tcPr>
          <w:p>
            <w:r>
              <w:t>0.005</w:t>
            </w:r>
          </w:p>
        </w:tc>
        <w:tc>
          <w:tcPr>
            <w:tcW w:type="dxa" w:w="3024"/>
          </w:tcPr>
          <w:p>
            <w:r>
              <w:t>0.004</w:t>
            </w:r>
          </w:p>
        </w:tc>
      </w:tr>
      <w:tr>
        <w:tc>
          <w:tcPr>
            <w:tcW w:type="dxa" w:w="3024"/>
          </w:tcPr>
          <w:p>
            <w:r>
              <w:t>Longitud trayectoria approach (mediana)</w:t>
            </w:r>
          </w:p>
        </w:tc>
        <w:tc>
          <w:tcPr>
            <w:tcW w:type="dxa" w:w="3024"/>
          </w:tcPr>
          <w:p>
            <w:r>
              <w:t>10.0 cm</w:t>
            </w:r>
          </w:p>
        </w:tc>
        <w:tc>
          <w:tcPr>
            <w:tcW w:type="dxa" w:w="3024"/>
          </w:tcPr>
          <w:p>
            <w:r>
              <w:t>10.0 cm</w:t>
            </w:r>
          </w:p>
        </w:tc>
      </w:tr>
      <w:tr>
        <w:tc>
          <w:tcPr>
            <w:tcW w:type="dxa" w:w="3024"/>
          </w:tcPr>
          <w:p>
            <w:r>
              <w:t>Longitud trayectoria DDPM-style (mediana)</w:t>
            </w:r>
          </w:p>
        </w:tc>
        <w:tc>
          <w:tcPr>
            <w:tcW w:type="dxa" w:w="3024"/>
          </w:tcPr>
          <w:p>
            <w:r>
              <w:t>25.0 cm</w:t>
            </w:r>
          </w:p>
        </w:tc>
        <w:tc>
          <w:tcPr>
            <w:tcW w:type="dxa" w:w="3024"/>
          </w:tcPr>
          <w:p>
            <w:r>
              <w:t>25.0 cm</w:t>
            </w:r>
          </w:p>
        </w:tc>
      </w:tr>
      <w:tr>
        <w:tc>
          <w:tcPr>
            <w:tcW w:type="dxa" w:w="3024"/>
          </w:tcPr>
          <w:p>
            <w:r>
              <w:t>Latencia del sampler (p95)</w:t>
            </w:r>
          </w:p>
        </w:tc>
        <w:tc>
          <w:tcPr>
            <w:tcW w:type="dxa" w:w="3024"/>
          </w:tcPr>
          <w:p>
            <w:r>
              <w:t>2.0 ms</w:t>
            </w:r>
          </w:p>
        </w:tc>
        <w:tc>
          <w:tcPr>
            <w:tcW w:type="dxa" w:w="3024"/>
          </w:tcPr>
          <w:p>
            <w:r>
              <w:t>2.0 ms</w:t>
            </w:r>
          </w:p>
        </w:tc>
      </w:tr>
      <w:tr>
        <w:tc>
          <w:tcPr>
            <w:tcW w:type="dxa" w:w="3024"/>
          </w:tcPr>
          <w:p>
            <w:r>
              <w:t>Pinza abierta al inicio</w:t>
            </w:r>
          </w:p>
        </w:tc>
        <w:tc>
          <w:tcPr>
            <w:tcW w:type="dxa" w:w="3024"/>
          </w:tcPr>
          <w:p>
            <w:r>
              <w:t>100 %</w:t>
            </w:r>
          </w:p>
        </w:tc>
        <w:tc>
          <w:tcPr>
            <w:tcW w:type="dxa" w:w="3024"/>
          </w:tcPr>
          <w:p>
            <w:r>
              <w:t>100 %</w:t>
            </w:r>
          </w:p>
        </w:tc>
      </w:tr>
      <w:tr>
        <w:tc>
          <w:tcPr>
            <w:tcW w:type="dxa" w:w="3024"/>
          </w:tcPr>
          <w:p>
            <w:r>
              <w:t>Pinza cerrada al final</w:t>
            </w:r>
          </w:p>
        </w:tc>
        <w:tc>
          <w:tcPr>
            <w:tcW w:type="dxa" w:w="3024"/>
          </w:tcPr>
          <w:p>
            <w:r>
              <w:t>100 %</w:t>
            </w:r>
          </w:p>
        </w:tc>
        <w:tc>
          <w:tcPr>
            <w:tcW w:type="dxa" w:w="3024"/>
          </w:tcPr>
          <w:p>
            <w:r>
              <w:t>100 %</w:t>
            </w:r>
          </w:p>
        </w:tc>
      </w:tr>
    </w:tbl>
    <w:p>
      <w:pPr>
        <w:jc w:val="center"/>
      </w:pPr>
      <w:r>
        <w:t>Tabla 5.1 — Métricas de planificación sobre 60 poses reales del run FoundationPose. Fuente: experiments/results/diffusion_real_poses/trajectories_summary.json.</w:t>
      </w:r>
    </w:p>
    <w:p>
      <w:pPr>
        <w:jc w:val="center"/>
      </w:pPr>
      <w:r>
        <w:drawing>
          <wp:inline xmlns:a="http://schemas.openxmlformats.org/drawingml/2006/main" xmlns:pic="http://schemas.openxmlformats.org/drawingml/2006/picture">
            <wp:extent cx="5040000" cy="1899046"/>
            <wp:docPr id="5129" name="Picture 5129"/>
            <wp:cNvGraphicFramePr>
              <a:graphicFrameLocks noChangeAspect="1"/>
            </wp:cNvGraphicFramePr>
            <a:graphic>
              <a:graphicData uri="http://schemas.openxmlformats.org/drawingml/2006/picture">
                <pic:pic>
                  <pic:nvPicPr>
                    <pic:cNvPr id="0" name="fig_diffusion_planning_real.png"/>
                    <pic:cNvPicPr/>
                  </pic:nvPicPr>
                  <pic:blipFill>
                    <a:blip r:embed="rId21"/>
                    <a:stretch>
                      <a:fillRect/>
                    </a:stretch>
                  </pic:blipFill>
                  <pic:spPr>
                    <a:xfrm>
                      <a:off x="0" y="0"/>
                      <a:ext cx="5040000" cy="1899046"/>
                    </a:xfrm>
                    <a:prstGeom prst="rect"/>
                  </pic:spPr>
                </pic:pic>
              </a:graphicData>
            </a:graphic>
          </wp:inline>
        </w:drawing>
      </w:r>
    </w:p>
    <w:p>
      <w:pPr>
        <w:jc w:val="center"/>
      </w:pPr>
      <w:r>
        <w:t>Figura 5.1 — Distribución de scores top-1 de los candidatos de agarre y longitudes medianas de trayectoria sobre 60 poses reales del run FP.</w:t>
      </w:r>
    </w:p>
    <w:p>
      <w:pPr/>
      <w:r>
        <w:t>Discusión: el score top-1 mediano de 0.964 con desviación típica &lt; 0.005 es virtualmente idéntico entre datasets. Esta identidad se explica porque los métodos de muestreo activos (top-down y side approach) no consumen la nube de puntos por instancia del objeto: derivan los candidatos a partir del centroide y del marco de la pose 6-DoF, sin geometría local. Por tanto el score es una medida de la calidad del configurador heurístico —apertura de pinza 0.085 m, standoff 0.10 m, ángulo de approach ≤ 60° desde la vertical— más que una propiedad de los objetos. La incorporación del muestreo antipodal (que sí depende de la nube de puntos) está dimensionada en el código pero requiere reproyectar las máscaras por gt_idx; queda como trabajo futuro. Lo que el experimento sí valida es que el muestreador produce candidatos geométricamente plausibles incluso sobre poses con error ADD mediano de 4.17 mm (YCB-V) y 2.90 mm (T-LESS): los errores de estimación se mantienen muy por debajo del umbral en el que un agarre top-down con 8.5 cm de apertura pierde estabilidad. La latencia del sampler (p95 = 2 ms) deja un margen amplio para integración en lazos de control reactivo, dado que la inferencia FoundationPose ya consume ~4 s/objeto sobre Colab T4.</w:t>
      </w:r>
    </w:p>
    <w:p>
      <w:pPr/>
      <w:r>
        <w:t>Limitaciones reconocidas: (i) la red ConditionalUNet1D del DiffusionGraspPlanner no está entrenada en el alcance de este TFM — la evaluación cualitativa se realiza con la trayectoria heurística del wrapper, que comparte espacio de acción y horizonte con la red entrenable; (ii) el muestreo antipodal requiere nube de puntos por instancia, no reconstruida en este experimento; (iii) la verificación cinemática (reachability del manipulador, colisiones) se traslada a la fase de simulación CoppeliaSim que se documenta en la sección siguiente.</w:t>
      </w:r>
    </w:p>
    <w:p>
      <w:pPr>
        <w:pStyle w:val="Heading3"/>
      </w:pPr>
      <w:r>
        <w:t>Validación de la infraestructura de simulación</w:t>
      </w:r>
    </w:p>
    <w:p>
      <w:pPr/>
      <w:r>
        <w:t>Para la validación de la planificación de agarres en un entorno controlado y reproducible se desplegó CoppeliaSim Education V4.10.0 rev0 (Coppelia Robotics, 2024; build oficial macOS 15+ Apple Silicon ARM64) sobre MacBook Pro M1 Pro. La conexión Python ↔ simulador se establece mediante el ZMQ Remote API v2 (Ferri &amp; Coppelia Robotics, 2023), cargado como addon por defecto desde la versión 4.6 del simulador y escuchando en localhost:23000. El cliente Python coppeliasim-zmqremoteapi-client==2.0.4 queda versionado en pyproject.toml bajo el extra [sim].</w:t>
      </w:r>
    </w:p>
    <w:p>
      <w:pPr/>
      <w:r>
        <w:t>El script experiments/run_coppelia_smoke_test.py materializa la validación end-to-end: (1) conexión al servidor ZMQ; (2) carga programática de la escena estándar pickAndPlaceDemo.ttt incluida en el bundle de la aplicación, que modela una línea industrial con cinta transportadora, generador estocástico de cajas con código de color y zona de detección; (3) creación dinámica de un vision sensor en cenital (FOV 60°, resolución 640×480, 1.5 m sobre el origen), aliasado como tfm_overview_sensor para auditoría; (4) ejecución de la simulación en modo stepped durante 100 pasos × 50 ms = 5 s de tiempo simulado; (5) renderizado del sensor mediante sim.handleVisionSensor y serialización del frame como PNG; (6) persistencia del JSON con métricas y handles descubiertos.</w:t>
      </w:r>
    </w:p>
    <w:p>
      <w:pPr/>
      <w:r>
        <w:t>La Tabla 5.2 resume las métricas validadas durante el smoke test.</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Métrica</w:t>
            </w:r>
          </w:p>
        </w:tc>
        <w:tc>
          <w:tcPr>
            <w:tcW w:type="dxa" w:w="3024"/>
          </w:tcPr>
          <w:p>
            <w:r>
              <w:rPr>
                <w:b/>
              </w:rPr>
              <w:t>Valor</w:t>
            </w:r>
          </w:p>
        </w:tc>
        <w:tc>
          <w:tcPr>
            <w:tcW w:type="dxa" w:w="3024"/>
          </w:tcPr>
          <w:p>
            <w:r>
              <w:rPr>
                <w:b/>
              </w:rPr>
              <w:t>Interpretación</w:t>
            </w:r>
          </w:p>
        </w:tc>
      </w:tr>
      <w:tr>
        <w:tc>
          <w:tcPr>
            <w:tcW w:type="dxa" w:w="3024"/>
          </w:tcPr>
          <w:p>
            <w:r>
              <w:t>Latencia de conexión ZMQ</w:t>
            </w:r>
          </w:p>
        </w:tc>
        <w:tc>
          <w:tcPr>
            <w:tcW w:type="dxa" w:w="3024"/>
          </w:tcPr>
          <w:p>
            <w:r>
              <w:t>150 ms</w:t>
            </w:r>
          </w:p>
        </w:tc>
        <w:tc>
          <w:tcPr>
            <w:tcW w:type="dxa" w:w="3024"/>
          </w:tcPr>
          <w:p>
            <w:r>
              <w:t>Aceptable; única al inicio del experimento</w:t>
            </w:r>
          </w:p>
        </w:tc>
      </w:tr>
      <w:tr>
        <w:tc>
          <w:tcPr>
            <w:tcW w:type="dxa" w:w="3024"/>
          </w:tcPr>
          <w:p>
            <w:r>
              <w:t>Versión del servidor</w:t>
            </w:r>
          </w:p>
        </w:tc>
        <w:tc>
          <w:tcPr>
            <w:tcW w:type="dxa" w:w="3024"/>
          </w:tcPr>
          <w:p>
            <w:r>
              <w:t>41000 (V4.10.0)</w:t>
            </w:r>
          </w:p>
        </w:tc>
        <w:tc>
          <w:tcPr>
            <w:tcW w:type="dxa" w:w="3024"/>
          </w:tcPr>
          <w:p>
            <w:r>
              <w:t>Coincide con el bundle empaquetado</w:t>
            </w:r>
          </w:p>
        </w:tc>
      </w:tr>
      <w:tr>
        <w:tc>
          <w:tcPr>
            <w:tcW w:type="dxa" w:w="3024"/>
          </w:tcPr>
          <w:p>
            <w:r>
              <w:t>Latencia por step</w:t>
            </w:r>
          </w:p>
        </w:tc>
        <w:tc>
          <w:tcPr>
            <w:tcW w:type="dxa" w:w="3024"/>
          </w:tcPr>
          <w:p>
            <w:r>
              <w:t>18 ms (mean)</w:t>
            </w:r>
          </w:p>
        </w:tc>
        <w:tc>
          <w:tcPr>
            <w:tcW w:type="dxa" w:w="3024"/>
          </w:tcPr>
          <w:p>
            <w:r>
              <w:t>Permite ~55 Hz, suficiente para visual servoing</w:t>
            </w:r>
          </w:p>
        </w:tc>
      </w:tr>
      <w:tr>
        <w:tc>
          <w:tcPr>
            <w:tcW w:type="dxa" w:w="3024"/>
          </w:tcPr>
          <w:p>
            <w:r>
              <w:t>Tiempo simulado avanzado</w:t>
            </w:r>
          </w:p>
        </w:tc>
        <w:tc>
          <w:tcPr>
            <w:tcW w:type="dxa" w:w="3024"/>
          </w:tcPr>
          <w:p>
            <w:r>
              <w:t>5.00 s exactos</w:t>
            </w:r>
          </w:p>
        </w:tc>
        <w:tc>
          <w:tcPr>
            <w:tcW w:type="dxa" w:w="3024"/>
          </w:tcPr>
          <w:p>
            <w:r>
              <w:t>Determinismo del scheduler de la simulación</w:t>
            </w:r>
          </w:p>
        </w:tc>
      </w:tr>
      <w:tr>
        <w:tc>
          <w:tcPr>
            <w:tcW w:type="dxa" w:w="3024"/>
          </w:tcPr>
          <w:p>
            <w:r>
              <w:t>Resolución del render</w:t>
            </w:r>
          </w:p>
        </w:tc>
        <w:tc>
          <w:tcPr>
            <w:tcW w:type="dxa" w:w="3024"/>
          </w:tcPr>
          <w:p>
            <w:r>
              <w:t>640×480 RGB</w:t>
            </w:r>
          </w:p>
        </w:tc>
        <w:tc>
          <w:tcPr>
            <w:tcW w:type="dxa" w:w="3024"/>
          </w:tcPr>
          <w:p>
            <w:r>
              <w:t>Adecuada para detección y debug visual</w:t>
            </w:r>
          </w:p>
        </w:tc>
      </w:tr>
      <w:tr>
        <w:tc>
          <w:tcPr>
            <w:tcW w:type="dxa" w:w="3024"/>
          </w:tcPr>
          <w:p>
            <w:r>
              <w:t>Intensidad media del frame</w:t>
            </w:r>
          </w:p>
        </w:tc>
        <w:tc>
          <w:tcPr>
            <w:tcW w:type="dxa" w:w="3024"/>
          </w:tcPr>
          <w:p>
            <w:r>
              <w:t>152.9 (rango [0, 255])</w:t>
            </w:r>
          </w:p>
        </w:tc>
        <w:tc>
          <w:tcPr>
            <w:tcW w:type="dxa" w:w="3024"/>
          </w:tcPr>
          <w:p>
            <w:r>
              <w:t>Frame no degenerado; iluminación correcta</w:t>
            </w:r>
          </w:p>
        </w:tc>
      </w:tr>
    </w:tbl>
    <w:p>
      <w:pPr>
        <w:jc w:val="center"/>
      </w:pPr>
      <w:r>
        <w:t>Tabla 5.2 — Métricas del smoke test del 2026-04-27. Fuente: experiments/results/coppelia_smoke/smoke_test_result.json.</w:t>
      </w:r>
    </w:p>
    <w:p>
      <w:pPr>
        <w:jc w:val="center"/>
      </w:pPr>
      <w:r>
        <w:drawing>
          <wp:inline xmlns:a="http://schemas.openxmlformats.org/drawingml/2006/main" xmlns:pic="http://schemas.openxmlformats.org/drawingml/2006/picture">
            <wp:extent cx="4320000" cy="3240000"/>
            <wp:docPr id="5130" name="Picture 5130"/>
            <wp:cNvGraphicFramePr>
              <a:graphicFrameLocks noChangeAspect="1"/>
            </wp:cNvGraphicFramePr>
            <a:graphic>
              <a:graphicData uri="http://schemas.openxmlformats.org/drawingml/2006/picture">
                <pic:pic>
                  <pic:nvPicPr>
                    <pic:cNvPr id="0" name="coppelia_overview_pickandplace.png"/>
                    <pic:cNvPicPr/>
                  </pic:nvPicPr>
                  <pic:blipFill>
                    <a:blip r:embed="rId22"/>
                    <a:stretch>
                      <a:fillRect/>
                    </a:stretch>
                  </pic:blipFill>
                  <pic:spPr>
                    <a:xfrm>
                      <a:off x="0" y="0"/>
                      <a:ext cx="4320000" cy="3240000"/>
                    </a:xfrm>
                    <a:prstGeom prst="rect"/>
                  </pic:spPr>
                </pic:pic>
              </a:graphicData>
            </a:graphic>
          </wp:inline>
        </w:drawing>
      </w:r>
    </w:p>
    <w:p>
      <w:pPr>
        <w:jc w:val="center"/>
      </w:pPr>
      <w:r>
        <w:t>Figura 5.2 — Render cenital de la escena pickAndPlaceDemo tras 5 s de simulación: la cinta transportadora alimenta cajas de tres colores hacia la zona de detección, donde la lógica interna del simulador las redirige según el color identificado por la cámara.</w:t>
      </w:r>
    </w:p>
    <w:p>
      <w:pPr/>
      <w:r>
        <w:t>Limitaciones reconocidas: la escena pickAndPlaceDemo.ttt valida la conexión ZMQ y el render, pero no incluye un brazo manipulador con los handles /UR5, /Franka, /tip esperados por el wrapper src/simulation/coppeliasim_bridge.py. La autoría de una escena dedicada con UR5 + pinza Robotiq + bin de objetos T-LESS/YCB-V queda como trabajo futuro explícito; lo demostrado aquí es la infraestructura Python ↔ simulación, ortogonal a la escena concreta. Adicionalmente, la addon de cinemática inversa y la integración con MoveIt 2 (vía src/simulation/ros2_interface.py contenedorizada en docker/Dockerfile) son piezas ortogonales no ejecutadas en este experimento.</w:t>
      </w:r>
    </w:p>
    <w:p w14:paraId="395B94F1" w14:textId="77777777" w:rsidR="009C485E" w:rsidRPr="0097635A" w:rsidRDefault="009C485E" w:rsidP="009C485E">
      <w:pPr>
        <w:pStyle w:val="Heading1"/>
      </w:pPr>
      <w:bookmarkStart w:id="12" w:name="_Toc150762238"/>
      <w:r>
        <w:t>Conclusiones y trabajo futuro</w:t>
      </w:r>
      <w:bookmarkEnd w:id="12"/>
    </w:p>
    <w:p w14:paraId="096DA13E" w14:textId="77777777" w:rsidR="00DC03D1" w:rsidRDefault="000F7682">
      <w:r>
        <w:t>Este capítulo presenta las conclusiones derivadas del trabajo realizado y las líneas de investigación futura identificadas durante el desarrollo del proyecto.</w:t>
      </w:r>
    </w:p>
    <w:p w14:paraId="4DCF8A22" w14:textId="77777777" w:rsidR="004D1005" w:rsidRPr="0097635A" w:rsidRDefault="004D1005" w:rsidP="003B2360">
      <w:pPr>
        <w:pStyle w:val="Heading2"/>
      </w:pPr>
      <w:bookmarkStart w:id="13" w:name="_Toc150762239"/>
      <w:r>
        <w:t>Conclusiones</w:t>
      </w:r>
      <w:bookmarkEnd w:id="13"/>
    </w:p>
    <w:p>
      <w:pPr/>
      <w:r>
        <w:t>Este Trabajo Fin de Máster ha planteado, implementado y validado un pipeline de estimación de pose 6-DoF y planificación de agarre para bin picking robótico basado en arquitecturas Transformer (FoundationPose) y modelos de difusión (Diffusion Policy). Los resultados experimentales obtenidos sobre los datasets BOP YCB-Video y T-LESS confirman la viabilidad del enfoque y permiten extraer las siguientes conclusiones, ordenadas por objetivo específico:</w:t>
      </w:r>
    </w:p>
    <w:p>
      <w:pPr/>
      <w:r>
        <w:t>Respecto al OE1 (revisión sistemática del estado del arte), se ha catalogado y analizado un conjunto de 30 publicaciones validadas con DOI o referencia arXiv, organizadas en seis categorías temáticas. La revisión identifica cuatro tendencias que sustentan el diseño del pipeline: el dominio de las arquitecturas Transformer, la formulación matemáticamente rigurosa de los modelos de difusión, la madurez del benchmark BOP como estándar de evaluación y la importancia de la reproducibilidad mediante datos sintéticos y entornos contenerizados.</w:t>
      </w:r>
    </w:p>
    <w:p>
      <w:pPr/>
      <w:r>
        <w:t>Respecto al OE2 (formalización matemática), se ha desarrollado el sustento formal de las representaciones de rotación en SO(3), las parametrizaciones en SE(3), los mecanismos de atención multi-cabeza y los procesos estocásticos subyacentes a Diffusion Policy. La implementación de las funciones exp/log de Lie groups, la representación 6D continua y las métricas BOP completas en el módulo src/utils del repositorio sirve como soporte verificado mediante 77 pruebas unitarias automatizadas.</w:t>
      </w:r>
    </w:p>
    <w:p>
      <w:pPr/>
      <w:r>
        <w:t>Respecto al OE3 (evaluación cuantitativa), FoundationPose alcanza un ADD mediano de 4.17 mm en YCB-V y 2.90 mm en T-LESS, con AUC ADD-S de 0.959 y 0.983 respectivamente. Los recalls ADD-S a 10 mm superan el 96% en ambos datasets, lo que indica que el método produce poses cuya distancia simétrica al ground truth es inferior a 1 cm en la práctica totalidad de los casos. Estos valores son competitivos con los reportados en el paper original (Wen et al., CVPR 2024) y con los baselines oficiales del BOP Challenge 2022, aunque la comparación directa requiere matización: el toolkit BOP oficial calcula AR sobre VSD/MSSD/MSPD, métrica no implementada localmente por sus dependencias nativas. Se ha optado por reportar ADD/ADD-S por su menor coste computacional y por ser comparables a los resultados de FoundationPose reportados en su publicación original.</w:t>
      </w:r>
    </w:p>
    <w:p>
      <w:pPr/>
      <w:r>
        <w:t>Respecto al OE4 (validación del pipeline integrado), la arquitectura del sistema —percepción con FoundationPose, planificación con el wrapper Diffusion Policy y simulación con CoppeliaSim Edu V4.10.0 vía ZMQ Remote API— se ha implementado y validado a tres niveles: (i) tests unitarios automatizados (77/77 verdes) sobre los módulos matemáticos y de planificación; (ii) un smoke test reproducible (Cap. 5.Y) que establece la conexión Python ↔ CoppeliaSim, carga la escena estándar pickAndPlaceDemo.ttt, ejecuta 100 pasos de simulación stepped (5 s sim time, 18 ms/step) y captura un render del vision sensor; (iii) un entorno reproducible mediante lockfile Colab + contenedor Docker GPU con dependencias congeladas. La integración con ROS 2 Humble y MoveIt 2 está contenedorizada en docker/Dockerfile como infraestructura, pero su ejecución end-to-end (control articular real desde topics ROS) queda como trabajo futuro explícito. El repositorio incluye los JSON de resultados, las predicciones por frame, las figuras del Capítulo 4 y una RUN_CARD que documenta hardware, commit, schema de checkpoint y fixes aplicados, garantizando la reproducibilidad por terceros.</w:t>
      </w:r>
    </w:p>
    <w:p>
      <w:pPr/>
      <w:r>
        <w:t>Como balance general, los resultados validan empíricamente la hipótesis central del trabajo: las arquitecturas Transformer pre-entrenadas a gran escala (FoundationPose) proporcionan estimaciones de pose 6-DoF de calidad industrial sin necesidad de reentrenamiento por objeto, y su combinación con técnicas generativas de planificación constituye una vía prometedora para la automatización del bin picking en escenarios reales. Las limitaciones identificadas y las líneas de investigación derivadas se discuten en la sección siguiente.</w:t>
      </w:r>
    </w:p>
    <w:p w14:paraId="641AADC9" w14:textId="77777777" w:rsidR="007A5E65" w:rsidRPr="0097635A" w:rsidRDefault="007A5E65" w:rsidP="003B2360">
      <w:pPr>
        <w:pStyle w:val="Heading2"/>
      </w:pPr>
      <w:bookmarkStart w:id="14" w:name="_Toc54278735"/>
      <w:bookmarkStart w:id="15" w:name="_Toc150762240"/>
      <w:r>
        <w:t>Trabajo futuro</w:t>
      </w:r>
      <w:bookmarkEnd w:id="14"/>
      <w:bookmarkEnd w:id="15"/>
    </w:p>
    <w:p w14:paraId="6E89EB8E" w14:textId="77777777" w:rsidR="009C485E" w:rsidRPr="0097635A" w:rsidRDefault="0021542C" w:rsidP="0021542C">
      <w:r>
        <w:t>Como trabajo futuro se plantean las siguientes líneas: (a) integración de agentes LLM para planificación de alto nivel en tareas de bin picking complejas, (b) transferencia del pipeline a hardware real con cámaras Intel RealSense, (c) entrenamiento con datos sintéticos generados mediante domain randomization en Isaac Sim, (d) extensión a estimación de pose de categoría (category-level) para generalización a objetos no vistos, y (e) optimización del pipeline para inferencia en tiempo real en plataformas edge (NVIDIA Jetson).</w:t>
      </w:r>
    </w:p>
    <w:p w14:paraId="3C1EAA3C" w14:textId="77777777" w:rsidR="00A75783" w:rsidRPr="0097635A" w:rsidRDefault="00A75783">
      <w:r>
        <w:br w:type="page"/>
      </w:r>
    </w:p>
    <w:p w14:paraId="7F759F2D" w14:textId="77777777" w:rsidR="00A75783" w:rsidRPr="0097635A" w:rsidRDefault="00A75783" w:rsidP="00194057">
      <w:pPr>
        <w:pStyle w:val="Ttulo1sinnumerar"/>
      </w:pPr>
      <w:bookmarkStart w:id="16" w:name="_Toc150762241"/>
      <w:r>
        <w:t>Referencias bibliográficas</w:t>
      </w:r>
      <w:bookmarkEnd w:id="16"/>
    </w:p>
    <w:p w14:paraId="5E688A51" w14:textId="77777777" w:rsidR="00DC03D1" w:rsidRDefault="000F7682">
      <w:pPr>
        <w:pStyle w:val="Referenciasbibliogrficas"/>
      </w:pPr>
      <w:r>
        <w:rPr>
          <w:lang w:val="es-ES"/>
        </w:rPr>
        <w:t xml:space="preserve">Chi, C., Feng, S., Du, Y., Xu, Z., Cousineau, E., Burchfiel, B., &amp; Song, S. (2023). </w:t>
      </w:r>
      <w:r>
        <w:t xml:space="preserve">Diffusion Policy: Visuomotor Policy Learning via Action Diffusion. En </w:t>
      </w:r>
      <w:r>
        <w:rPr>
          <w:i/>
          <w:iCs/>
        </w:rPr>
        <w:t>Robotics: Science and Systems (RSS)</w:t>
      </w:r>
      <w:r>
        <w:t>. https://arxiv.org/abs/2303.04137</w:t>
      </w:r>
    </w:p>
    <w:p w14:paraId="6B8F20C3" w14:textId="77777777" w:rsidR="00DC03D1" w:rsidRDefault="000F7682">
      <w:pPr>
        <w:pStyle w:val="Referenciasbibliogrficas"/>
      </w:pPr>
      <w:r>
        <w:rPr>
          <w:lang w:val="es-ES"/>
        </w:rPr>
        <w:t xml:space="preserve">Cordeiro, A. J. V., Souza, J. P., Rocha, L. F., Cunha, J. B., &amp; Figueiredo, D. (2025). </w:t>
      </w:r>
      <w:r>
        <w:t xml:space="preserve">A Review of Visual Perception for Robotic Bin-Picking. </w:t>
      </w:r>
      <w:r>
        <w:rPr>
          <w:i/>
          <w:iCs/>
        </w:rPr>
        <w:t>Robotics and Autonomous Systems</w:t>
      </w:r>
      <w:r>
        <w:t>. https://doi.org/10.1016/j.robot.2025.105236</w:t>
      </w:r>
    </w:p>
    <w:p w14:paraId="6CE8C2C9" w14:textId="77777777" w:rsidR="00DC03D1" w:rsidRDefault="000F7682">
      <w:pPr>
        <w:pStyle w:val="Referenciasbibliogrficas"/>
      </w:pPr>
      <w:r>
        <w:t xml:space="preserve">Fang, H.-S., Wang, C., Gou, M., &amp; Lu, C. (2020). GraspNet-1Billion: A Large-Scale Benchmark for General Object Grasping. En </w:t>
      </w:r>
      <w:r>
        <w:rPr>
          <w:i/>
          <w:iCs/>
        </w:rPr>
        <w:t>Proceedings of the IEEE/CVF Conference on Computer Vision and Pattern Recognition</w:t>
      </w:r>
      <w:r>
        <w:t xml:space="preserve"> (CVPR). https://doi.org/10.1109/CVPR.2020.00733</w:t>
      </w:r>
    </w:p>
    <w:p w14:paraId="38859314" w14:textId="77777777" w:rsidR="00DC03D1" w:rsidRDefault="000F7682">
      <w:pPr>
        <w:pStyle w:val="Referenciasbibliogrficas"/>
      </w:pPr>
      <w:r>
        <w:rPr>
          <w:lang w:val="es-ES"/>
        </w:rPr>
        <w:t xml:space="preserve">Guan, B., Hao, Y., Wu, Q., Li, S., &amp; Fang, Y. (2024). </w:t>
      </w:r>
      <w:r>
        <w:t xml:space="preserve">A Systematic Survey on 6-DoF Object Pose Estimation. </w:t>
      </w:r>
      <w:r>
        <w:rPr>
          <w:i/>
          <w:iCs/>
        </w:rPr>
        <w:t>Sensors, 24</w:t>
      </w:r>
      <w:r>
        <w:t>(4), 1076. https://doi.org/10.3390/s24041076</w:t>
      </w:r>
    </w:p>
    <w:p w14:paraId="77683C0E" w14:textId="77777777" w:rsidR="00DC03D1" w:rsidRDefault="000F7682">
      <w:pPr>
        <w:pStyle w:val="Referenciasbibliogrficas"/>
      </w:pPr>
      <w:r>
        <w:t xml:space="preserve">Hagelskjær, F., &amp; Buch, A. G. (2022). ParaPose: Parameter and Domain Randomization Optimization for Pose Estimation Using Synthetic Data. En </w:t>
      </w:r>
      <w:r>
        <w:rPr>
          <w:i/>
          <w:iCs/>
        </w:rPr>
        <w:t>IEEE/RSJ International Conference on Intelligent Robots and Systems</w:t>
      </w:r>
      <w:r>
        <w:t xml:space="preserve"> (IROS). https://arxiv.org/abs/2203.00945</w:t>
      </w:r>
    </w:p>
    <w:p w14:paraId="74D4E476" w14:textId="77777777" w:rsidR="00DC03D1" w:rsidRDefault="000F7682">
      <w:pPr>
        <w:pStyle w:val="Referenciasbibliogrficas"/>
      </w:pPr>
      <w:r>
        <w:t xml:space="preserve">Ho, J., Jain, A., &amp; Abbeel, P. (2020). Denoising Diffusion Probabilistic Models. En </w:t>
      </w:r>
      <w:r>
        <w:rPr>
          <w:i/>
          <w:iCs/>
        </w:rPr>
        <w:t>Advances in Neural Information Processing Systems</w:t>
      </w:r>
      <w:r>
        <w:t xml:space="preserve"> (NeurIPS).</w:t>
      </w:r>
    </w:p>
    <w:p w14:paraId="264D7AFB" w14:textId="77777777" w:rsidR="00DC03D1" w:rsidRDefault="000F7682">
      <w:pPr>
        <w:pStyle w:val="Referenciasbibliogrficas"/>
      </w:pPr>
      <w:r>
        <w:rPr>
          <w:lang w:val="es-ES"/>
        </w:rPr>
        <w:t xml:space="preserve">Hodaň, T., Haluza, P., Obdržálek, Š., Matas, J., Lourakis, M., &amp; Zabulis, X. (2017). </w:t>
      </w:r>
      <w:r>
        <w:t xml:space="preserve">T-LESS: An RGB-D Dataset for 6D Pose Estimation of Texture-less Objects. En </w:t>
      </w:r>
      <w:r>
        <w:rPr>
          <w:i/>
          <w:iCs/>
        </w:rPr>
        <w:t>IEEE Winter Conference on Applications of Computer Vision</w:t>
      </w:r>
      <w:r>
        <w:t xml:space="preserve"> (WACV). https://doi.org/10.1109/WACV.2017.103</w:t>
      </w:r>
    </w:p>
    <w:p w14:paraId="0573A942" w14:textId="77777777" w:rsidR="00DC03D1" w:rsidRDefault="000F7682">
      <w:pPr>
        <w:pStyle w:val="Referenciasbibliogrficas"/>
      </w:pPr>
      <w:r>
        <w:t>Hodaň, T., Van Nguyen, N., Tyree, S., Guo, A., Fourmy, M., Labbé, Y., Sundermeyer, M., Wen, B., He, Y., Lee, J., Haluza, P., &amp; Obdržálek, Š. (2025). BOP Challenge 2024 on Model-Based and Model-Free 6D Object Pose Estimation. arXiv:2504.02812. https://arxiv.org/abs/2504.02812</w:t>
      </w:r>
    </w:p>
    <w:p w14:paraId="4130F3B0" w14:textId="77777777" w:rsidR="00DC03D1" w:rsidRDefault="000F7682">
      <w:pPr>
        <w:pStyle w:val="Referenciasbibliogrficas"/>
      </w:pPr>
      <w:r>
        <w:t>Huang, J., Liang, J., Hu, J., Sundermeyer, M., Yu, P. K. T., Navab, N., &amp; Busam, B. (2025). XYZ-IBD: A High-Precision Bin-Picking Dataset for Object 6D Pose Estimation. arXiv:2506.00599. https://arxiv.org/abs/2506.00599</w:t>
      </w:r>
    </w:p>
    <w:p w14:paraId="0E016EF2" w14:textId="77777777" w:rsidR="00DC03D1" w:rsidRDefault="000F7682">
      <w:pPr>
        <w:pStyle w:val="Referenciasbibliogrficas"/>
      </w:pPr>
      <w:r>
        <w:t>IndustryShapes (2026). IndustryShapes: An RGB-D Benchmark Dataset for 6D Object Pose Estimation of Industrial Assembly Components. arXiv:2602.05555. https://arxiv.org/abs/2602.05555</w:t>
      </w:r>
    </w:p>
    <w:p w14:paraId="680A02BE" w14:textId="77777777" w:rsidR="00DC03D1" w:rsidRDefault="000F7682">
      <w:pPr>
        <w:pStyle w:val="Referenciasbibliogrficas"/>
      </w:pPr>
      <w:r>
        <w:t xml:space="preserve">Kleeberger, K., Bormann, R., Kraus, W., &amp; Huber, M. F. (2020). A Survey on Learning-Based Robotic Grasping. </w:t>
      </w:r>
      <w:r>
        <w:rPr>
          <w:i/>
          <w:iCs/>
        </w:rPr>
        <w:t>Current Robotics Reports, 1</w:t>
      </w:r>
      <w:r>
        <w:t>, 239–249. https://doi.org/10.1007/s43154-020-00021-6</w:t>
      </w:r>
    </w:p>
    <w:p w14:paraId="63182224" w14:textId="77777777" w:rsidR="00DC03D1" w:rsidRDefault="000F7682">
      <w:pPr>
        <w:pStyle w:val="Referenciasbibliogrficas"/>
      </w:pPr>
      <w:r>
        <w:t xml:space="preserve">Konstantinou, C., Kampouroglou, N., Theodoris, N., Basamakis, F., Gkournelos, C., &amp; Makris, S. (2024). Leveraging Generative AI for Synthetic Data Generation. En </w:t>
      </w:r>
      <w:r>
        <w:rPr>
          <w:i/>
          <w:iCs/>
        </w:rPr>
        <w:t>Lecture Notes in Mechanical Engineering</w:t>
      </w:r>
      <w:r>
        <w:t>. Springer. https://doi.org/10.1007/978-3-031-86489-6_8</w:t>
      </w:r>
    </w:p>
    <w:p w14:paraId="2FE2A73B" w14:textId="77777777" w:rsidR="00DC03D1" w:rsidRDefault="000F7682">
      <w:pPr>
        <w:pStyle w:val="Referenciasbibliogrficas"/>
      </w:pPr>
      <w:r>
        <w:t xml:space="preserve">Labbé, Y., Manuelli, L., Mousavian, A., Tyree, S., &amp; Birchfield, S. (2022). MegaPose: 6D Pose Estimation of Novel Objects via Render &amp; Compare. En </w:t>
      </w:r>
      <w:r>
        <w:rPr>
          <w:i/>
          <w:iCs/>
        </w:rPr>
        <w:t>Conference on Robot Learning</w:t>
      </w:r>
      <w:r>
        <w:t xml:space="preserve"> (CoRL). https://arxiv.org/abs/2212.06870</w:t>
      </w:r>
    </w:p>
    <w:p w14:paraId="25364858" w14:textId="77777777" w:rsidR="00DC03D1" w:rsidRDefault="000F7682">
      <w:pPr>
        <w:pStyle w:val="Referenciasbibliogrficas"/>
      </w:pPr>
      <w:r>
        <w:t xml:space="preserve">Li, Z., Chen, W., &amp; Wang, S. (2025). Enhancing Position-Based Visual Servoing through Transformer-Based Acceleration-Level Reinforcement Learning. </w:t>
      </w:r>
      <w:r>
        <w:rPr>
          <w:i/>
          <w:iCs/>
        </w:rPr>
        <w:t>Complex &amp; Intelligent Systems</w:t>
      </w:r>
      <w:r>
        <w:t>, 11. https://doi.org/10.1007/s40747-025-02056-8</w:t>
      </w:r>
    </w:p>
    <w:p w14:paraId="2E821D81" w14:textId="77777777" w:rsidR="00DC03D1" w:rsidRDefault="000F7682">
      <w:pPr>
        <w:pStyle w:val="Referenciasbibliogrficas"/>
      </w:pPr>
      <w:r>
        <w:t xml:space="preserve">Liu, J., Sun, W., Yang, H., Zeng, Z., Liu, C., Zheng, J., Liu, X., Rahmani, H., Sebe, N., &amp; Mian, A. (2025a). Deep Learning-Based Object Pose Estimation: A Comprehensive Survey. </w:t>
      </w:r>
      <w:r>
        <w:rPr>
          <w:i/>
          <w:iCs/>
        </w:rPr>
        <w:t>International Journal of Computer Vision, 134</w:t>
      </w:r>
      <w:r>
        <w:t>. https://doi.org/10.1007/s11263-025-02646-6</w:t>
      </w:r>
    </w:p>
    <w:p w14:paraId="50B2A6EB" w14:textId="77777777" w:rsidR="00DC03D1" w:rsidRDefault="000F7682">
      <w:pPr>
        <w:pStyle w:val="Referenciasbibliogrficas"/>
      </w:pPr>
      <w:r>
        <w:rPr>
          <w:lang w:val="es-ES"/>
        </w:rPr>
        <w:t xml:space="preserve">Liu, S., Xu, F., &amp; Wu, C. (2024). </w:t>
      </w:r>
      <w:r>
        <w:t xml:space="preserve">CMT-6D: A Lightweight Iterative 6DoF Pose Estimation Network Based on Cross-Modal Transformer. </w:t>
      </w:r>
      <w:r>
        <w:rPr>
          <w:i/>
          <w:iCs/>
        </w:rPr>
        <w:t>The Visual Computer</w:t>
      </w:r>
      <w:r>
        <w:t>. https://doi.org/10.1007/s00371-024-03520-1</w:t>
      </w:r>
    </w:p>
    <w:p w14:paraId="70BA6307" w14:textId="77777777" w:rsidR="00DC03D1" w:rsidRDefault="000F7682">
      <w:pPr>
        <w:pStyle w:val="Referenciasbibliogrficas"/>
      </w:pPr>
      <w:r>
        <w:t xml:space="preserve">Liu, Y., Zhang, C., Dong, X., &amp; Ning, J. (2025b). Point Cloud-Based Deep Learning in Industrial Production: A Survey. </w:t>
      </w:r>
      <w:r>
        <w:rPr>
          <w:i/>
          <w:iCs/>
        </w:rPr>
        <w:t>ACM Computing Surveys, 57</w:t>
      </w:r>
      <w:r>
        <w:t>(7), 173. https://doi.org/10.1145/3715851</w:t>
      </w:r>
    </w:p>
    <w:p w14:paraId="397605B2" w14:textId="77777777" w:rsidR="00DC03D1" w:rsidRDefault="000F7682">
      <w:pPr>
        <w:pStyle w:val="Referenciasbibliogrficas"/>
      </w:pPr>
      <w:r>
        <w:t xml:space="preserve">Mo, N., Gan, W., Yokoya, N., &amp; Chen, S. (2022). ES6D: A Computation Efficient and Symmetry-Aware 6D Pose Regression Framework. En </w:t>
      </w:r>
      <w:r>
        <w:rPr>
          <w:i/>
          <w:iCs/>
        </w:rPr>
        <w:t>IEEE/CVF Conference on Computer Vision and Pattern Recognition</w:t>
      </w:r>
      <w:r>
        <w:t xml:space="preserve"> (CVPR). https://doi.org/10.1109/CVPR.2022.00666</w:t>
      </w:r>
    </w:p>
    <w:p w14:paraId="7FC544C4" w14:textId="77777777" w:rsidR="00DC03D1" w:rsidRDefault="000F7682">
      <w:pPr>
        <w:pStyle w:val="Referenciasbibliogrficas"/>
      </w:pPr>
      <w:r>
        <w:t xml:space="preserve">Moon, S., Son, H., Hur, D., &amp; Kim, S. (2024). GenFlow: Generalizable Recurrent Flow for 6D Pose Refinement of Novel Objects. En </w:t>
      </w:r>
      <w:r>
        <w:rPr>
          <w:i/>
          <w:iCs/>
        </w:rPr>
        <w:t>IEEE/CVF Conference on Computer Vision and Pattern Recognition</w:t>
      </w:r>
      <w:r>
        <w:t xml:space="preserve"> (CVPR). https://arxiv.org/abs/2403.11510</w:t>
      </w:r>
    </w:p>
    <w:p w14:paraId="4DEC21DE" w14:textId="77777777" w:rsidR="00DC03D1" w:rsidRDefault="000F7682">
      <w:pPr>
        <w:pStyle w:val="Referenciasbibliogrficas"/>
      </w:pPr>
      <w:r>
        <w:t xml:space="preserve">Murali, A., Eppner, C., Yang, X., Sundaralingam, B., &amp; Huang, S. (2024). Automating Smart Pick-and-Place with Intrinsic Flowstate and NVIDIA Isaac Manipulator. </w:t>
      </w:r>
      <w:r>
        <w:rPr>
          <w:i/>
          <w:iCs/>
        </w:rPr>
        <w:t>NVIDIA Technical Blog</w:t>
      </w:r>
      <w:r>
        <w:t>.</w:t>
      </w:r>
    </w:p>
    <w:p w14:paraId="76DC157D" w14:textId="77777777" w:rsidR="00DC03D1" w:rsidRDefault="000F7682">
      <w:pPr>
        <w:pStyle w:val="Referenciasbibliogrficas"/>
      </w:pPr>
      <w:r>
        <w:t xml:space="preserve">NVIDIA (2024). Generating Synthetic Datasets with Isaac Sim Data Replicator. </w:t>
      </w:r>
      <w:r>
        <w:rPr>
          <w:i/>
          <w:iCs/>
        </w:rPr>
        <w:t>NVIDIA Developer Blog</w:t>
      </w:r>
      <w:r>
        <w:t>. https://developer.nvidia.com/blog/generating-synthetic-datasets-isaac-sim-data-replicator/</w:t>
      </w:r>
    </w:p>
    <w:p w14:paraId="7431666D" w14:textId="77777777" w:rsidR="00DC03D1" w:rsidRDefault="000F7682">
      <w:pPr>
        <w:pStyle w:val="Referenciasbibliogrficas"/>
      </w:pPr>
      <w:r>
        <w:rPr>
          <w:lang w:val="es-ES"/>
        </w:rPr>
        <w:t xml:space="preserve">Qi, C. R., Su, H., Mo, K., &amp; Guibas, L. J. (2017a). </w:t>
      </w:r>
      <w:r>
        <w:t xml:space="preserve">PointNet: Deep Learning on Point Sets for 3D Classification and Segmentation. En </w:t>
      </w:r>
      <w:r>
        <w:rPr>
          <w:i/>
          <w:iCs/>
        </w:rPr>
        <w:t>IEEE/CVF Conference on Computer Vision and Pattern Recognition</w:t>
      </w:r>
      <w:r>
        <w:t xml:space="preserve"> (CVPR). https://doi.org/10.1109/CVPR.2017.16</w:t>
      </w:r>
    </w:p>
    <w:p w14:paraId="263353C4" w14:textId="77777777" w:rsidR="00DC03D1" w:rsidRDefault="000F7682">
      <w:pPr>
        <w:pStyle w:val="Referenciasbibliogrficas"/>
      </w:pPr>
      <w:r>
        <w:rPr>
          <w:lang w:val="es-ES"/>
        </w:rPr>
        <w:t xml:space="preserve">Qi, C. R., Yi, L., Su, H., &amp; Guibas, L. J. (2017b). </w:t>
      </w:r>
      <w:r>
        <w:t xml:space="preserve">PointNet++: Deep Hierarchical Feature Learning on Point Sets in a Metric Space. En </w:t>
      </w:r>
      <w:r>
        <w:rPr>
          <w:i/>
          <w:iCs/>
        </w:rPr>
        <w:t>Advances in Neural Information Processing Systems</w:t>
      </w:r>
      <w:r>
        <w:t xml:space="preserve"> (NeurIPS). https://doi.org/10.5555/3295222.3295263</w:t>
      </w:r>
    </w:p>
    <w:p w14:paraId="1A215CE6" w14:textId="77777777" w:rsidR="00DC03D1" w:rsidRDefault="000F7682">
      <w:pPr>
        <w:pStyle w:val="Referenciasbibliogrficas"/>
      </w:pPr>
      <w:r>
        <w:t xml:space="preserve">Ribeiro, E. G., Mendes, R. Q., &amp; Grassi, V. (2021). Real-Time Deep Learning Approach to Visual Servo Control and Grasp Detection. </w:t>
      </w:r>
      <w:r>
        <w:rPr>
          <w:i/>
          <w:iCs/>
        </w:rPr>
        <w:t>Robotics and Autonomous Systems</w:t>
      </w:r>
      <w:r>
        <w:t>, 139. https://doi.org/10.1016/j.robot.2021.103757</w:t>
      </w:r>
    </w:p>
    <w:p w14:paraId="0CF59D1A" w14:textId="77777777" w:rsidR="00DC03D1" w:rsidRDefault="000F7682">
      <w:pPr>
        <w:pStyle w:val="Referenciasbibliogrficas"/>
      </w:pPr>
      <w:r>
        <w:t>Solà, J., Deray, J., &amp; Atchuthan, D. (2018). A Micro Lie Theory for State Estimation in Robotics. arXiv:1812.01537. https://arxiv.org/abs/1812.01537</w:t>
      </w:r>
    </w:p>
    <w:p w14:paraId="4598B51A" w14:textId="77777777" w:rsidR="00DC03D1" w:rsidRDefault="000F7682">
      <w:pPr>
        <w:pStyle w:val="Referenciasbibliogrficas"/>
      </w:pPr>
      <w:r>
        <w:t xml:space="preserve">Song, Y., Sohl-Dickstein, J., Kingma, D. P., Kumar, A., Ermon, S., &amp; Poole, B. (2021). Score-Based Generative Modeling through Stochastic Differential Equations. En </w:t>
      </w:r>
      <w:r>
        <w:rPr>
          <w:i/>
          <w:iCs/>
        </w:rPr>
        <w:t>International Conference on Learning Representations</w:t>
      </w:r>
      <w:r>
        <w:t xml:space="preserve"> (ICLR).</w:t>
      </w:r>
    </w:p>
    <w:p w14:paraId="0E688B4D" w14:textId="77777777" w:rsidR="00DC03D1" w:rsidRDefault="000F7682">
      <w:pPr>
        <w:pStyle w:val="Referenciasbibliogrficas"/>
      </w:pPr>
      <w:r>
        <w:t xml:space="preserve">Stuelpnagel, J. (1964). On the Parametrization of the Three-Dimensional Rotation Group. </w:t>
      </w:r>
      <w:r>
        <w:rPr>
          <w:i/>
          <w:iCs/>
        </w:rPr>
        <w:t>SIAM Review, 6</w:t>
      </w:r>
      <w:r>
        <w:t>(4), 422–430.</w:t>
      </w:r>
    </w:p>
    <w:p w14:paraId="5BB4CF2E" w14:textId="77777777" w:rsidR="00DC03D1" w:rsidRDefault="000F7682">
      <w:pPr>
        <w:pStyle w:val="Referenciasbibliogrficas"/>
      </w:pPr>
      <w:r>
        <w:t xml:space="preserve">Sundermeyer, M., Hodaň, T., Labbé, Y., Wen, B., He, Y., Lee, J., Guo, A., Tyree, S., &amp; Birchfield, S. (2024). BOP Challenge 2023 on Detection, Segmentation and Pose Estimation of Seen and Unseen Rigid Objects. En </w:t>
      </w:r>
      <w:r>
        <w:rPr>
          <w:i/>
          <w:iCs/>
        </w:rPr>
        <w:t>IEEE/CVF Conference on Computer Vision and Pattern Recognition Workshops</w:t>
      </w:r>
      <w:r>
        <w:t xml:space="preserve"> (CVPRW).</w:t>
      </w:r>
    </w:p>
    <w:p w14:paraId="427CF91E" w14:textId="77777777" w:rsidR="00DC03D1" w:rsidRDefault="000F7682">
      <w:pPr>
        <w:pStyle w:val="Referenciasbibliogrficas"/>
      </w:pPr>
      <w:r>
        <w:t xml:space="preserve">Thalhammer, S., Bauer, D., Hönig, P., Weibel, J.-B., García-Rodríguez, J., &amp; Vincze, M. (2024). Challenges in Monocular 6D Object Pose Estimation for Robotics. </w:t>
      </w:r>
      <w:r>
        <w:rPr>
          <w:i/>
          <w:iCs/>
        </w:rPr>
        <w:t>IEEE Transactions on Robotics</w:t>
      </w:r>
      <w:r>
        <w:t>. https://doi.org/10.1109/TRO.2024.3433870</w:t>
      </w:r>
    </w:p>
    <w:p w14:paraId="4F6DD2D5" w14:textId="77777777" w:rsidR="00DC03D1" w:rsidRDefault="000F7682">
      <w:pPr>
        <w:pStyle w:val="Referenciasbibliogrficas"/>
      </w:pPr>
      <w:r>
        <w:rPr>
          <w:lang w:val="es-ES"/>
        </w:rPr>
        <w:t xml:space="preserve">Tripicchio, P., D’Avella, S., &amp; Avizzano, C. A. (2024). </w:t>
      </w:r>
      <w:r>
        <w:t xml:space="preserve">CEPB: A Cluttered Environment Photorealistic Bin-Picking Dataset. </w:t>
      </w:r>
      <w:r>
        <w:rPr>
          <w:i/>
          <w:iCs/>
        </w:rPr>
        <w:t>Frontiers in Robotics and AI</w:t>
      </w:r>
      <w:r>
        <w:t>, 11. https://doi.org/10.3389/frobt.2024.1222465</w:t>
      </w:r>
    </w:p>
    <w:p w14:paraId="433E148A" w14:textId="77777777" w:rsidR="00DC03D1" w:rsidRDefault="000F7682">
      <w:pPr>
        <w:pStyle w:val="Referenciasbibliogrficas"/>
      </w:pPr>
      <w:r>
        <w:t xml:space="preserve">Vaswani, A., Shazeer, N., Parmar, N., Uszkoreit, J., Jones, L., Gomez, A. N., Kaiser, Ł., &amp; Polosukhin, I. (2017). Attention Is All You Need. En </w:t>
      </w:r>
      <w:r>
        <w:rPr>
          <w:i/>
          <w:iCs/>
        </w:rPr>
        <w:t>Advances in Neural Information Processing Systems</w:t>
      </w:r>
      <w:r>
        <w:t xml:space="preserve"> (NeurIPS).</w:t>
      </w:r>
    </w:p>
    <w:p w14:paraId="3FA6BFD5" w14:textId="77777777" w:rsidR="00DC03D1" w:rsidRDefault="000F7682">
      <w:pPr>
        <w:pStyle w:val="Referenciasbibliogrficas"/>
      </w:pPr>
      <w:r>
        <w:rPr>
          <w:lang w:val="es-ES"/>
        </w:rPr>
        <w:t xml:space="preserve">Wang, C., Xu, D., Zhu, Y., Martín-Martín, R., Lu, C., Fei-Fei, L., &amp; Savarese, S. (2019). </w:t>
      </w:r>
      <w:r>
        <w:t xml:space="preserve">DenseFusion: 6D Object Pose Estimation by Iterative Dense Fusion. En </w:t>
      </w:r>
      <w:r>
        <w:rPr>
          <w:i/>
          <w:iCs/>
        </w:rPr>
        <w:t>IEEE/CVF Conference on Computer Vision and Pattern Recognition</w:t>
      </w:r>
      <w:r>
        <w:t xml:space="preserve"> (CVPR). https://arxiv.org/abs/1901.04780</w:t>
      </w:r>
    </w:p>
    <w:p w14:paraId="7B1A3614" w14:textId="77777777" w:rsidR="00DC03D1" w:rsidRDefault="000F7682">
      <w:pPr>
        <w:pStyle w:val="Referenciasbibliogrficas"/>
      </w:pPr>
      <w:r>
        <w:t xml:space="preserve">Wang, G., Manhardt, F., Tombari, F., &amp; Ji, X. (2021). GDR-Net: Geometry-Guided Direct Regression Network for Monocular 6D Object Pose Estimation. En </w:t>
      </w:r>
      <w:r>
        <w:rPr>
          <w:i/>
          <w:iCs/>
        </w:rPr>
        <w:t>IEEE/CVF Conference on Computer Vision and Pattern Recognition</w:t>
      </w:r>
      <w:r>
        <w:t xml:space="preserve"> (CVPR). https://arxiv.org/abs/2102.12145</w:t>
      </w:r>
    </w:p>
    <w:p w14:paraId="37998617" w14:textId="77777777" w:rsidR="00DC03D1" w:rsidRDefault="000F7682">
      <w:pPr>
        <w:pStyle w:val="Referenciasbibliogrficas"/>
      </w:pPr>
      <w:r>
        <w:t xml:space="preserve">Wen, B., Yang, W., Kautz, J., &amp; Birchfield, S. (2024). FoundationPose: Unified 6D Pose Estimation and Tracking of Novel Objects. En </w:t>
      </w:r>
      <w:r>
        <w:rPr>
          <w:i/>
          <w:iCs/>
        </w:rPr>
        <w:t>IEEE/CVF Conference on Computer Vision and Pattern Recognition</w:t>
      </w:r>
      <w:r>
        <w:t xml:space="preserve"> (CVPR). https://doi.org/10.1109/CVPR52733.2024.01692</w:t>
      </w:r>
    </w:p>
    <w:p w14:paraId="17B9FEB1" w14:textId="77777777" w:rsidR="00DC03D1" w:rsidRDefault="000F7682">
      <w:pPr>
        <w:pStyle w:val="Referenciasbibliogrficas"/>
      </w:pPr>
      <w:r>
        <w:t xml:space="preserve">Xiang, Y., Schmidt, T., Narayanan, V., &amp; Fox, D. (2018). PoseCNN: A Convolutional Neural Network for 6D Object Pose Estimation in Cluttered Scenes. En </w:t>
      </w:r>
      <w:r>
        <w:rPr>
          <w:i/>
          <w:iCs/>
        </w:rPr>
        <w:t>Robotics: Science and Systems (RSS)</w:t>
      </w:r>
      <w:r>
        <w:t>. https://doi.org/10.15607/RSS.2018.XIV.019</w:t>
      </w:r>
    </w:p>
    <w:p w14:paraId="556C9A13" w14:textId="77777777" w:rsidR="00DC03D1" w:rsidRDefault="000F7682">
      <w:pPr>
        <w:pStyle w:val="Referenciasbibliogrficas"/>
      </w:pPr>
      <w:r>
        <w:t>Xue, J., Gao, W., Wang, Y., Ji, C., Zhao, D., Yan, S., &amp; Zhang, S. (2025). High-Precision Transformer-Based Visual Servoing for Humanoid Robots in Aligning Tiny Objects. arXiv:2503.04862. https://arxiv.org/abs/2503.04862</w:t>
      </w:r>
    </w:p>
    <w:p w14:paraId="425FB992" w14:textId="77777777" w:rsidR="00DC03D1" w:rsidRDefault="000F7682">
      <w:pPr>
        <w:pStyle w:val="Referenciasbibliogrficas"/>
      </w:pPr>
      <w:r>
        <w:t xml:space="preserve">Zhou, Y., Barnes, C., Lu, J., Yang, J., &amp; Li, H. (2019). On the Continuity of Rotation Representations in Neural Networks. En </w:t>
      </w:r>
      <w:r>
        <w:rPr>
          <w:i/>
          <w:iCs/>
        </w:rPr>
        <w:t>IEEE/CVF Conference on Computer Vision and Pattern Recognition</w:t>
      </w:r>
      <w:r>
        <w:t xml:space="preserve"> (CVPR).</w:t>
      </w:r>
    </w:p>
    <w:p w14:paraId="6D5EFABE" w14:textId="77777777" w:rsidR="000D09A0" w:rsidRPr="0097635A" w:rsidRDefault="00016643" w:rsidP="00194057">
      <w:pPr>
        <w:pStyle w:val="Anexo"/>
      </w:pPr>
      <w:bookmarkStart w:id="17" w:name="_Toc150762242"/>
      <w:r>
        <w:t>Repositorio de código y reproducibilidad</w:t>
      </w:r>
      <w:bookmarkEnd w:id="17"/>
    </w:p>
    <w:p w14:paraId="6FC629A8" w14:textId="77777777" w:rsidR="00DC03D1" w:rsidRDefault="000F7682">
      <w:r>
        <w:t>El código fuente completo del proyecto, incluyendo los scripts de entrenamiento, evaluación y simulación, se encuentra disponible en un repositorio público de GitHub. La estructura del repositorio sigue las mejores prácticas de organización de proyectos de investigación reproducible.</w:t>
      </w:r>
    </w:p>
    <w:p w14:paraId="2038FBC2" w14:textId="77777777" w:rsidR="00DC03D1" w:rsidRDefault="00DC03D1"/>
    <w:p w14:paraId="451F0057" w14:textId="77777777" w:rsidR="00DC03D1" w:rsidRDefault="000F7682">
      <w:r>
        <w:t>El repositorio incluye: (a) los scripts de configuración del entorno con Docker y conda; (b) los notebooks de entrenamiento y evaluación de FoundationPose; (c) la implementación de Diffusion Policy para generación de trayectorias; (d) los archivos de configuración de CoppeliaSim y ROS 2; (e) los scripts de generación de datos sintéticos con NVIDIA Isaac Sim; y (f) la documentación completa de instalación y uso.</w:t>
      </w:r>
    </w:p>
    <w:p w14:paraId="515CF2A7" w14:textId="77777777" w:rsidR="00DC03D1" w:rsidRDefault="00DC03D1"/>
    <w:p w14:paraId="75D5E3D4" w14:textId="77777777" w:rsidR="00DC03D1" w:rsidRDefault="000F7682">
      <w:r>
        <w:t>Para garantizar la reproducibilidad de los experimentos, se proporcionan los archivos de configuración exactos (hiperparámetros, semillas aleatorias, versiones de dependencias) utilizados en cada experimento reportado en este trabajo. Las instrucciones detalladas de instalación y ejecución se encuentran en el archivo README.md del repositorio.</w:t>
      </w:r>
    </w:p>
    <w:sectPr w:rsidR="00DC03D1" w:rsidSect="000537B7">
      <w:headerReference w:type="default" r:id="rId15"/>
      <w:footerReference w:type="default" r:id="rId16"/>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78207" w14:textId="77777777" w:rsidR="005366A1" w:rsidRDefault="005366A1" w:rsidP="006403BD">
      <w:r>
        <w:separator/>
      </w:r>
    </w:p>
  </w:endnote>
  <w:endnote w:type="continuationSeparator" w:id="0">
    <w:p w14:paraId="6EBF773A" w14:textId="77777777" w:rsidR="005366A1" w:rsidRDefault="005366A1"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20B0604020202020204"/>
    <w:charset w:val="00"/>
    <w:family w:val="swiss"/>
    <w:pitch w:val="variable"/>
    <w:sig w:usb0="800000EF" w:usb1="5000207B" w:usb2="00000028" w:usb3="00000000" w:csb0="00000001" w:csb1="00000000"/>
  </w:font>
  <w:font w:name="UnitOT">
    <w:altName w:val="Segoe Script"/>
    <w:panose1 w:val="020B0604020202020204"/>
    <w:charset w:val="00"/>
    <w:family w:val="swiss"/>
    <w:pitch w:val="variable"/>
    <w:sig w:usb0="800000EF" w:usb1="5000207B" w:usb2="00000028" w:usb3="00000000" w:csb0="00000001"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C495" w14:textId="77777777" w:rsidR="005A3457" w:rsidRPr="00751A0E" w:rsidRDefault="005A3457"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54B3" w14:textId="77777777" w:rsidR="006A3B9B" w:rsidRDefault="006A3B9B">
    <w:pPr>
      <w:pStyle w:val="Footer"/>
      <w:jc w:val="right"/>
    </w:pPr>
  </w:p>
  <w:p w14:paraId="6D9A3835" w14:textId="77777777" w:rsidR="006A3B9B" w:rsidRDefault="006A3B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D75C" w14:textId="77777777" w:rsidR="005A3457" w:rsidRPr="00751A0E" w:rsidRDefault="005A3457"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6BB5E" w14:textId="77777777" w:rsidR="005366A1" w:rsidRDefault="005366A1" w:rsidP="006403BD">
      <w:r>
        <w:separator/>
      </w:r>
    </w:p>
  </w:footnote>
  <w:footnote w:type="continuationSeparator" w:id="0">
    <w:p w14:paraId="1969D3AD" w14:textId="77777777" w:rsidR="005366A1" w:rsidRDefault="005366A1"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8443C" w14:textId="77777777" w:rsidR="005A3457" w:rsidRPr="00ED1546" w:rsidRDefault="005A3457" w:rsidP="00ED1546">
    <w:pPr>
      <w:pStyle w:val="Header"/>
      <w:spacing w:before="0" w:after="0" w:line="240" w:lineRule="auto"/>
      <w:jc w:val="right"/>
      <w:rPr>
        <w:rFonts w:asciiTheme="majorHAnsi" w:hAnsiTheme="majorHAnsi"/>
        <w:sz w:val="20"/>
      </w:rPr>
    </w:pPr>
    <w:r w:rsidRPr="00ED1546">
      <w:rPr>
        <w:rFonts w:asciiTheme="majorHAnsi" w:hAnsiTheme="majorHAnsi"/>
        <w:sz w:val="20"/>
      </w:rPr>
      <w:t>Giocrisrai Godoy Bonillo &amp; José Miguel Carrasco</w:t>
    </w:r>
  </w:p>
  <w:p w14:paraId="3FAE7B60" w14:textId="77777777" w:rsidR="005A3457" w:rsidRPr="00ED1546" w:rsidRDefault="005A3457" w:rsidP="00ED1546">
    <w:pPr>
      <w:pStyle w:val="Header"/>
      <w:spacing w:before="0" w:after="0" w:line="240" w:lineRule="auto"/>
      <w:jc w:val="right"/>
      <w:rPr>
        <w:rFonts w:asciiTheme="majorHAnsi" w:hAnsiTheme="majorHAnsi"/>
        <w:sz w:val="20"/>
      </w:rPr>
    </w:pPr>
    <w:r w:rsidRPr="00ED1546">
      <w:rPr>
        <w:rFonts w:asciiTheme="majorHAnsi" w:hAnsiTheme="majorHAnsi"/>
        <w:sz w:val="20"/>
      </w:rPr>
      <w:t xml:space="preserve">Estimación de Pose 6-DoF para </w:t>
    </w:r>
    <w:proofErr w:type="spellStart"/>
    <w:r w:rsidRPr="00ED1546">
      <w:rPr>
        <w:rFonts w:asciiTheme="majorHAnsi" w:hAnsiTheme="majorHAnsi"/>
        <w:sz w:val="20"/>
      </w:rPr>
      <w:t>Bin</w:t>
    </w:r>
    <w:proofErr w:type="spellEnd"/>
    <w:r w:rsidRPr="00ED1546">
      <w:rPr>
        <w:rFonts w:asciiTheme="majorHAnsi" w:hAnsiTheme="majorHAnsi"/>
        <w:sz w:val="20"/>
      </w:rPr>
      <w:t xml:space="preserve"> Picking Robótico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F5A77" w14:textId="77777777" w:rsidR="005A3457" w:rsidRPr="00ED1546" w:rsidRDefault="005A3457" w:rsidP="00ED1546">
    <w:pPr>
      <w:pStyle w:val="Header"/>
      <w:spacing w:before="0" w:after="0" w:line="240" w:lineRule="auto"/>
      <w:jc w:val="right"/>
      <w:rPr>
        <w:rFonts w:asciiTheme="majorHAnsi" w:hAnsiTheme="majorHAnsi"/>
        <w:sz w:val="20"/>
      </w:rPr>
    </w:pPr>
    <w:r w:rsidRPr="00ED1546">
      <w:rPr>
        <w:rFonts w:asciiTheme="majorHAnsi" w:hAnsiTheme="majorHAnsi"/>
        <w:sz w:val="20"/>
      </w:rPr>
      <w:t>Giocrisrai Godoy Bonillo &amp; José Miguel Carrasco</w:t>
    </w:r>
  </w:p>
  <w:p w14:paraId="628E53CE" w14:textId="77777777" w:rsidR="005A3457" w:rsidRPr="00ED1546" w:rsidRDefault="005A3457" w:rsidP="00ED1546">
    <w:pPr>
      <w:pStyle w:val="Header"/>
      <w:spacing w:before="0" w:after="0" w:line="240" w:lineRule="auto"/>
      <w:jc w:val="right"/>
      <w:rPr>
        <w:rFonts w:asciiTheme="majorHAnsi" w:hAnsiTheme="majorHAnsi"/>
        <w:sz w:val="20"/>
      </w:rPr>
    </w:pPr>
    <w:r w:rsidRPr="00ED1546">
      <w:rPr>
        <w:rFonts w:asciiTheme="majorHAnsi" w:hAnsiTheme="majorHAnsi"/>
        <w:sz w:val="20"/>
      </w:rPr>
      <w:t xml:space="preserve">Estimación de Pose 6-DoF para </w:t>
    </w:r>
    <w:proofErr w:type="spellStart"/>
    <w:r w:rsidRPr="00ED1546">
      <w:rPr>
        <w:rFonts w:asciiTheme="majorHAnsi" w:hAnsiTheme="majorHAnsi"/>
        <w:sz w:val="20"/>
      </w:rPr>
      <w:t>Bin</w:t>
    </w:r>
    <w:proofErr w:type="spellEnd"/>
    <w:r w:rsidRPr="00ED1546">
      <w:rPr>
        <w:rFonts w:asciiTheme="majorHAnsi" w:hAnsiTheme="majorHAnsi"/>
        <w:sz w:val="20"/>
      </w:rPr>
      <w:t xml:space="preserve"> Picking Robótico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2" w15:restartNumberingAfterBreak="0">
    <w:nsid w:val="3A877D64"/>
    <w:multiLevelType w:val="singleLevel"/>
    <w:tmpl w:val="FEE2AA5C"/>
    <w:lvl w:ilvl="0">
      <w:start w:val="1"/>
      <w:numFmt w:val="decimal"/>
      <w:pStyle w:val="References"/>
      <w:lvlText w:val="[%1]"/>
      <w:lvlJc w:val="left"/>
      <w:pPr>
        <w:ind w:left="360" w:hanging="360"/>
      </w:pPr>
      <w:rPr>
        <w:color w:val="0098CD"/>
      </w:rPr>
    </w:lvl>
  </w:abstractNum>
  <w:abstractNum w:abstractNumId="3" w15:restartNumberingAfterBreak="0">
    <w:nsid w:val="3B142707"/>
    <w:multiLevelType w:val="hybridMultilevel"/>
    <w:tmpl w:val="7F4E48C6"/>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84314226">
    <w:abstractNumId w:val="1"/>
  </w:num>
  <w:num w:numId="2" w16cid:durableId="1691681586">
    <w:abstractNumId w:val="5"/>
  </w:num>
  <w:num w:numId="3" w16cid:durableId="1476945282">
    <w:abstractNumId w:val="6"/>
  </w:num>
  <w:num w:numId="4" w16cid:durableId="1443454092">
    <w:abstractNumId w:val="0"/>
  </w:num>
  <w:num w:numId="5" w16cid:durableId="1789814387">
    <w:abstractNumId w:val="4"/>
  </w:num>
  <w:num w:numId="6" w16cid:durableId="480194691">
    <w:abstractNumId w:val="2"/>
  </w:num>
  <w:num w:numId="7" w16cid:durableId="1832333353">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stylePaneSortMethod w:val="00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5BD4"/>
    <w:rsid w:val="00014025"/>
    <w:rsid w:val="000146A6"/>
    <w:rsid w:val="00015094"/>
    <w:rsid w:val="00016643"/>
    <w:rsid w:val="00023BE3"/>
    <w:rsid w:val="00026621"/>
    <w:rsid w:val="00034DA4"/>
    <w:rsid w:val="000537B7"/>
    <w:rsid w:val="0006025E"/>
    <w:rsid w:val="000757FF"/>
    <w:rsid w:val="00081560"/>
    <w:rsid w:val="000937BC"/>
    <w:rsid w:val="000A0C0B"/>
    <w:rsid w:val="000A1265"/>
    <w:rsid w:val="000C2447"/>
    <w:rsid w:val="000C624A"/>
    <w:rsid w:val="000D09A0"/>
    <w:rsid w:val="000D1932"/>
    <w:rsid w:val="000F42EF"/>
    <w:rsid w:val="000F7682"/>
    <w:rsid w:val="0010504F"/>
    <w:rsid w:val="0011634E"/>
    <w:rsid w:val="00124D8C"/>
    <w:rsid w:val="00126897"/>
    <w:rsid w:val="00146C72"/>
    <w:rsid w:val="001526D9"/>
    <w:rsid w:val="001533BB"/>
    <w:rsid w:val="0016080C"/>
    <w:rsid w:val="00171619"/>
    <w:rsid w:val="0017435A"/>
    <w:rsid w:val="00176DFC"/>
    <w:rsid w:val="001850D9"/>
    <w:rsid w:val="00194057"/>
    <w:rsid w:val="001944D1"/>
    <w:rsid w:val="00194B88"/>
    <w:rsid w:val="00195E7F"/>
    <w:rsid w:val="001A29E8"/>
    <w:rsid w:val="001A3165"/>
    <w:rsid w:val="001A4BFA"/>
    <w:rsid w:val="001B0057"/>
    <w:rsid w:val="001B59CD"/>
    <w:rsid w:val="001C2AB4"/>
    <w:rsid w:val="001C2FB3"/>
    <w:rsid w:val="001C4B71"/>
    <w:rsid w:val="001C4EA4"/>
    <w:rsid w:val="001D46C8"/>
    <w:rsid w:val="001D76E5"/>
    <w:rsid w:val="001E62CD"/>
    <w:rsid w:val="001F22C4"/>
    <w:rsid w:val="001F37A1"/>
    <w:rsid w:val="001F61B8"/>
    <w:rsid w:val="0020605D"/>
    <w:rsid w:val="002149EE"/>
    <w:rsid w:val="0021542C"/>
    <w:rsid w:val="00223A04"/>
    <w:rsid w:val="00227A5A"/>
    <w:rsid w:val="00227BF4"/>
    <w:rsid w:val="00235CE3"/>
    <w:rsid w:val="00244EAD"/>
    <w:rsid w:val="00252BBA"/>
    <w:rsid w:val="0025564D"/>
    <w:rsid w:val="00266CBA"/>
    <w:rsid w:val="00266D31"/>
    <w:rsid w:val="00270D44"/>
    <w:rsid w:val="002816FD"/>
    <w:rsid w:val="00292C36"/>
    <w:rsid w:val="0029473C"/>
    <w:rsid w:val="002A3D58"/>
    <w:rsid w:val="002A4CD5"/>
    <w:rsid w:val="002A6890"/>
    <w:rsid w:val="002B25E8"/>
    <w:rsid w:val="002B3E99"/>
    <w:rsid w:val="002D0FA0"/>
    <w:rsid w:val="002E0043"/>
    <w:rsid w:val="002E1779"/>
    <w:rsid w:val="002E3F1D"/>
    <w:rsid w:val="002F3360"/>
    <w:rsid w:val="00304ADB"/>
    <w:rsid w:val="00316FAF"/>
    <w:rsid w:val="00324C79"/>
    <w:rsid w:val="00334C5A"/>
    <w:rsid w:val="00343430"/>
    <w:rsid w:val="0035146D"/>
    <w:rsid w:val="0035422F"/>
    <w:rsid w:val="00363727"/>
    <w:rsid w:val="00380D34"/>
    <w:rsid w:val="00382E79"/>
    <w:rsid w:val="00391C0B"/>
    <w:rsid w:val="00393D89"/>
    <w:rsid w:val="00395494"/>
    <w:rsid w:val="003B2360"/>
    <w:rsid w:val="003B7446"/>
    <w:rsid w:val="003C1583"/>
    <w:rsid w:val="003C474D"/>
    <w:rsid w:val="003C610A"/>
    <w:rsid w:val="003D1A96"/>
    <w:rsid w:val="003E5632"/>
    <w:rsid w:val="003F087B"/>
    <w:rsid w:val="003F152D"/>
    <w:rsid w:val="003F24BC"/>
    <w:rsid w:val="004040E2"/>
    <w:rsid w:val="00404547"/>
    <w:rsid w:val="0041259A"/>
    <w:rsid w:val="00423E85"/>
    <w:rsid w:val="00436FA0"/>
    <w:rsid w:val="00444FB9"/>
    <w:rsid w:val="0045079B"/>
    <w:rsid w:val="004521FF"/>
    <w:rsid w:val="00457450"/>
    <w:rsid w:val="00461D3A"/>
    <w:rsid w:val="0048445F"/>
    <w:rsid w:val="00490EAC"/>
    <w:rsid w:val="00495F9C"/>
    <w:rsid w:val="004C5ECE"/>
    <w:rsid w:val="004C7346"/>
    <w:rsid w:val="004D1005"/>
    <w:rsid w:val="004D2991"/>
    <w:rsid w:val="004D3460"/>
    <w:rsid w:val="004D6D85"/>
    <w:rsid w:val="004E3CED"/>
    <w:rsid w:val="004E5AA8"/>
    <w:rsid w:val="00506743"/>
    <w:rsid w:val="00507BAD"/>
    <w:rsid w:val="00514164"/>
    <w:rsid w:val="00521A79"/>
    <w:rsid w:val="00523745"/>
    <w:rsid w:val="00530DB6"/>
    <w:rsid w:val="005326CE"/>
    <w:rsid w:val="005339E9"/>
    <w:rsid w:val="005366A1"/>
    <w:rsid w:val="00543E64"/>
    <w:rsid w:val="00554E61"/>
    <w:rsid w:val="00572BD0"/>
    <w:rsid w:val="00577F32"/>
    <w:rsid w:val="00585E1D"/>
    <w:rsid w:val="00596904"/>
    <w:rsid w:val="005A2B04"/>
    <w:rsid w:val="005A3457"/>
    <w:rsid w:val="005B73E4"/>
    <w:rsid w:val="005C420C"/>
    <w:rsid w:val="005D549B"/>
    <w:rsid w:val="005E6F2D"/>
    <w:rsid w:val="005E7833"/>
    <w:rsid w:val="005F51CB"/>
    <w:rsid w:val="00610C3C"/>
    <w:rsid w:val="00617425"/>
    <w:rsid w:val="00633FD3"/>
    <w:rsid w:val="006403BD"/>
    <w:rsid w:val="00652595"/>
    <w:rsid w:val="0066672A"/>
    <w:rsid w:val="00667191"/>
    <w:rsid w:val="00670B3B"/>
    <w:rsid w:val="00673D42"/>
    <w:rsid w:val="0067645E"/>
    <w:rsid w:val="00680682"/>
    <w:rsid w:val="00680ED3"/>
    <w:rsid w:val="00692D10"/>
    <w:rsid w:val="006A3B9B"/>
    <w:rsid w:val="006A56B3"/>
    <w:rsid w:val="006B02A7"/>
    <w:rsid w:val="006B24A2"/>
    <w:rsid w:val="006C7423"/>
    <w:rsid w:val="006C7C7B"/>
    <w:rsid w:val="006D2818"/>
    <w:rsid w:val="006D3307"/>
    <w:rsid w:val="006D7B06"/>
    <w:rsid w:val="006F0976"/>
    <w:rsid w:val="006F2CB9"/>
    <w:rsid w:val="0070276C"/>
    <w:rsid w:val="007100A8"/>
    <w:rsid w:val="0071011F"/>
    <w:rsid w:val="007112A8"/>
    <w:rsid w:val="00711904"/>
    <w:rsid w:val="0071223F"/>
    <w:rsid w:val="007159F3"/>
    <w:rsid w:val="00715BFB"/>
    <w:rsid w:val="00727AE8"/>
    <w:rsid w:val="007350CA"/>
    <w:rsid w:val="0074033B"/>
    <w:rsid w:val="0074134A"/>
    <w:rsid w:val="00741CE5"/>
    <w:rsid w:val="00750978"/>
    <w:rsid w:val="00751A0E"/>
    <w:rsid w:val="00752B5B"/>
    <w:rsid w:val="00780189"/>
    <w:rsid w:val="0078084E"/>
    <w:rsid w:val="00783DCC"/>
    <w:rsid w:val="007869EA"/>
    <w:rsid w:val="00793FDB"/>
    <w:rsid w:val="007A5E65"/>
    <w:rsid w:val="007B5453"/>
    <w:rsid w:val="007B559F"/>
    <w:rsid w:val="007B76BF"/>
    <w:rsid w:val="007D2D0D"/>
    <w:rsid w:val="007E0007"/>
    <w:rsid w:val="007E0C1A"/>
    <w:rsid w:val="007E36F2"/>
    <w:rsid w:val="007E6E39"/>
    <w:rsid w:val="007E7C6C"/>
    <w:rsid w:val="008023E8"/>
    <w:rsid w:val="00821D63"/>
    <w:rsid w:val="00822F4A"/>
    <w:rsid w:val="008233DF"/>
    <w:rsid w:val="00830D4E"/>
    <w:rsid w:val="00834548"/>
    <w:rsid w:val="008430A8"/>
    <w:rsid w:val="00844099"/>
    <w:rsid w:val="008470F8"/>
    <w:rsid w:val="00853F7B"/>
    <w:rsid w:val="008544B8"/>
    <w:rsid w:val="00863C43"/>
    <w:rsid w:val="00877054"/>
    <w:rsid w:val="008958B1"/>
    <w:rsid w:val="008A30B1"/>
    <w:rsid w:val="008B756B"/>
    <w:rsid w:val="008C01FC"/>
    <w:rsid w:val="008C16EB"/>
    <w:rsid w:val="008E0EE0"/>
    <w:rsid w:val="008E30AB"/>
    <w:rsid w:val="008E6502"/>
    <w:rsid w:val="008E73F9"/>
    <w:rsid w:val="008F4048"/>
    <w:rsid w:val="008F4972"/>
    <w:rsid w:val="009029B9"/>
    <w:rsid w:val="00916684"/>
    <w:rsid w:val="00920246"/>
    <w:rsid w:val="009406FE"/>
    <w:rsid w:val="0094326D"/>
    <w:rsid w:val="009450AB"/>
    <w:rsid w:val="00945CD3"/>
    <w:rsid w:val="00950833"/>
    <w:rsid w:val="009656E1"/>
    <w:rsid w:val="009676F8"/>
    <w:rsid w:val="0097635A"/>
    <w:rsid w:val="00977178"/>
    <w:rsid w:val="0099686A"/>
    <w:rsid w:val="009C485E"/>
    <w:rsid w:val="009F6F17"/>
    <w:rsid w:val="00A15D5A"/>
    <w:rsid w:val="00A416DD"/>
    <w:rsid w:val="00A50BD3"/>
    <w:rsid w:val="00A5109A"/>
    <w:rsid w:val="00A70BBB"/>
    <w:rsid w:val="00A725E6"/>
    <w:rsid w:val="00A75783"/>
    <w:rsid w:val="00A95BB0"/>
    <w:rsid w:val="00A976F0"/>
    <w:rsid w:val="00AA322D"/>
    <w:rsid w:val="00AD7947"/>
    <w:rsid w:val="00AE2447"/>
    <w:rsid w:val="00AF792C"/>
    <w:rsid w:val="00B002ED"/>
    <w:rsid w:val="00B026E1"/>
    <w:rsid w:val="00B15936"/>
    <w:rsid w:val="00B171CB"/>
    <w:rsid w:val="00B224C3"/>
    <w:rsid w:val="00B34BF5"/>
    <w:rsid w:val="00B52554"/>
    <w:rsid w:val="00B56FB6"/>
    <w:rsid w:val="00B72696"/>
    <w:rsid w:val="00B741A7"/>
    <w:rsid w:val="00B878B9"/>
    <w:rsid w:val="00BA0DC8"/>
    <w:rsid w:val="00BA53E5"/>
    <w:rsid w:val="00BC4BAE"/>
    <w:rsid w:val="00BD1D22"/>
    <w:rsid w:val="00BD36B5"/>
    <w:rsid w:val="00BD4B50"/>
    <w:rsid w:val="00BE7060"/>
    <w:rsid w:val="00C03714"/>
    <w:rsid w:val="00C07474"/>
    <w:rsid w:val="00C10A65"/>
    <w:rsid w:val="00C177C7"/>
    <w:rsid w:val="00C37CD5"/>
    <w:rsid w:val="00C40A09"/>
    <w:rsid w:val="00C443D1"/>
    <w:rsid w:val="00C46647"/>
    <w:rsid w:val="00C53F14"/>
    <w:rsid w:val="00C55AB1"/>
    <w:rsid w:val="00C609A9"/>
    <w:rsid w:val="00C75C49"/>
    <w:rsid w:val="00C81157"/>
    <w:rsid w:val="00C831F9"/>
    <w:rsid w:val="00C84740"/>
    <w:rsid w:val="00C92760"/>
    <w:rsid w:val="00C93626"/>
    <w:rsid w:val="00C94353"/>
    <w:rsid w:val="00CA0785"/>
    <w:rsid w:val="00CA539C"/>
    <w:rsid w:val="00CA5790"/>
    <w:rsid w:val="00CC4B0E"/>
    <w:rsid w:val="00CD368B"/>
    <w:rsid w:val="00CE2B01"/>
    <w:rsid w:val="00D34BAD"/>
    <w:rsid w:val="00D51898"/>
    <w:rsid w:val="00D61FDF"/>
    <w:rsid w:val="00D702FC"/>
    <w:rsid w:val="00D92F3B"/>
    <w:rsid w:val="00D952D8"/>
    <w:rsid w:val="00D9661B"/>
    <w:rsid w:val="00D971A1"/>
    <w:rsid w:val="00DA0FCE"/>
    <w:rsid w:val="00DB1A02"/>
    <w:rsid w:val="00DB3B27"/>
    <w:rsid w:val="00DC03D1"/>
    <w:rsid w:val="00DC17B0"/>
    <w:rsid w:val="00E0130A"/>
    <w:rsid w:val="00E07ECA"/>
    <w:rsid w:val="00E11B5A"/>
    <w:rsid w:val="00E14AC2"/>
    <w:rsid w:val="00E362AE"/>
    <w:rsid w:val="00E371E7"/>
    <w:rsid w:val="00E37826"/>
    <w:rsid w:val="00E408BE"/>
    <w:rsid w:val="00E466A2"/>
    <w:rsid w:val="00E47760"/>
    <w:rsid w:val="00E51372"/>
    <w:rsid w:val="00E51985"/>
    <w:rsid w:val="00E52664"/>
    <w:rsid w:val="00E64115"/>
    <w:rsid w:val="00E769EB"/>
    <w:rsid w:val="00E76BE8"/>
    <w:rsid w:val="00E76BFE"/>
    <w:rsid w:val="00E80126"/>
    <w:rsid w:val="00E80E19"/>
    <w:rsid w:val="00E87B75"/>
    <w:rsid w:val="00E9413C"/>
    <w:rsid w:val="00EA4786"/>
    <w:rsid w:val="00EA710F"/>
    <w:rsid w:val="00EB0E4E"/>
    <w:rsid w:val="00EC383F"/>
    <w:rsid w:val="00EC4EA9"/>
    <w:rsid w:val="00EC62F6"/>
    <w:rsid w:val="00EC771B"/>
    <w:rsid w:val="00ED1546"/>
    <w:rsid w:val="00ED3731"/>
    <w:rsid w:val="00ED5904"/>
    <w:rsid w:val="00F12593"/>
    <w:rsid w:val="00F249DB"/>
    <w:rsid w:val="00F2584D"/>
    <w:rsid w:val="00F25AF3"/>
    <w:rsid w:val="00F56AC0"/>
    <w:rsid w:val="00F629E7"/>
    <w:rsid w:val="00F90893"/>
    <w:rsid w:val="00F92B4D"/>
    <w:rsid w:val="00FA0670"/>
    <w:rsid w:val="00FA21E3"/>
    <w:rsid w:val="00FA762C"/>
    <w:rsid w:val="00FA7727"/>
    <w:rsid w:val="00FB3F67"/>
    <w:rsid w:val="00FB7625"/>
    <w:rsid w:val="00FC4A7B"/>
    <w:rsid w:val="00FD731D"/>
    <w:rsid w:val="00FE29CC"/>
    <w:rsid w:val="00FE43BC"/>
    <w:rsid w:val="00FF32DA"/>
    <w:rsid w:val="00FF703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A47AB"/>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Heading1">
    <w:name w:val="heading 1"/>
    <w:basedOn w:val="Normal"/>
    <w:next w:val="Normal"/>
    <w:link w:val="Heading1Char"/>
    <w:uiPriority w:val="9"/>
    <w:qFormat/>
    <w:rsid w:val="000D09A0"/>
    <w:pPr>
      <w:keepNext/>
      <w:numPr>
        <w:numId w:val="3"/>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3"/>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3"/>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1"/>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1"/>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1"/>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customStyle="1" w:styleId="NoSpacingChar">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customStyle="1" w:styleId="BalloonTextChar">
    <w:name w:val="Balloon Text Char"/>
    <w:link w:val="BalloonText"/>
    <w:uiPriority w:val="99"/>
    <w:semiHidden/>
    <w:rsid w:val="00507BAD"/>
    <w:rPr>
      <w:rFonts w:ascii="Tahoma" w:eastAsia="Times New Roman" w:hAnsi="Tahoma"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customStyle="1" w:styleId="HeaderChar">
    <w:name w:val="Header Char"/>
    <w:link w:val="Header"/>
    <w:uiPriority w:val="99"/>
    <w:rsid w:val="006A56B3"/>
    <w:rPr>
      <w:rFonts w:ascii="Times New Roman" w:eastAsia="Times New Roman" w:hAnsi="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customStyle="1" w:styleId="FooterChar">
    <w:name w:val="Footer Char"/>
    <w:link w:val="Footer"/>
    <w:uiPriority w:val="99"/>
    <w:rsid w:val="006A56B3"/>
    <w:rPr>
      <w:rFonts w:ascii="Times New Roman" w:eastAsia="Times New Roman" w:hAnsi="Times New Roman"/>
      <w:sz w:val="24"/>
      <w:szCs w:val="24"/>
    </w:rPr>
  </w:style>
  <w:style w:type="character" w:customStyle="1" w:styleId="Heading1Char">
    <w:name w:val="Heading 1 Char"/>
    <w:link w:val="Heading1"/>
    <w:uiPriority w:val="9"/>
    <w:rsid w:val="000D09A0"/>
    <w:rPr>
      <w:rFonts w:asciiTheme="majorHAnsi" w:eastAsia="Times New Roman" w:hAnsiTheme="majorHAnsi"/>
      <w:bCs/>
      <w:caps/>
      <w:color w:val="0098CD"/>
      <w:kern w:val="32"/>
      <w:sz w:val="36"/>
      <w:szCs w:val="32"/>
    </w:rPr>
  </w:style>
  <w:style w:type="character" w:customStyle="1" w:styleId="Heading2Char">
    <w:name w:val="Heading 2 Char"/>
    <w:link w:val="Heading2"/>
    <w:uiPriority w:val="9"/>
    <w:rsid w:val="000D09A0"/>
    <w:rPr>
      <w:rFonts w:asciiTheme="majorHAnsi" w:eastAsia="Times New Roman" w:hAnsiTheme="majorHAnsi" w:cs="Arial"/>
      <w:bCs/>
      <w:iCs/>
      <w:caps/>
      <w:color w:val="0098CD"/>
      <w:sz w:val="28"/>
      <w:szCs w:val="28"/>
    </w:rPr>
  </w:style>
  <w:style w:type="character" w:customStyle="1" w:styleId="Heading3Char">
    <w:name w:val="Heading 3 Char"/>
    <w:link w:val="Heading3"/>
    <w:uiPriority w:val="9"/>
    <w:rsid w:val="000D09A0"/>
    <w:rPr>
      <w:rFonts w:asciiTheme="majorHAnsi" w:eastAsia="Times New Roman"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customStyle="1" w:styleId="TitleChar">
    <w:name w:val="Title Char"/>
    <w:aliases w:val="Subtitulos 3er nivel Char"/>
    <w:link w:val="Title"/>
    <w:uiPriority w:val="10"/>
    <w:rsid w:val="00D971A1"/>
    <w:rPr>
      <w:rFonts w:ascii="Arial" w:eastAsia="Times New Roman" w:hAnsi="Arial" w:cs="Times New Roman"/>
      <w:bCs/>
      <w:i/>
      <w:kern w:val="28"/>
      <w:sz w:val="24"/>
      <w:szCs w:val="32"/>
    </w:rPr>
  </w:style>
  <w:style w:type="character" w:customStyle="1" w:styleId="Heading4Char">
    <w:name w:val="Heading 4 Char"/>
    <w:link w:val="Heading4"/>
    <w:uiPriority w:val="9"/>
    <w:rsid w:val="000D09A0"/>
    <w:rPr>
      <w:rFonts w:asciiTheme="minorHAnsi" w:eastAsia="Times New Roman"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customStyle="1" w:styleId="QuoteChar">
    <w:name w:val="Quote Char"/>
    <w:link w:val="Quote"/>
    <w:uiPriority w:val="29"/>
    <w:rsid w:val="00514164"/>
    <w:rPr>
      <w:rFonts w:ascii="Arial" w:eastAsia="Times New Roman" w:hAnsi="Arial"/>
      <w:iCs/>
      <w:color w:val="404040"/>
      <w:sz w:val="22"/>
      <w:szCs w:val="24"/>
    </w:rPr>
  </w:style>
  <w:style w:type="paragraph" w:styleId="TOCHeading">
    <w:name w:val="TOC Heading"/>
    <w:aliases w:val="Tablas"/>
    <w:basedOn w:val="TableofFigures"/>
    <w:next w:val="Normal"/>
    <w:uiPriority w:val="39"/>
    <w:unhideWhenUsed/>
    <w:qFormat/>
    <w:rsid w:val="008C16EB"/>
    <w:pPr>
      <w:tabs>
        <w:tab w:val="right" w:leader="dot" w:pos="9060"/>
      </w:tabs>
    </w:pPr>
    <w:rPr>
      <w:rFonts w:cs="Arial"/>
      <w:b/>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customStyle="1" w:styleId="Heading5Char">
    <w:name w:val="Heading 5 Char"/>
    <w:link w:val="Heading5"/>
    <w:uiPriority w:val="9"/>
    <w:semiHidden/>
    <w:rsid w:val="00C84740"/>
    <w:rPr>
      <w:rFonts w:eastAsia="Times New Roman"/>
      <w:b/>
      <w:bCs/>
      <w:i/>
      <w:iCs/>
      <w:sz w:val="26"/>
      <w:szCs w:val="26"/>
    </w:rPr>
  </w:style>
  <w:style w:type="character" w:customStyle="1" w:styleId="Heading6Char">
    <w:name w:val="Heading 6 Char"/>
    <w:link w:val="Heading6"/>
    <w:uiPriority w:val="9"/>
    <w:semiHidden/>
    <w:rsid w:val="00C84740"/>
    <w:rPr>
      <w:rFonts w:eastAsia="Times New Roman"/>
      <w:b/>
      <w:bCs/>
      <w:sz w:val="24"/>
      <w:szCs w:val="22"/>
    </w:rPr>
  </w:style>
  <w:style w:type="character" w:customStyle="1" w:styleId="Heading7Char">
    <w:name w:val="Heading 7 Char"/>
    <w:link w:val="Heading7"/>
    <w:uiPriority w:val="9"/>
    <w:semiHidden/>
    <w:rsid w:val="00C84740"/>
    <w:rPr>
      <w:rFonts w:eastAsia="Times New Roman"/>
      <w:sz w:val="24"/>
      <w:szCs w:val="24"/>
    </w:rPr>
  </w:style>
  <w:style w:type="character" w:customStyle="1" w:styleId="Heading8Char">
    <w:name w:val="Heading 8 Char"/>
    <w:link w:val="Heading8"/>
    <w:uiPriority w:val="9"/>
    <w:semiHidden/>
    <w:rsid w:val="00C84740"/>
    <w:rPr>
      <w:rFonts w:eastAsia="Times New Roman"/>
      <w:i/>
      <w:iCs/>
      <w:sz w:val="24"/>
      <w:szCs w:val="24"/>
    </w:rPr>
  </w:style>
  <w:style w:type="character" w:customStyle="1" w:styleId="Heading9Char">
    <w:name w:val="Heading 9 Char"/>
    <w:link w:val="Heading9"/>
    <w:uiPriority w:val="9"/>
    <w:semiHidden/>
    <w:rsid w:val="00C84740"/>
    <w:rPr>
      <w:rFonts w:ascii="Calibri Light" w:eastAsia="Times New Roman" w:hAnsi="Calibri Light"/>
      <w:sz w:val="24"/>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annotation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annotation text"/>
    <w:basedOn w:val="Normal"/>
    <w:link w:val="CommentTextChar"/>
    <w:uiPriority w:val="99"/>
    <w:semiHidden/>
    <w:unhideWhenUsed/>
    <w:rsid w:val="00793FDB"/>
    <w:rPr>
      <w:sz w:val="20"/>
      <w:szCs w:val="20"/>
    </w:rPr>
  </w:style>
  <w:style w:type="character" w:customStyle="1" w:styleId="CommentTextChar">
    <w:name w:val="Comment Text Char"/>
    <w:link w:val="CommentText"/>
    <w:uiPriority w:val="99"/>
    <w:semiHidden/>
    <w:rsid w:val="00793FDB"/>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793FDB"/>
    <w:rPr>
      <w:b/>
      <w:bCs/>
    </w:rPr>
  </w:style>
  <w:style w:type="character" w:customStyle="1" w:styleId="CommentSubjectChar">
    <w:name w:val="Comment Subject Char"/>
    <w:link w:val="CommentSubject"/>
    <w:uiPriority w:val="99"/>
    <w:semiHidden/>
    <w:rsid w:val="00793FDB"/>
    <w:rPr>
      <w:rFonts w:ascii="Arial" w:eastAsia="Times New Roman" w:hAnsi="Arial"/>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eofFigures">
    <w:name w:val="table of figures"/>
    <w:basedOn w:val="Normal"/>
    <w:next w:val="Normal"/>
    <w:uiPriority w:val="99"/>
    <w:unhideWhenUsed/>
    <w:rsid w:val="001C2AB4"/>
  </w:style>
  <w:style w:type="paragraph" w:styleId="Index1">
    <w:name w:val="index 1"/>
    <w:basedOn w:val="Normal"/>
    <w:next w:val="Normal"/>
    <w:autoRedefine/>
    <w:uiPriority w:val="99"/>
    <w:semiHidden/>
    <w:unhideWhenUsed/>
    <w:qFormat/>
    <w:rsid w:val="00977178"/>
    <w:pPr>
      <w:numPr>
        <w:numId w:val="2"/>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Footer"/>
    <w:link w:val="PginaCar"/>
    <w:qFormat/>
    <w:rsid w:val="00EC771B"/>
    <w:pPr>
      <w:jc w:val="right"/>
    </w:pPr>
    <w:rPr>
      <w:rFonts w:cs="Arial"/>
      <w:szCs w:val="22"/>
    </w:rPr>
  </w:style>
  <w:style w:type="character" w:customStyle="1" w:styleId="TtulondicesCar">
    <w:name w:val="Título Índices Car"/>
    <w:basedOn w:val="DefaultParagraphFont"/>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FooterChar"/>
    <w:link w:val="Pgina"/>
    <w:rsid w:val="00EC771B"/>
    <w:rPr>
      <w:rFonts w:asciiTheme="minorHAnsi" w:eastAsia="Times New Roman" w:hAnsiTheme="minorHAnsi" w:cs="Arial"/>
      <w:sz w:val="22"/>
      <w:szCs w:val="22"/>
    </w:rPr>
  </w:style>
  <w:style w:type="paragraph" w:styleId="ListParagraph">
    <w:name w:val="List Paragraph"/>
    <w:basedOn w:val="Normal"/>
    <w:uiPriority w:val="34"/>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customStyle="1" w:styleId="FootnoteTextChar">
    <w:name w:val="Footnote Text Char"/>
    <w:basedOn w:val="DefaultParagraphFont"/>
    <w:link w:val="FootnoteText"/>
    <w:rsid w:val="00FA0670"/>
    <w:rPr>
      <w:rFonts w:asciiTheme="minorHAnsi" w:eastAsia="Times New Roman" w:hAnsiTheme="minorHAnsi"/>
    </w:rPr>
  </w:style>
  <w:style w:type="character" w:styleId="FootnoteReference">
    <w:name w:val="footnote reference"/>
    <w:basedOn w:val="DefaultParagraphFont"/>
    <w:uiPriority w:val="99"/>
    <w:semiHidden/>
    <w:unhideWhenUsed/>
    <w:rsid w:val="00FA0670"/>
    <w:rPr>
      <w:vertAlign w:val="superscript"/>
    </w:rPr>
  </w:style>
  <w:style w:type="paragraph" w:customStyle="1" w:styleId="Ttulo1sinnumerar">
    <w:name w:val="Título 1 sin numerar"/>
    <w:basedOn w:val="Heading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AbstractKeytitle">
    <w:name w:val="Abstract_Key_title"/>
    <w:link w:val="AbstractKeytitleCar"/>
    <w:qFormat/>
    <w:rsid w:val="003C1583"/>
    <w:pPr>
      <w:pBdr>
        <w:bottom w:val="single" w:sz="4" w:space="1" w:color="0098CD"/>
      </w:pBdr>
      <w:tabs>
        <w:tab w:val="left" w:pos="8080"/>
      </w:tabs>
      <w:spacing w:after="227" w:line="259" w:lineRule="auto"/>
      <w:jc w:val="both"/>
    </w:pPr>
    <w:rPr>
      <w:rFonts w:ascii="Arial" w:eastAsia="UnitOT" w:hAnsi="Arial" w:cs="Arial"/>
      <w:b/>
      <w:smallCaps/>
      <w:color w:val="0097CD"/>
      <w:w w:val="115"/>
      <w:sz w:val="28"/>
      <w:szCs w:val="28"/>
      <w:lang w:val="en-US" w:eastAsia="en-US"/>
    </w:rPr>
  </w:style>
  <w:style w:type="paragraph" w:customStyle="1" w:styleId="Abstract">
    <w:name w:val="Abstract"/>
    <w:qFormat/>
    <w:rsid w:val="003C1583"/>
    <w:pPr>
      <w:spacing w:after="57" w:line="216" w:lineRule="exact"/>
      <w:jc w:val="both"/>
    </w:pPr>
    <w:rPr>
      <w:rFonts w:ascii="Times New Roman" w:eastAsia="Times New Roman" w:hAnsi="Times New Roman"/>
      <w:sz w:val="18"/>
      <w:szCs w:val="18"/>
      <w:lang w:val="en-US" w:eastAsia="en-US"/>
    </w:rPr>
  </w:style>
  <w:style w:type="character" w:customStyle="1" w:styleId="AbstractKeytitleCar">
    <w:name w:val="Abstract_Key_title Car"/>
    <w:basedOn w:val="DefaultParagraphFont"/>
    <w:link w:val="AbstractKeytitle"/>
    <w:rsid w:val="003C1583"/>
    <w:rPr>
      <w:rFonts w:ascii="Arial" w:eastAsia="UnitOT" w:hAnsi="Arial" w:cs="Arial"/>
      <w:b/>
      <w:smallCaps/>
      <w:color w:val="0097CD"/>
      <w:w w:val="115"/>
      <w:sz w:val="28"/>
      <w:szCs w:val="28"/>
      <w:lang w:val="en-US" w:eastAsia="en-US"/>
    </w:rPr>
  </w:style>
  <w:style w:type="paragraph" w:customStyle="1" w:styleId="Keywords">
    <w:name w:val="Keywords"/>
    <w:qFormat/>
    <w:rsid w:val="003C1583"/>
    <w:pPr>
      <w:spacing w:after="160" w:line="259" w:lineRule="auto"/>
    </w:pPr>
    <w:rPr>
      <w:rFonts w:ascii="Times New Roman" w:eastAsia="Times New Roman" w:hAnsi="Times New Roman"/>
      <w:sz w:val="18"/>
      <w:szCs w:val="18"/>
      <w:lang w:val="en-US" w:eastAsia="en-US"/>
    </w:rPr>
  </w:style>
  <w:style w:type="paragraph" w:customStyle="1" w:styleId="TableTitle">
    <w:name w:val="Table Title"/>
    <w:basedOn w:val="Normal"/>
    <w:qFormat/>
    <w:rsid w:val="008233DF"/>
    <w:pPr>
      <w:widowControl w:val="0"/>
      <w:autoSpaceDE w:val="0"/>
      <w:autoSpaceDN w:val="0"/>
      <w:spacing w:before="113" w:after="57" w:line="240" w:lineRule="auto"/>
      <w:jc w:val="center"/>
    </w:pPr>
    <w:rPr>
      <w:rFonts w:ascii="Times New Roman" w:hAnsi="Times New Roman"/>
      <w:smallCaps/>
      <w:sz w:val="16"/>
      <w:szCs w:val="16"/>
      <w:lang w:val="en-US" w:eastAsia="en-US"/>
    </w:rPr>
  </w:style>
  <w:style w:type="paragraph" w:customStyle="1" w:styleId="FigureCaption">
    <w:name w:val="FigureCaption"/>
    <w:basedOn w:val="Normal"/>
    <w:qFormat/>
    <w:rsid w:val="008233DF"/>
    <w:pPr>
      <w:widowControl w:val="0"/>
      <w:autoSpaceDE w:val="0"/>
      <w:autoSpaceDN w:val="0"/>
      <w:spacing w:before="113" w:after="113" w:line="240" w:lineRule="auto"/>
      <w:jc w:val="left"/>
    </w:pPr>
    <w:rPr>
      <w:rFonts w:ascii="Times New Roman" w:hAnsi="Times New Roman"/>
      <w:sz w:val="16"/>
      <w:szCs w:val="20"/>
      <w:lang w:val="en-US" w:eastAsia="en-US"/>
    </w:rPr>
  </w:style>
  <w:style w:type="paragraph" w:customStyle="1" w:styleId="TableText">
    <w:name w:val="TableText"/>
    <w:basedOn w:val="Normal"/>
    <w:qFormat/>
    <w:rsid w:val="008233DF"/>
    <w:pPr>
      <w:widowControl w:val="0"/>
      <w:autoSpaceDE w:val="0"/>
      <w:autoSpaceDN w:val="0"/>
      <w:spacing w:before="0" w:after="57" w:line="240" w:lineRule="auto"/>
      <w:ind w:firstLine="210"/>
      <w:jc w:val="left"/>
    </w:pPr>
    <w:rPr>
      <w:rFonts w:ascii="Times New Roman" w:hAnsi="Times New Roman"/>
      <w:sz w:val="16"/>
      <w:szCs w:val="20"/>
      <w:lang w:val="en-US" w:eastAsia="en-US"/>
    </w:rPr>
  </w:style>
  <w:style w:type="paragraph" w:customStyle="1" w:styleId="References">
    <w:name w:val="References"/>
    <w:basedOn w:val="Normal"/>
    <w:qFormat/>
    <w:rsid w:val="008233DF"/>
    <w:pPr>
      <w:widowControl w:val="0"/>
      <w:numPr>
        <w:numId w:val="6"/>
      </w:numPr>
      <w:autoSpaceDE w:val="0"/>
      <w:autoSpaceDN w:val="0"/>
      <w:spacing w:before="0" w:after="14" w:line="240" w:lineRule="auto"/>
      <w:ind w:left="397" w:hanging="397"/>
    </w:pPr>
    <w:rPr>
      <w:rFonts w:ascii="Times New Roman" w:hAnsi="Times New Roman"/>
      <w:sz w:val="16"/>
      <w:szCs w:val="16"/>
      <w:lang w:val="en-US" w:eastAsia="en-US"/>
    </w:rPr>
  </w:style>
  <w:style w:type="paragraph" w:customStyle="1" w:styleId="Piedefoto-tabla">
    <w:name w:val="Pie de foto-tabla"/>
    <w:basedOn w:val="Normal"/>
    <w:next w:val="Normal"/>
    <w:uiPriority w:val="16"/>
    <w:qFormat/>
    <w:rsid w:val="00B52554"/>
    <w:pPr>
      <w:spacing w:after="0" w:line="276" w:lineRule="auto"/>
      <w:ind w:left="-113" w:right="-215"/>
      <w:jc w:val="center"/>
    </w:pPr>
    <w:rPr>
      <w:rFonts w:ascii="Calibri" w:hAnsi="Calibri" w:cs="UnitOT-Light"/>
      <w:iCs/>
      <w:color w:val="595959" w:themeColor="text1" w:themeTint="A6"/>
      <w:sz w:val="19"/>
      <w:szCs w:val="18"/>
      <w:lang w:val="en-US"/>
    </w:rPr>
  </w:style>
  <w:style w:type="character" w:styleId="UnresolvedMention">
    <w:name w:val="Unresolved Mention"/>
    <w:basedOn w:val="DefaultParagraphFont"/>
    <w:uiPriority w:val="99"/>
    <w:semiHidden/>
    <w:unhideWhenUsed/>
    <w:rsid w:val="003C474D"/>
    <w:rPr>
      <w:color w:val="605E5C"/>
      <w:shd w:val="clear" w:color="auto" w:fill="E1DFDD"/>
    </w:rPr>
  </w:style>
  <w:style w:type="paragraph" w:customStyle="1" w:styleId="CuadroCmoestudiaryReferencias">
    <w:name w:val="Cuadro «Cómo estudiar» y Referencias"/>
    <w:basedOn w:val="Normal"/>
    <w:uiPriority w:val="10"/>
    <w:qFormat/>
    <w:rsid w:val="000D193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table" w:styleId="GridTable4-Accent1">
    <w:name w:val="Grid Table 4 Accent 1"/>
    <w:basedOn w:val="TableNormal"/>
    <w:uiPriority w:val="49"/>
    <w:rsid w:val="00461D3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AF1F18-BD40-4DEA-81CE-A8C571440A5E}">
  <ds:schemaRefs>
    <ds:schemaRef ds:uri="http://schemas.microsoft.com/sharepoint/v3/contenttype/forms"/>
  </ds:schemaRefs>
</ds:datastoreItem>
</file>

<file path=customXml/itemProps2.xml><?xml version="1.0" encoding="utf-8"?>
<ds:datastoreItem xmlns:ds="http://schemas.openxmlformats.org/officeDocument/2006/customXml" ds:itemID="{515BB210-9981-4CA0-A73C-C3B925489931}">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68FB56F5-3CE8-4167-9790-3E517CF47AC9}">
  <ds:schemaRefs>
    <ds:schemaRef ds:uri="http://schemas.openxmlformats.org/officeDocument/2006/bibliography"/>
  </ds:schemaRefs>
</ds:datastoreItem>
</file>

<file path=customXml/itemProps4.xml><?xml version="1.0" encoding="utf-8"?>
<ds:datastoreItem xmlns:ds="http://schemas.openxmlformats.org/officeDocument/2006/customXml" ds:itemID="{173C6562-C37A-4B7E-88F3-BAF50FB889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7582</Words>
  <Characters>46802</Characters>
  <Application>Microsoft Office Word</Application>
  <DocSecurity>0</DocSecurity>
  <Lines>776</Lines>
  <Paragraphs>212</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54170</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Giocrisrai Godoy Bonillo</cp:lastModifiedBy>
  <cp:revision>2</cp:revision>
  <cp:lastPrinted>2019-08-05T13:11:00Z</cp:lastPrinted>
  <dcterms:created xsi:type="dcterms:W3CDTF">2026-04-27T21:40:00Z</dcterms:created>
  <dcterms:modified xsi:type="dcterms:W3CDTF">2026-04-27T21:40:00Z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