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>
          <w:b/>
          <w:sz w:val="44"/>
        </w:rPr>
        <w:t>Oltre l’RGB</w:t>
        <w:br/>
        <w:t>Rappresentazioni Iper-dimensionali per la Diagnostica e la Classificazione</w:t>
      </w:r>
    </w:p>
    <w:p>
      <w:pPr>
        <w:pStyle w:val="Normal"/>
        <w:jc w:val="center"/>
        <w:rPr/>
      </w:pPr>
      <w:r>
        <w:rPr>
          <w:sz w:val="24"/>
        </w:rPr>
        <w:t>Report di Progetto — Backbone per Feature Extraction da Iper-immagini</w:t>
      </w:r>
    </w:p>
    <w:p>
      <w:pPr>
        <w:pStyle w:val="Normal"/>
        <w:jc w:val="center"/>
        <w:rPr/>
      </w:pPr>
      <w:r>
        <w:rPr>
          <w:sz w:val="20"/>
        </w:rPr>
        <w:t>Data: 12 May 2026</w:t>
      </w:r>
    </w:p>
    <w:p>
      <w:pPr>
        <w:pStyle w:val="Normal"/>
        <w:pBdr>
          <w:bottom w:val="single" w:sz="6" w:space="1" w:color="AAAAAA"/>
        </w:pBdr>
        <w:spacing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400" w:after="120"/>
        <w:rPr/>
      </w:pPr>
      <w:r>
        <w:rPr/>
        <w:t>1. Executive Summary</w:t>
      </w:r>
    </w:p>
    <w:p>
      <w:pPr>
        <w:pStyle w:val="Normal"/>
        <w:spacing w:before="40" w:after="120"/>
        <w:rPr/>
      </w:pPr>
      <w:r>
        <w:rPr/>
        <w:t>Il presente progetto mira a costruire una backbone unificata e modulare per la feature extraction da iper-immagini multi-canale — tensori che integrano bande RGB, NIR (infrarosso vicino), SWIR (infrarosso a onda corta), thermal e UV in un unico stack di input. L'architettura risultante è pensata per diventare lo standard di riferimento per lo sviluppo di modelli di intelligenza artificiale basati su rappresentazioni spettrali beyond-RGB.</w:t>
      </w:r>
    </w:p>
    <w:p>
      <w:pPr>
        <w:pStyle w:val="Normal"/>
        <w:spacing w:before="40" w:after="120"/>
        <w:rPr/>
      </w:pPr>
      <w:r>
        <w:rPr/>
        <w:t>L'applicabilità del progetto è estremamente ampia: lo stesso framework si adatta, a costo marginale, a qualsiasi dominio in cui la scena fisica contenga informazione oltre il visibile — dalla diagnostica vegetale e umana all’arte, all’industria alimentare, all'agricoltura di precisione. Cambia il dataset e il task; l'architettura del dato resta.</w:t>
      </w:r>
    </w:p>
    <w:p>
      <w:pPr>
        <w:pStyle w:val="Heading1"/>
        <w:spacing w:before="400" w:after="120"/>
        <w:rPr/>
      </w:pPr>
      <w:r>
        <w:rPr/>
        <w:t>2. Contesto e Motivazione</w:t>
      </w:r>
    </w:p>
    <w:p>
      <w:pPr>
        <w:pStyle w:val="Normal"/>
        <w:spacing w:before="40" w:after="120"/>
        <w:rPr/>
      </w:pPr>
      <w:r>
        <w:rPr/>
        <w:t>Le reti neurali in computer vision lavorano quasi esclusivamente su immagini RGB — tre matrici che codificano solo la porzione dello spettro elettromagnetico visibile all’occhio umano (~400–700 nm). Questa limitazione è arbitraria: la fisica della scena contiene informazione ben oltre il visibile.</w:t>
      </w:r>
    </w:p>
    <w:p>
      <w:pPr>
        <w:pStyle w:val="Normal"/>
        <w:spacing w:before="40" w:after="120"/>
        <w:rPr/>
      </w:pPr>
      <w:r>
        <w:rPr/>
        <w:t>La letteratura scientifica ha già dimostrato che la riflettanza fogliare nel NIR e SWIR permette di identificare patologie vegetali prima della comparsa di sintomi visibili. Il principio è validato — manca la generalizzazione a un framework unificato e riusabile.</w:t>
      </w:r>
    </w:p>
    <w:p>
      <w:pPr>
        <w:pStyle w:val="Heading2"/>
        <w:spacing w:before="280" w:after="80"/>
        <w:rPr/>
      </w:pPr>
      <w:r>
        <w:rPr/>
        <w:t>Perché ora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/>
      </w:pPr>
      <w:r>
        <w:rPr/>
        <w:t>Hardware: sensori multi/iperspettrali commerciali a prezzi drasticamente ridotti rispetto a 5 anni fa, con miniaturizzazione e diffusione consumer.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/>
      </w:pPr>
      <w:r>
        <w:rPr/>
        <w:t>Deep learning: architetture moderne (Transformer, multi-head input, attention) gestiscono nativamente input ad alta dimensionalità.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/>
      </w:pPr>
      <w:r>
        <w:rPr/>
        <w:t>Letteratura: corpus peer-reviewed sulla diagnostica pre-sintomatica tramite imaging non-RGB. Il principio è validato; manca la generalizzazione.</w:t>
      </w:r>
    </w:p>
    <w:p>
      <w:pPr>
        <w:pStyle w:val="Heading1"/>
        <w:spacing w:before="400" w:after="120"/>
        <w:rPr/>
      </w:pPr>
      <w:r>
        <w:rPr/>
        <w:t>3. Obiettivo del Progetto</w:t>
      </w:r>
    </w:p>
    <w:p>
      <w:pPr>
        <w:pStyle w:val="Normal"/>
        <w:spacing w:before="40" w:after="120"/>
        <w:rPr/>
      </w:pPr>
      <w:r>
        <w:rPr/>
        <w:t>L'obiettivo primario è progettare, implementare e validare una backbone per feature extraction da iper-immagini che integri le seguenti bande spettrali in un tensore unificato H × W × N: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/>
      </w:pPr>
      <w:r>
        <w:rPr/>
        <w:t>RGB — visibile (~400–700 nm)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/>
      </w:pPr>
      <w:r>
        <w:rPr/>
        <w:t>NIR — infrarosso vicino (~700–1300 nm)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/>
      </w:pPr>
      <w:r>
        <w:rPr/>
        <w:t>SWIR — infrarosso a onda corta (~1300–2500 nm)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/>
      </w:pPr>
      <w:r>
        <w:rPr/>
        <w:t>Thermal — infrarosso termico (~8–14 µm)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/>
      </w:pPr>
      <w:r>
        <w:rPr/>
        <w:t>UV — ultravioletto (~200–400 nm)</w:t>
      </w:r>
    </w:p>
    <w:p>
      <w:pPr>
        <w:pStyle w:val="Normal"/>
        <w:spacing w:before="40" w:after="120"/>
        <w:rPr/>
      </w:pPr>
      <w:r>
        <w:rPr/>
        <w:t>La backbone deve essere modulare (ogni canale è opzionale), replicabile con hardware a basso costo, e adattabile a qualsiasi task di classificazione o diagnostica. L'obiettivo strategico è che questa architettura diventi lo standard de facto per i progetti di ricerca e sviluppo AI basati su iper-immagini nella comunità scientifica e industriale.</w:t>
      </w:r>
    </w:p>
    <w:p>
      <w:pPr>
        <w:pStyle w:val="Heading1"/>
        <w:spacing w:before="400" w:after="120"/>
        <w:rPr/>
      </w:pPr>
      <w:r>
        <w:rPr/>
        <w:t>4. Applicabilità Trasversale</w:t>
      </w:r>
    </w:p>
    <w:p>
      <w:pPr>
        <w:pStyle w:val="Normal"/>
        <w:spacing w:before="40" w:after="120"/>
        <w:rPr/>
      </w:pPr>
      <w:r>
        <w:rPr/>
        <w:t>Il framework è domain-agnostic. I seguenti settori rappresentano casi d’uso immediati o a breve termine, ciascuno con dataset e task specifici ma architettura condivisa. L'ampiezza dell'applicabilità è uno dei punti di forza strutturali del progetto: ogni nuova applicazione è un nuovo filone di ricerca con costo marginale basso.</w:t>
      </w:r>
    </w:p>
    <w:tbl>
      <w:tblPr>
        <w:tblStyle w:val="TableGrid"/>
        <w:tblW w:w="91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61"/>
        <w:gridCol w:w="4561"/>
      </w:tblGrid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Dominio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Applicazione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Diagnostica vegetale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Stress idrico, patogeni, carenze nutrizionali pre-sintomatiche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Veterinaria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Patologie animali rilevabili tramite firme multispettrali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Medicina umana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Dermatologia, perfusione tissutale, lesioni sub-cutanee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Arte e beni culturali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Identificazione di falsi, analisi pigmenti, strati pittorici nascosti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Food safety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Contaminazioni, freschezza, composizione di alimenti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Agricoltura di precisione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Mappatura stress colturale, irrigazione mirata, stima resa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Forensics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Analisi documenti, materiali, datazione, tracce biologiche</w:t>
            </w:r>
          </w:p>
        </w:tc>
      </w:tr>
      <w:tr>
        <w:trPr/>
        <w:tc>
          <w:tcPr>
            <w:tcW w:w="4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Controllo qualità industriale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Difetti superficiali, composizione e omogeneità materiali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400" w:after="120"/>
        <w:rPr/>
      </w:pPr>
      <w:r>
        <w:rPr/>
        <w:t>5. Architettura Tecnica</w:t>
      </w:r>
    </w:p>
    <w:p>
      <w:pPr>
        <w:pStyle w:val="Normal"/>
        <w:spacing w:before="40" w:after="120"/>
        <w:rPr/>
      </w:pPr>
      <w:r>
        <w:rPr/>
        <w:t>L'input al modello è un tensore H × W × N, dove N è il numero di canali attivi (da 3 a N). Ogni matrice — acquisita da sensore fisico o derivata tramite preprocessing — deve avere la stessa risoluzione spaziale H × W (requisito strutturale dello stacking). La modularità permette di attivare solo i canali disponibili per uno specifico setup.</w:t>
      </w:r>
    </w:p>
    <w:p>
      <w:pPr>
        <w:pStyle w:val="Heading2"/>
        <w:spacing w:before="280" w:after="80"/>
        <w:rPr/>
      </w:pPr>
      <w:r>
        <w:rPr/>
        <w:t>Pipeline di preprocessing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/>
      </w:pPr>
      <w:r>
        <w:rPr/>
        <w:t>Registrazione geometrica e resampling verso risoluzione di riferimento comune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/>
      </w:pPr>
      <w:r>
        <w:rPr/>
        <w:t>Ogni matrice derivata diventa un canale aggiuntivo nello stack di input</w:t>
      </w:r>
    </w:p>
    <w:p>
      <w:pPr>
        <w:pStyle w:val="Heading2"/>
        <w:spacing w:before="280" w:after="80"/>
        <w:rPr/>
      </w:pPr>
      <w:r>
        <w:rPr/>
        <w:t>Hardware di acquisizione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/>
      </w:pPr>
      <w:r>
        <w:rPr/>
        <w:t>Sensori consumer RGB standard + filtri ottici (UV, NIR, SWIR)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/>
      </w:pPr>
      <w:r>
        <w:rPr/>
        <w:t>Camere termiche entry-level (es. FLIR Lepton o equivalenti)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/>
      </w:pPr>
      <w:r>
        <w:rPr/>
        <w:t>Setup modulare: centinaia, non migliaia di euro (ideale per contesti universitari)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/>
      </w:pPr>
      <w:r>
        <w:rPr/>
        <w:t>Training: GPU con VRAM adeguata (cluster universitario o cloud credits); inference leggera anche su hardware modesto</w:t>
      </w:r>
    </w:p>
    <w:p>
      <w:pPr>
        <w:pStyle w:val="Heading1"/>
        <w:spacing w:before="400" w:after="120"/>
        <w:rPr/>
      </w:pPr>
      <w:r>
        <w:rPr/>
        <w:t>6. Fasi di Progetto e Tempi Stimati</w:t>
      </w:r>
    </w:p>
    <w:tbl>
      <w:tblPr>
        <w:tblStyle w:val="TableGrid"/>
        <w:tblW w:w="91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41"/>
        <w:gridCol w:w="3041"/>
        <w:gridCol w:w="3041"/>
      </w:tblGrid>
      <w:tr>
        <w:trPr/>
        <w:tc>
          <w:tcPr>
            <w:tcW w:w="3041" w:type="dxa"/>
            <w:tcBorders/>
            <w:shd w:color="auto" w:fill="2E4057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w="3041" w:type="dxa"/>
            <w:tcBorders/>
            <w:shd w:color="auto" w:fill="2E4057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  <w:tc>
          <w:tcPr>
            <w:tcW w:w="3041" w:type="dxa"/>
            <w:tcBorders/>
            <w:shd w:color="auto" w:fill="2E4057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Tempo Stimato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9"/>
              </w:rPr>
              <w:t>Fase 1</w:t>
            </w:r>
          </w:p>
        </w:tc>
        <w:tc>
          <w:tcPr>
            <w:tcW w:w="3041" w:type="dxa"/>
            <w:tcBorders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sz w:val="19"/>
              </w:rPr>
              <w:t>Acquisto Intel RealSense D435, addestramento primo modello di dimensione H x W x 4 (R, G, B, IR) con relativa validazione e metriche applicate ad un solo dominio.</w:t>
            </w:r>
          </w:p>
        </w:tc>
        <w:tc>
          <w:tcPr>
            <w:tcW w:w="3041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9"/>
              </w:rPr>
              <w:t>~2 settimane (dopo acquisizione RealSense)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9"/>
              </w:rPr>
              <w:t>Fase 2</w:t>
            </w:r>
          </w:p>
        </w:tc>
        <w:tc>
          <w:tcPr>
            <w:tcW w:w="3041" w:type="dxa"/>
            <w:tcBorders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sz w:val="19"/>
              </w:rPr>
              <w:t>Ampliamento con strumentazioni thermal, UV; ampliamento bande IR con SWIR e NIR; configurazione stack iper-foto H x W x N (N = 7 in questa implementazione, espandibile con ulteriori strumentazioni, es. polarizzazione).</w:t>
            </w:r>
          </w:p>
        </w:tc>
        <w:tc>
          <w:tcPr>
            <w:tcW w:w="3041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9"/>
              </w:rPr>
              <w:t>~1 mese e mezzo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9"/>
              </w:rPr>
              <w:t>Fase 3</w:t>
            </w:r>
          </w:p>
        </w:tc>
        <w:tc>
          <w:tcPr>
            <w:tcW w:w="3041" w:type="dxa"/>
            <w:tcBorders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sz w:val="19"/>
              </w:rPr>
              <w:t>Acquisizione di un dataset ampio su un solo dominio di facile reperibilita e replicabilita.</w:t>
            </w:r>
          </w:p>
        </w:tc>
        <w:tc>
          <w:tcPr>
            <w:tcW w:w="3041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9"/>
              </w:rPr>
              <w:t>~1 mese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9"/>
              </w:rPr>
              <w:t>Fase 4</w:t>
            </w:r>
          </w:p>
        </w:tc>
        <w:tc>
          <w:tcPr>
            <w:tcW w:w="3041" w:type="dxa"/>
            <w:tcBorders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sz w:val="19"/>
              </w:rPr>
              <w:t>Addestramento backbone v1 su un solo dominio.</w:t>
            </w:r>
          </w:p>
        </w:tc>
        <w:tc>
          <w:tcPr>
            <w:tcW w:w="3041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9"/>
              </w:rPr>
              <w:t>~</w:t>
            </w:r>
            <w:r>
              <w:rPr>
                <w:sz w:val="19"/>
              </w:rPr>
              <w:t>1 mese</w:t>
            </w:r>
            <w:r>
              <w:rPr>
                <w:sz w:val="19"/>
              </w:rPr>
              <w:t xml:space="preserve"> (dipende dalla grandezza del dataset)</w:t>
            </w:r>
          </w:p>
        </w:tc>
      </w:tr>
      <w:tr>
        <w:trPr/>
        <w:tc>
          <w:tcPr>
            <w:tcW w:w="3041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9"/>
              </w:rPr>
              <w:t>Fase 5</w:t>
            </w:r>
          </w:p>
        </w:tc>
        <w:tc>
          <w:tcPr>
            <w:tcW w:w="3041" w:type="dxa"/>
            <w:tcBorders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sz w:val="19"/>
              </w:rPr>
              <w:t>Ampliamento casistiche e domini.</w:t>
            </w:r>
          </w:p>
        </w:tc>
        <w:tc>
          <w:tcPr>
            <w:tcW w:w="3041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9"/>
              </w:rPr>
              <w:t>On going — da concordare in base a risorse e tempistiche</w:t>
            </w:r>
          </w:p>
        </w:tc>
      </w:tr>
    </w:tbl>
    <w:p>
      <w:pPr>
        <w:pStyle w:val="Heading1"/>
        <w:spacing w:before="400" w:after="120"/>
        <w:rPr/>
      </w:pPr>
      <w:r>
        <w:rPr/>
        <w:t>7. Costi e Risorse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/>
      </w:pPr>
      <w:r>
        <w:rPr/>
        <w:t>Hardware di acquisizione: budget stimato 500–2.000 € (sensori consumer + filtri ottici)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/>
      </w:pPr>
      <w:r>
        <w:rPr/>
        <w:t>Computazione training: GPU universitaria o cloud credits gratuiti (Google TPU Research Cloud, AWS/Azure per ricerca)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/>
      </w:pPr>
      <w:r>
        <w:rPr/>
        <w:t>Storage: proporzionale a N canali × risoluzione × dimensione dataset; gestibile con storage NAS standard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/>
      </w:pPr>
      <w:r>
        <w:rPr/>
        <w:t>Risorse umane: 1–2 ricercatori/dottorandi + supervisione; progetto adatto a tesi magistrale o dottorato</w:t>
      </w:r>
    </w:p>
    <w:p>
      <w:pPr>
        <w:pStyle w:val="Normal"/>
        <w:spacing w:before="40" w:after="120"/>
        <w:rPr/>
      </w:pPr>
      <w:r>
        <w:rPr/>
        <w:t>Il rapporto costo/potenziale è il punto di forza operativo del progetto: l'hardware è accessibile, l'infrastruttura software è riusabile tra domini, e ogni nuova applicazione aggiunge valore con investimento marginale basso.</w:t>
      </w:r>
    </w:p>
    <w:p>
      <w:pPr>
        <w:pStyle w:val="Heading1"/>
        <w:spacing w:before="400" w:after="120"/>
        <w:rPr/>
      </w:pPr>
      <w:r>
        <w:rPr/>
        <w:t>8. Conclusioni</w:t>
      </w:r>
    </w:p>
    <w:p>
      <w:pPr>
        <w:pStyle w:val="Normal"/>
        <w:spacing w:before="40" w:after="120"/>
        <w:rPr/>
      </w:pPr>
      <w:r>
        <w:rPr/>
        <w:t>Il progetto "Oltre l’RGB" risponde a una lacuna reale nell’ecosistema della computer vision: la mancanza di un framework unificato, modulare e accessibile per l’elaborazione di iper-immagini multi-spettrali. L'obiettivo non è risolvere un singolo problema, ma costruire l'infrastruttura che rende risolvibili decine di problemi diversi con lo stesso strumento.</w:t>
      </w:r>
    </w:p>
    <w:p>
      <w:pPr>
        <w:pStyle w:val="Normal"/>
        <w:spacing w:before="40" w:after="120"/>
        <w:rPr/>
      </w:pPr>
      <w:r>
        <w:rPr/>
        <w:t>L'applicabilità è trasversale a industria, medicina, agricoltura, arte e sicurezza alimentare. Il momento storico è favorevole: hardware accessibile, architetture deep learning mature, letteratura scientifica validante. La backbone proposta ha il potenziale di diventare lo standard per la feature extraction da iper-immagini nella comunità scientifica e industriale.</w:t>
      </w:r>
    </w:p>
    <w:p>
      <w:pPr>
        <w:pStyle w:val="Normal"/>
        <w:pBdr>
          <w:bottom w:val="single" w:sz="6" w:space="1" w:color="AAAAAA"/>
        </w:pBdr>
        <w:spacing w:before="0" w:after="0"/>
        <w:rPr>
          <w:sz w:val="18"/>
        </w:rPr>
      </w:pPr>
      <w:r>
        <w:rPr>
          <w:sz w:val="18"/>
        </w:rPr>
      </w:r>
    </w:p>
    <w:sectPr>
      <w:type w:val="nextPage"/>
      <w:pgSz w:w="12240" w:h="15840"/>
      <w:pgMar w:left="1701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  <w:style w:type="paragraph" w:styleId="Intestazioneepidipaginauser">
    <w:name w:val="Intestazione e piè di pagina (user)"/>
    <w:basedOn w:val="Normal"/>
    <w:qFormat/>
    <w:pPr/>
    <w:rPr/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o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essunelencouser" w:default="1">
    <w:name w:val="Nessun elenco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LibreOffice/25.8.6.2$Windows_X86_64 LibreOffice_project/b4b39682cd9868fa725bc664aff94278d315bd04</Application>
  <AppVersion>15.0000</AppVersion>
  <Pages>4</Pages>
  <Words>977</Words>
  <Characters>5936</Characters>
  <CharactersWithSpaces>6821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it-IT</dc:language>
  <cp:lastModifiedBy/>
  <dcterms:modified xsi:type="dcterms:W3CDTF">2026-05-13T17:12:48Z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