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5FCB0" w14:textId="77777777" w:rsidR="004E6828" w:rsidRDefault="00000000">
      <w:pPr>
        <w:spacing w:after="80"/>
      </w:pPr>
      <w:r>
        <w:rPr>
          <w:b/>
          <w:bCs/>
          <w:color w:val="5B6770"/>
          <w:sz w:val="20"/>
          <w:szCs w:val="20"/>
        </w:rPr>
        <w:t>PORTFOLIO CASE STUDY</w:t>
      </w:r>
    </w:p>
    <w:p w14:paraId="3C2BB19F" w14:textId="77777777" w:rsidR="004E6828" w:rsidRDefault="00000000">
      <w:pPr>
        <w:spacing w:after="120"/>
      </w:pPr>
      <w:r>
        <w:rPr>
          <w:b/>
          <w:bCs/>
          <w:color w:val="1F4E79"/>
          <w:sz w:val="40"/>
          <w:szCs w:val="40"/>
        </w:rPr>
        <w:t>Predictive Infrastructure &amp; Operational Optimization for a Major Urban Water Utility</w:t>
      </w:r>
    </w:p>
    <w:p w14:paraId="7349F7C0" w14:textId="77777777" w:rsidR="004E6828" w:rsidRDefault="00000000">
      <w:pPr>
        <w:spacing w:after="80"/>
      </w:pPr>
      <w:r>
        <w:rPr>
          <w:i/>
          <w:iCs/>
          <w:color w:val="5B6770"/>
          <w:sz w:val="24"/>
          <w:szCs w:val="24"/>
        </w:rPr>
        <w:t xml:space="preserve">From reactive break-fix to </w:t>
      </w:r>
      <w:proofErr w:type="gramStart"/>
      <w:r>
        <w:rPr>
          <w:i/>
          <w:iCs/>
          <w:color w:val="5B6770"/>
          <w:sz w:val="24"/>
          <w:szCs w:val="24"/>
        </w:rPr>
        <w:t>a data</w:t>
      </w:r>
      <w:proofErr w:type="gramEnd"/>
      <w:r>
        <w:rPr>
          <w:i/>
          <w:iCs/>
          <w:color w:val="5B6770"/>
          <w:sz w:val="24"/>
          <w:szCs w:val="24"/>
        </w:rPr>
        <w:t>-driven, predictive operation</w:t>
      </w:r>
    </w:p>
    <w:p w14:paraId="77B27C87" w14:textId="77777777" w:rsidR="004E6828" w:rsidRDefault="00000000">
      <w:pPr>
        <w:spacing w:before="120" w:after="60"/>
      </w:pPr>
      <w:r>
        <w:rPr>
          <w:b/>
          <w:bCs/>
        </w:rPr>
        <w:t xml:space="preserve">Client: </w:t>
      </w:r>
      <w:r>
        <w:t>Major Urban Utility Provider (city of 3M+ residents)</w:t>
      </w:r>
    </w:p>
    <w:p w14:paraId="156049F2" w14:textId="77777777" w:rsidR="004E6828" w:rsidRDefault="00000000">
      <w:pPr>
        <w:spacing w:after="60"/>
      </w:pPr>
      <w:r>
        <w:rPr>
          <w:b/>
          <w:bCs/>
        </w:rPr>
        <w:t xml:space="preserve">Role: </w:t>
      </w:r>
      <w:r>
        <w:t>Lead External Consultant / Solution Architect</w:t>
      </w:r>
    </w:p>
    <w:p w14:paraId="2A0188FB" w14:textId="77777777" w:rsidR="004E6828" w:rsidRDefault="00000000">
      <w:pPr>
        <w:spacing w:after="60"/>
      </w:pPr>
      <w:r>
        <w:rPr>
          <w:b/>
          <w:bCs/>
        </w:rPr>
        <w:t xml:space="preserve">Engagement: </w:t>
      </w:r>
      <w:r>
        <w:t>Discovery, design, build, and 6-month support</w:t>
      </w:r>
    </w:p>
    <w:p w14:paraId="17F0C447" w14:textId="77777777" w:rsidR="004E6828" w:rsidRDefault="00000000">
      <w:pPr>
        <w:spacing w:after="60"/>
      </w:pPr>
      <w:r>
        <w:rPr>
          <w:b/>
          <w:bCs/>
        </w:rPr>
        <w:t xml:space="preserve">Stack: </w:t>
      </w:r>
      <w:r>
        <w:t xml:space="preserve">SAP ERP (Incident </w:t>
      </w:r>
      <w:proofErr w:type="gramStart"/>
      <w:r>
        <w:t>Management) ·</w:t>
      </w:r>
      <w:proofErr w:type="gramEnd"/>
      <w:r>
        <w:t xml:space="preserve"> PostgreSQL data warehouse · Python ML forecasting · Power BI · IoT pressure &amp; level telemetry · custom REST APIs</w:t>
      </w:r>
    </w:p>
    <w:p w14:paraId="0AA68906" w14:textId="77777777" w:rsidR="004E6828" w:rsidRDefault="004E6828">
      <w:pPr>
        <w:pBdr>
          <w:bottom w:val="single" w:sz="6" w:space="6" w:color="1F4E79"/>
        </w:pBdr>
        <w:spacing w:before="200" w:after="200"/>
      </w:pPr>
    </w:p>
    <w:p w14:paraId="31E36B9F" w14:textId="77777777" w:rsidR="004E6828" w:rsidRDefault="00000000">
      <w:pPr>
        <w:pStyle w:val="Heading1"/>
      </w:pPr>
      <w:r>
        <w:t>Executive Summary</w:t>
      </w:r>
    </w:p>
    <w:p w14:paraId="7CA46E54" w14:textId="77777777" w:rsidR="004E6828" w:rsidRDefault="00000000">
      <w:pPr>
        <w:spacing w:after="120" w:line="300" w:lineRule="auto"/>
        <w:jc w:val="both"/>
      </w:pPr>
      <w:r>
        <w:t>A century-old water utility serving a city of more than three million people was running its operations reactively. The SAP ERP incident management module was used as a basic task list, field teams worked without shared performance signals, and the IoT data the company already collected was sitting unused. As lead external consultant, I led a multi-month engagement that redesigned the operational process end-to-end, built a unified data warehouse, deployed a machine-learning forecasting layer, and integrated predictive alerts back into SAP. After six months of implementation and support, daily incident throughput more than doubled, average fix time dropped by 33%, and high-severity pipe bursts fell by 12% year-over-year for the same comparable period.</w:t>
      </w:r>
    </w:p>
    <w:p w14:paraId="4B2975DD" w14:textId="77777777" w:rsidR="004E6828" w:rsidRDefault="004E6828">
      <w:pPr>
        <w:pBdr>
          <w:bottom w:val="single" w:sz="6" w:space="6" w:color="1F4E79"/>
        </w:pBdr>
        <w:spacing w:before="200" w:after="200"/>
      </w:pPr>
    </w:p>
    <w:p w14:paraId="109B881D" w14:textId="77777777" w:rsidR="004E6828" w:rsidRDefault="00000000">
      <w:pPr>
        <w:pStyle w:val="Heading1"/>
      </w:pPr>
      <w:r>
        <w:t>I. The Business Solution</w:t>
      </w:r>
    </w:p>
    <w:p w14:paraId="39C1786F" w14:textId="77777777" w:rsidR="004E6828" w:rsidRDefault="00000000">
      <w:pPr>
        <w:pStyle w:val="Heading2"/>
      </w:pPr>
      <w:r>
        <w:t>Context: Operating a 100-Year-Old Grid</w:t>
      </w:r>
    </w:p>
    <w:p w14:paraId="4E360122" w14:textId="77777777" w:rsidR="004E6828" w:rsidRDefault="00000000">
      <w:pPr>
        <w:spacing w:after="120" w:line="300" w:lineRule="auto"/>
        <w:jc w:val="both"/>
      </w:pPr>
      <w:r>
        <w:t xml:space="preserve">The utility manages a geographically complex grid that has grown over more than a century: mixed pipe materials and diameters, several reservoirs, both motor-driven (active) and gravity-fed (passive) supply channels, and significant terrain elevation differences across the city. Layered on top of that physical heritage is an </w:t>
      </w:r>
      <w:proofErr w:type="spellStart"/>
      <w:r>
        <w:t>organisational</w:t>
      </w:r>
      <w:proofErr w:type="spellEnd"/>
      <w:r>
        <w:t xml:space="preserve"> structure of 82 field teams, a central warehouse, a fleet maintenance group, and external coordination with City Hall for road closures.</w:t>
      </w:r>
    </w:p>
    <w:p w14:paraId="08D641C8" w14:textId="77777777" w:rsidR="004E6828" w:rsidRDefault="00000000">
      <w:pPr>
        <w:spacing w:after="120" w:line="300" w:lineRule="auto"/>
        <w:jc w:val="both"/>
      </w:pPr>
      <w:r>
        <w:t>The company already owned the right tools on paper — SAP ERP with an incident management module, an IoT grid covering pressure gauges and reservoir levels, an asset inventory, and a payment-driven consumption map. The problem was not technology coverage. It was that none of these systems were talking to each other, and the operational process around them rewarded slow, opaque work.</w:t>
      </w:r>
    </w:p>
    <w:p w14:paraId="1EA653A0" w14:textId="77777777" w:rsidR="004E6828" w:rsidRDefault="00000000">
      <w:pPr>
        <w:pStyle w:val="Heading2"/>
      </w:pPr>
      <w:r>
        <w:lastRenderedPageBreak/>
        <w:t>Discovery: Mapping the Ideal Versus the Real</w:t>
      </w:r>
    </w:p>
    <w:p w14:paraId="6DE2DCEA" w14:textId="77777777" w:rsidR="004E6828" w:rsidRDefault="00000000">
      <w:pPr>
        <w:spacing w:after="120" w:line="300" w:lineRule="auto"/>
        <w:jc w:val="both"/>
      </w:pPr>
      <w:r>
        <w:t>We began with structured interviews across every relevant department — dispatch, field operations, warehouse, fleet, IT, and senior operations management. From those interviews we built two maps in parallel:</w:t>
      </w:r>
    </w:p>
    <w:p w14:paraId="3341FB43" w14:textId="77777777" w:rsidR="004E6828" w:rsidRDefault="00000000">
      <w:pPr>
        <w:pStyle w:val="ListParagraph"/>
        <w:numPr>
          <w:ilvl w:val="0"/>
          <w:numId w:val="2"/>
        </w:numPr>
        <w:spacing w:after="80" w:line="280" w:lineRule="auto"/>
      </w:pPr>
      <w:r>
        <w:t>The ideal-state operational model — what good would look like if every team had the right tools, the right data, and clean communication paths between roles.</w:t>
      </w:r>
    </w:p>
    <w:p w14:paraId="055115BB" w14:textId="77777777" w:rsidR="004E6828" w:rsidRDefault="00000000">
      <w:pPr>
        <w:pStyle w:val="ListParagraph"/>
        <w:numPr>
          <w:ilvl w:val="0"/>
          <w:numId w:val="2"/>
        </w:numPr>
        <w:spacing w:after="80" w:line="280" w:lineRule="auto"/>
      </w:pPr>
      <w:r>
        <w:t>The real-state operational model — where the actual process broke down, where motivation was missing, where data was lost, and where funding or tooling gaps blocked the ideal.</w:t>
      </w:r>
    </w:p>
    <w:p w14:paraId="12BB58FD" w14:textId="77777777" w:rsidR="004E6828" w:rsidRDefault="00000000">
      <w:pPr>
        <w:spacing w:after="120" w:line="300" w:lineRule="auto"/>
        <w:jc w:val="both"/>
      </w:pPr>
      <w:r>
        <w:t>The gap between these two maps became the project backlog. Crucially, this discovery phase was not just IT-driven; it explicitly captured business-process parameters such as available stock, available teams and team mixes, vehicle availability, and operational support coverage by shift.</w:t>
      </w:r>
    </w:p>
    <w:p w14:paraId="3851A246" w14:textId="77777777" w:rsidR="004E6828" w:rsidRDefault="00000000">
      <w:pPr>
        <w:pStyle w:val="Heading2"/>
      </w:pPr>
      <w:r>
        <w:t>Root Causes Identified</w:t>
      </w:r>
    </w:p>
    <w:p w14:paraId="2ECB3265" w14:textId="77777777" w:rsidR="004E6828" w:rsidRDefault="00000000">
      <w:pPr>
        <w:pStyle w:val="Heading3"/>
      </w:pPr>
      <w:r>
        <w:t>1. The "Invisible Asset" Crisis</w:t>
      </w:r>
    </w:p>
    <w:p w14:paraId="445913CC" w14:textId="77777777" w:rsidR="004E6828" w:rsidRDefault="00000000">
      <w:pPr>
        <w:spacing w:after="120" w:line="300" w:lineRule="auto"/>
        <w:jc w:val="both"/>
      </w:pPr>
      <w:r>
        <w:t>A meaningful portion of the underground network was undocumented or wrongly mapped in the SAP asset inventory. Teams routinely arrived on site, dug to locate the pipe, and discovered that the diameter or material on file was wrong — meaning a second trip with different parts. This drove high "discovery cost" per incident: lost hours, wasted dry runs, and prolonged service disruption for residents.</w:t>
      </w:r>
    </w:p>
    <w:p w14:paraId="28596169" w14:textId="77777777" w:rsidR="004E6828" w:rsidRDefault="00000000">
      <w:pPr>
        <w:pStyle w:val="Heading3"/>
      </w:pPr>
      <w:r>
        <w:t>2. Misaligned Incentives</w:t>
      </w:r>
    </w:p>
    <w:p w14:paraId="07FACCFE" w14:textId="77777777" w:rsidR="004E6828" w:rsidRDefault="00000000">
      <w:pPr>
        <w:spacing w:after="120" w:line="300" w:lineRule="auto"/>
        <w:jc w:val="both"/>
      </w:pPr>
      <w:r>
        <w:t>Field crews, warehouse staff, and fleet maintenance operated in silos with no shared KPIs. Without a performance-linked motivation program, finishing a job quickly was effectively punished — the reward was simply being assigned the next difficult job. The rational response from teams was to delay reporting and stretch tasks, which produced an artificial backlog and obscured the true incident pipeline from management.</w:t>
      </w:r>
    </w:p>
    <w:p w14:paraId="3B96E991" w14:textId="77777777" w:rsidR="004E6828" w:rsidRDefault="00000000">
      <w:pPr>
        <w:pStyle w:val="Heading3"/>
      </w:pPr>
      <w:r>
        <w:t>3. Logistic and Inter-Agency Friction</w:t>
      </w:r>
    </w:p>
    <w:p w14:paraId="278B297B" w14:textId="77777777" w:rsidR="004E6828" w:rsidRDefault="00000000">
      <w:pPr>
        <w:spacing w:after="120" w:line="300" w:lineRule="auto"/>
        <w:jc w:val="both"/>
      </w:pPr>
      <w:r>
        <w:t>Repairs on magistral pipes typically require coordinated road closures with City Hall. Without forecasting, every such request arrived as a last-minute emergency, generating political friction and postponing work — which let small leaks evolve into catastrophic bursts. Internally, the same pattern appeared between operations and the warehouse: parts were requested reactively rather than positioned in advance.</w:t>
      </w:r>
    </w:p>
    <w:p w14:paraId="20C32A4E" w14:textId="77777777" w:rsidR="004E6828" w:rsidRDefault="00000000">
      <w:pPr>
        <w:pStyle w:val="Heading3"/>
      </w:pPr>
      <w:r>
        <w:t xml:space="preserve">4. </w:t>
      </w:r>
      <w:proofErr w:type="gramStart"/>
      <w:r>
        <w:t>Infrastructure Stress</w:t>
      </w:r>
      <w:proofErr w:type="gramEnd"/>
      <w:r>
        <w:t xml:space="preserve"> from Pressure and Power Events</w:t>
      </w:r>
    </w:p>
    <w:p w14:paraId="7A3AA4E9" w14:textId="77777777" w:rsidR="004E6828" w:rsidRDefault="00000000">
      <w:pPr>
        <w:spacing w:after="120" w:line="300" w:lineRule="auto"/>
        <w:jc w:val="both"/>
      </w:pPr>
      <w:r>
        <w:t>A significant share of pipe failures was traced to over-pressure conditions in the grid and to water hammer effects triggered when pumps lost power and water momentum collapsed. The damage tended to concentrate on sloped sections of the city, where the heritage infrastructure was most vulnerable. The company had pressure data — it simply was not being read against incident outcomes.</w:t>
      </w:r>
    </w:p>
    <w:p w14:paraId="36D56FCA" w14:textId="77777777" w:rsidR="004E6828" w:rsidRDefault="00000000">
      <w:pPr>
        <w:pStyle w:val="Heading2"/>
      </w:pPr>
      <w:r>
        <w:lastRenderedPageBreak/>
        <w:t xml:space="preserve">Strategic Reframe: Incidents as an Investment, </w:t>
      </w:r>
      <w:proofErr w:type="gramStart"/>
      <w:r>
        <w:t>Not</w:t>
      </w:r>
      <w:proofErr w:type="gramEnd"/>
      <w:r>
        <w:t xml:space="preserve"> a Cost</w:t>
      </w:r>
    </w:p>
    <w:p w14:paraId="352E56A6" w14:textId="77777777" w:rsidR="004E6828" w:rsidRDefault="00000000">
      <w:pPr>
        <w:spacing w:after="120" w:line="300" w:lineRule="auto"/>
        <w:jc w:val="both"/>
      </w:pPr>
      <w:r>
        <w:t>Once the data made the failure economics visible, we could reframe the operating model with management. Emergency repairs typically cost three to five times more than planned maintenance, so lowering the threshold for what counts as an "</w:t>
      </w:r>
      <w:proofErr w:type="gramStart"/>
      <w:r>
        <w:t>incident" —</w:t>
      </w:r>
      <w:proofErr w:type="gramEnd"/>
      <w:r>
        <w:t xml:space="preserve"> catching small leaks early — became financially justified rather than a luxury. We worked with leadership to redefine incident management as a proactive maintenance program that extends the lifecycle of century-old assets and defers very large capital replacement projects. This reframing was the foundation that allowed every downstream technical and operational change to be funded and adopted.</w:t>
      </w:r>
    </w:p>
    <w:p w14:paraId="4DBEF5F8" w14:textId="77777777" w:rsidR="004E6828" w:rsidRDefault="004E6828">
      <w:pPr>
        <w:pBdr>
          <w:bottom w:val="single" w:sz="6" w:space="6" w:color="1F4E79"/>
        </w:pBdr>
        <w:spacing w:before="200" w:after="200"/>
      </w:pPr>
    </w:p>
    <w:p w14:paraId="31EF18DD" w14:textId="77777777" w:rsidR="004E6828" w:rsidRDefault="00000000">
      <w:pPr>
        <w:pStyle w:val="Heading1"/>
      </w:pPr>
      <w:r>
        <w:t>II. The Technical Solution</w:t>
      </w:r>
    </w:p>
    <w:p w14:paraId="3C99B419" w14:textId="77777777" w:rsidR="004E6828" w:rsidRDefault="00000000">
      <w:pPr>
        <w:spacing w:after="120" w:line="300" w:lineRule="auto"/>
        <w:jc w:val="both"/>
      </w:pPr>
      <w:r>
        <w:t>The technical work was deliberately scoped around the business problems above. Rather than replacing the SAP environment, we built a parallel analytical and predictive layer that fed insights and work orders back into the systems people already used.</w:t>
      </w:r>
    </w:p>
    <w:p w14:paraId="6F9EE671" w14:textId="77777777" w:rsidR="004E6828" w:rsidRDefault="00000000">
      <w:pPr>
        <w:pStyle w:val="Heading2"/>
      </w:pPr>
      <w:r>
        <w:t>1. Unified Data Warehouse</w:t>
      </w:r>
    </w:p>
    <w:p w14:paraId="3DFB6234" w14:textId="77777777" w:rsidR="004E6828" w:rsidRDefault="00000000">
      <w:pPr>
        <w:spacing w:after="120" w:line="300" w:lineRule="auto"/>
        <w:jc w:val="both"/>
      </w:pPr>
      <w:r>
        <w:t xml:space="preserve">We built a </w:t>
      </w:r>
      <w:proofErr w:type="spellStart"/>
      <w:r>
        <w:t>centralised</w:t>
      </w:r>
      <w:proofErr w:type="spellEnd"/>
      <w:r>
        <w:t xml:space="preserve"> PostgreSQL data warehouse that consolidated historical incident records from the SAP incident management module, live IoT telemetry (pressure gauges, reservoir levels, flow points along magistral pipes), the asset inventory, and the consumption map derived from billing. Data was </w:t>
      </w:r>
      <w:proofErr w:type="spellStart"/>
      <w:r>
        <w:t>normalised</w:t>
      </w:r>
      <w:proofErr w:type="spellEnd"/>
      <w:r>
        <w:t xml:space="preserve">, deduplicated, and enriched with consistent </w:t>
      </w:r>
      <w:proofErr w:type="spellStart"/>
      <w:r>
        <w:t>categorisation</w:t>
      </w:r>
      <w:proofErr w:type="spellEnd"/>
      <w:r>
        <w:t xml:space="preserve"> — incident type, geographic zone, elevation band, asset age cohort, and severity. This warehouse became the single source of truth for analytics and the </w:t>
      </w:r>
      <w:proofErr w:type="gramStart"/>
      <w:r>
        <w:t>substrate</w:t>
      </w:r>
      <w:proofErr w:type="gramEnd"/>
      <w:r>
        <w:t xml:space="preserve"> every other component sat on top of.</w:t>
      </w:r>
    </w:p>
    <w:p w14:paraId="6FF3471E" w14:textId="77777777" w:rsidR="004E6828" w:rsidRDefault="00000000">
      <w:pPr>
        <w:pStyle w:val="Heading2"/>
      </w:pPr>
      <w:r>
        <w:t>2. Correlation and Feature Engineering</w:t>
      </w:r>
    </w:p>
    <w:p w14:paraId="62FC4F1F" w14:textId="77777777" w:rsidR="004E6828" w:rsidRDefault="00000000">
      <w:pPr>
        <w:spacing w:after="120" w:line="300" w:lineRule="auto"/>
        <w:jc w:val="both"/>
      </w:pPr>
      <w:r>
        <w:t>Working from the warehouse, we built a structured feature set linking incidents to their likely drivers. The strongest correlations we surfaced were:</w:t>
      </w:r>
    </w:p>
    <w:p w14:paraId="0474309B" w14:textId="77777777" w:rsidR="004E6828" w:rsidRDefault="00000000">
      <w:pPr>
        <w:pStyle w:val="ListParagraph"/>
        <w:numPr>
          <w:ilvl w:val="0"/>
          <w:numId w:val="2"/>
        </w:numPr>
        <w:spacing w:after="80" w:line="280" w:lineRule="auto"/>
      </w:pPr>
      <w:r>
        <w:t xml:space="preserve">Air temperature and seasonality, including </w:t>
      </w:r>
      <w:proofErr w:type="gramStart"/>
      <w:r>
        <w:t>freeze</w:t>
      </w:r>
      <w:proofErr w:type="gramEnd"/>
      <w:r>
        <w:t xml:space="preserve"> cycles.</w:t>
      </w:r>
    </w:p>
    <w:p w14:paraId="787963B3" w14:textId="77777777" w:rsidR="004E6828" w:rsidRDefault="00000000">
      <w:pPr>
        <w:pStyle w:val="ListParagraph"/>
        <w:numPr>
          <w:ilvl w:val="0"/>
          <w:numId w:val="2"/>
        </w:numPr>
        <w:spacing w:after="80" w:line="280" w:lineRule="auto"/>
      </w:pPr>
      <w:r>
        <w:t>Sediment quantity in the supply water.</w:t>
      </w:r>
    </w:p>
    <w:p w14:paraId="63F2CF79" w14:textId="77777777" w:rsidR="004E6828" w:rsidRDefault="00000000">
      <w:pPr>
        <w:pStyle w:val="ListParagraph"/>
        <w:numPr>
          <w:ilvl w:val="0"/>
          <w:numId w:val="2"/>
        </w:numPr>
        <w:spacing w:after="80" w:line="280" w:lineRule="auto"/>
      </w:pPr>
      <w:r>
        <w:t>Geographic zone and elevation, with sloped sections behaving very differently from flat ones.</w:t>
      </w:r>
    </w:p>
    <w:p w14:paraId="750E4220" w14:textId="77777777" w:rsidR="004E6828" w:rsidRDefault="00000000">
      <w:pPr>
        <w:pStyle w:val="ListParagraph"/>
        <w:numPr>
          <w:ilvl w:val="0"/>
          <w:numId w:val="2"/>
        </w:numPr>
        <w:spacing w:after="80" w:line="280" w:lineRule="auto"/>
      </w:pPr>
      <w:r>
        <w:t>Pipe age and material cohort, especially for legacy segments overdue for replacement.</w:t>
      </w:r>
    </w:p>
    <w:p w14:paraId="3F0BB86A" w14:textId="77777777" w:rsidR="004E6828" w:rsidRDefault="00000000">
      <w:pPr>
        <w:pStyle w:val="ListParagraph"/>
        <w:numPr>
          <w:ilvl w:val="0"/>
          <w:numId w:val="2"/>
        </w:numPr>
        <w:spacing w:after="80" w:line="280" w:lineRule="auto"/>
      </w:pPr>
      <w:r>
        <w:t>Day-of-week and time-of-day patterns — incident reporting peaked sharply in the morning.</w:t>
      </w:r>
    </w:p>
    <w:p w14:paraId="3FAE9ED6" w14:textId="77777777" w:rsidR="004E6828" w:rsidRDefault="00000000">
      <w:pPr>
        <w:pStyle w:val="ListParagraph"/>
        <w:numPr>
          <w:ilvl w:val="0"/>
          <w:numId w:val="2"/>
        </w:numPr>
        <w:spacing w:after="80" w:line="280" w:lineRule="auto"/>
      </w:pPr>
      <w:r>
        <w:t>In-pipe pressure profiles and pump events, which underpinned the water-hammer analysis.</w:t>
      </w:r>
    </w:p>
    <w:p w14:paraId="291059E6" w14:textId="77777777" w:rsidR="004E6828" w:rsidRDefault="00000000">
      <w:pPr>
        <w:pStyle w:val="Heading2"/>
      </w:pPr>
      <w:r>
        <w:t>3. Forecasting Model</w:t>
      </w:r>
    </w:p>
    <w:p w14:paraId="7355A471" w14:textId="77777777" w:rsidR="004E6828" w:rsidRDefault="00000000">
      <w:pPr>
        <w:spacing w:after="120" w:line="300" w:lineRule="auto"/>
        <w:jc w:val="both"/>
      </w:pPr>
      <w:r>
        <w:lastRenderedPageBreak/>
        <w:t>On top of the feature set, we built a machine learning forecasting service that produced rolling predictions of incident volume and likely geographic distribution. Confidence levels achieved were: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400"/>
        <w:gridCol w:w="4360"/>
      </w:tblGrid>
      <w:tr w:rsidR="004E6828" w14:paraId="09FDEA91" w14:textId="77777777">
        <w:tblPrEx>
          <w:tblCellMar>
            <w:top w:w="0" w:type="dxa"/>
            <w:bottom w:w="0" w:type="dxa"/>
          </w:tblCellMar>
        </w:tblPrEx>
        <w:trPr>
          <w:tblHeader/>
        </w:trPr>
        <w:tc>
          <w:tcPr>
            <w:tcW w:w="2600" w:type="dxa"/>
            <w:tcBorders>
              <w:top w:val="single" w:sz="4" w:space="0" w:color="BFD4E6"/>
              <w:left w:val="single" w:sz="4" w:space="0" w:color="BFD4E6"/>
              <w:bottom w:val="single" w:sz="4" w:space="0" w:color="BFD4E6"/>
              <w:right w:val="single" w:sz="4" w:space="0" w:color="BFD4E6"/>
            </w:tcBorders>
            <w:shd w:val="clear" w:color="auto" w:fill="EAF1F8"/>
            <w:tcMar>
              <w:top w:w="100" w:type="dxa"/>
              <w:left w:w="140" w:type="dxa"/>
              <w:bottom w:w="100" w:type="dxa"/>
              <w:right w:w="140" w:type="dxa"/>
            </w:tcMar>
          </w:tcPr>
          <w:p w14:paraId="379285BA" w14:textId="77777777" w:rsidR="004E6828" w:rsidRDefault="00000000">
            <w:r>
              <w:rPr>
                <w:b/>
                <w:bCs/>
                <w:color w:val="1F4E79"/>
              </w:rPr>
              <w:t>Forecast horizon</w:t>
            </w:r>
          </w:p>
        </w:tc>
        <w:tc>
          <w:tcPr>
            <w:tcW w:w="2400" w:type="dxa"/>
            <w:tcBorders>
              <w:top w:val="single" w:sz="4" w:space="0" w:color="BFD4E6"/>
              <w:left w:val="single" w:sz="4" w:space="0" w:color="BFD4E6"/>
              <w:bottom w:val="single" w:sz="4" w:space="0" w:color="BFD4E6"/>
              <w:right w:val="single" w:sz="4" w:space="0" w:color="BFD4E6"/>
            </w:tcBorders>
            <w:shd w:val="clear" w:color="auto" w:fill="EAF1F8"/>
            <w:tcMar>
              <w:top w:w="100" w:type="dxa"/>
              <w:left w:w="140" w:type="dxa"/>
              <w:bottom w:w="100" w:type="dxa"/>
              <w:right w:w="140" w:type="dxa"/>
            </w:tcMar>
          </w:tcPr>
          <w:p w14:paraId="0B210205" w14:textId="77777777" w:rsidR="004E6828" w:rsidRDefault="00000000">
            <w:r>
              <w:rPr>
                <w:b/>
                <w:bCs/>
                <w:color w:val="1F4E79"/>
              </w:rPr>
              <w:t>Confidence achieved</w:t>
            </w:r>
          </w:p>
        </w:tc>
        <w:tc>
          <w:tcPr>
            <w:tcW w:w="4360" w:type="dxa"/>
            <w:tcBorders>
              <w:top w:val="single" w:sz="4" w:space="0" w:color="BFD4E6"/>
              <w:left w:val="single" w:sz="4" w:space="0" w:color="BFD4E6"/>
              <w:bottom w:val="single" w:sz="4" w:space="0" w:color="BFD4E6"/>
              <w:right w:val="single" w:sz="4" w:space="0" w:color="BFD4E6"/>
            </w:tcBorders>
            <w:shd w:val="clear" w:color="auto" w:fill="EAF1F8"/>
            <w:tcMar>
              <w:top w:w="100" w:type="dxa"/>
              <w:left w:w="140" w:type="dxa"/>
              <w:bottom w:w="100" w:type="dxa"/>
              <w:right w:w="140" w:type="dxa"/>
            </w:tcMar>
          </w:tcPr>
          <w:p w14:paraId="0C573E4E" w14:textId="77777777" w:rsidR="004E6828" w:rsidRDefault="00000000">
            <w:r>
              <w:rPr>
                <w:b/>
                <w:bCs/>
                <w:color w:val="1F4E79"/>
              </w:rPr>
              <w:t>Operational use</w:t>
            </w:r>
          </w:p>
        </w:tc>
      </w:tr>
      <w:tr w:rsidR="004E6828" w14:paraId="55FE2B25" w14:textId="77777777">
        <w:tblPrEx>
          <w:tblCellMar>
            <w:top w:w="0" w:type="dxa"/>
            <w:bottom w:w="0" w:type="dxa"/>
          </w:tblCellMar>
        </w:tblPrEx>
        <w:tc>
          <w:tcPr>
            <w:tcW w:w="2600" w:type="dxa"/>
            <w:tcBorders>
              <w:top w:val="single" w:sz="4" w:space="0" w:color="BFD4E6"/>
              <w:left w:val="single" w:sz="4" w:space="0" w:color="BFD4E6"/>
              <w:bottom w:val="single" w:sz="4" w:space="0" w:color="BFD4E6"/>
              <w:right w:val="single" w:sz="4" w:space="0" w:color="BFD4E6"/>
            </w:tcBorders>
            <w:tcMar>
              <w:top w:w="100" w:type="dxa"/>
              <w:left w:w="140" w:type="dxa"/>
              <w:bottom w:w="100" w:type="dxa"/>
              <w:right w:w="140" w:type="dxa"/>
            </w:tcMar>
          </w:tcPr>
          <w:p w14:paraId="6D1C60F0" w14:textId="77777777" w:rsidR="004E6828" w:rsidRDefault="00000000">
            <w:r>
              <w:t>Daily</w:t>
            </w:r>
          </w:p>
        </w:tc>
        <w:tc>
          <w:tcPr>
            <w:tcW w:w="2400" w:type="dxa"/>
            <w:tcBorders>
              <w:top w:val="single" w:sz="4" w:space="0" w:color="BFD4E6"/>
              <w:left w:val="single" w:sz="4" w:space="0" w:color="BFD4E6"/>
              <w:bottom w:val="single" w:sz="4" w:space="0" w:color="BFD4E6"/>
              <w:right w:val="single" w:sz="4" w:space="0" w:color="BFD4E6"/>
            </w:tcBorders>
            <w:tcMar>
              <w:top w:w="100" w:type="dxa"/>
              <w:left w:w="140" w:type="dxa"/>
              <w:bottom w:w="100" w:type="dxa"/>
              <w:right w:w="140" w:type="dxa"/>
            </w:tcMar>
          </w:tcPr>
          <w:p w14:paraId="74BFD417" w14:textId="77777777" w:rsidR="004E6828" w:rsidRDefault="00000000">
            <w:r>
              <w:t>80%</w:t>
            </w:r>
          </w:p>
        </w:tc>
        <w:tc>
          <w:tcPr>
            <w:tcW w:w="4360" w:type="dxa"/>
            <w:tcBorders>
              <w:top w:val="single" w:sz="4" w:space="0" w:color="BFD4E6"/>
              <w:left w:val="single" w:sz="4" w:space="0" w:color="BFD4E6"/>
              <w:bottom w:val="single" w:sz="4" w:space="0" w:color="BFD4E6"/>
              <w:right w:val="single" w:sz="4" w:space="0" w:color="BFD4E6"/>
            </w:tcBorders>
            <w:tcMar>
              <w:top w:w="100" w:type="dxa"/>
              <w:left w:w="140" w:type="dxa"/>
              <w:bottom w:w="100" w:type="dxa"/>
              <w:right w:w="140" w:type="dxa"/>
            </w:tcMar>
          </w:tcPr>
          <w:p w14:paraId="7E386EC3" w14:textId="77777777" w:rsidR="004E6828" w:rsidRDefault="00000000">
            <w:r>
              <w:t>Crew sizing, shift mix, warehouse pre-staging</w:t>
            </w:r>
          </w:p>
        </w:tc>
      </w:tr>
      <w:tr w:rsidR="004E6828" w14:paraId="3346B4C5" w14:textId="77777777">
        <w:tblPrEx>
          <w:tblCellMar>
            <w:top w:w="0" w:type="dxa"/>
            <w:bottom w:w="0" w:type="dxa"/>
          </w:tblCellMar>
        </w:tblPrEx>
        <w:tc>
          <w:tcPr>
            <w:tcW w:w="2600" w:type="dxa"/>
            <w:tcBorders>
              <w:top w:val="single" w:sz="4" w:space="0" w:color="BFD4E6"/>
              <w:left w:val="single" w:sz="4" w:space="0" w:color="BFD4E6"/>
              <w:bottom w:val="single" w:sz="4" w:space="0" w:color="BFD4E6"/>
              <w:right w:val="single" w:sz="4" w:space="0" w:color="BFD4E6"/>
            </w:tcBorders>
            <w:shd w:val="clear" w:color="auto" w:fill="F5F8FB"/>
            <w:tcMar>
              <w:top w:w="100" w:type="dxa"/>
              <w:left w:w="140" w:type="dxa"/>
              <w:bottom w:w="100" w:type="dxa"/>
              <w:right w:w="140" w:type="dxa"/>
            </w:tcMar>
          </w:tcPr>
          <w:p w14:paraId="12CA1179" w14:textId="77777777" w:rsidR="004E6828" w:rsidRDefault="00000000">
            <w:r>
              <w:t>Weekly</w:t>
            </w:r>
          </w:p>
        </w:tc>
        <w:tc>
          <w:tcPr>
            <w:tcW w:w="2400" w:type="dxa"/>
            <w:tcBorders>
              <w:top w:val="single" w:sz="4" w:space="0" w:color="BFD4E6"/>
              <w:left w:val="single" w:sz="4" w:space="0" w:color="BFD4E6"/>
              <w:bottom w:val="single" w:sz="4" w:space="0" w:color="BFD4E6"/>
              <w:right w:val="single" w:sz="4" w:space="0" w:color="BFD4E6"/>
            </w:tcBorders>
            <w:shd w:val="clear" w:color="auto" w:fill="F5F8FB"/>
            <w:tcMar>
              <w:top w:w="100" w:type="dxa"/>
              <w:left w:w="140" w:type="dxa"/>
              <w:bottom w:w="100" w:type="dxa"/>
              <w:right w:w="140" w:type="dxa"/>
            </w:tcMar>
          </w:tcPr>
          <w:p w14:paraId="6D0CF910" w14:textId="77777777" w:rsidR="004E6828" w:rsidRDefault="00000000">
            <w:r>
              <w:t>90%</w:t>
            </w:r>
          </w:p>
        </w:tc>
        <w:tc>
          <w:tcPr>
            <w:tcW w:w="4360" w:type="dxa"/>
            <w:tcBorders>
              <w:top w:val="single" w:sz="4" w:space="0" w:color="BFD4E6"/>
              <w:left w:val="single" w:sz="4" w:space="0" w:color="BFD4E6"/>
              <w:bottom w:val="single" w:sz="4" w:space="0" w:color="BFD4E6"/>
              <w:right w:val="single" w:sz="4" w:space="0" w:color="BFD4E6"/>
            </w:tcBorders>
            <w:shd w:val="clear" w:color="auto" w:fill="F5F8FB"/>
            <w:tcMar>
              <w:top w:w="100" w:type="dxa"/>
              <w:left w:w="140" w:type="dxa"/>
              <w:bottom w:w="100" w:type="dxa"/>
              <w:right w:w="140" w:type="dxa"/>
            </w:tcMar>
          </w:tcPr>
          <w:p w14:paraId="25BBDE2A" w14:textId="77777777" w:rsidR="004E6828" w:rsidRDefault="00000000">
            <w:r>
              <w:t>City Hall coordination, road-closure planning</w:t>
            </w:r>
          </w:p>
        </w:tc>
      </w:tr>
      <w:tr w:rsidR="004E6828" w14:paraId="093C7927" w14:textId="77777777">
        <w:tblPrEx>
          <w:tblCellMar>
            <w:top w:w="0" w:type="dxa"/>
            <w:bottom w:w="0" w:type="dxa"/>
          </w:tblCellMar>
        </w:tblPrEx>
        <w:tc>
          <w:tcPr>
            <w:tcW w:w="2600" w:type="dxa"/>
            <w:tcBorders>
              <w:top w:val="single" w:sz="4" w:space="0" w:color="BFD4E6"/>
              <w:left w:val="single" w:sz="4" w:space="0" w:color="BFD4E6"/>
              <w:bottom w:val="single" w:sz="4" w:space="0" w:color="BFD4E6"/>
              <w:right w:val="single" w:sz="4" w:space="0" w:color="BFD4E6"/>
            </w:tcBorders>
            <w:tcMar>
              <w:top w:w="100" w:type="dxa"/>
              <w:left w:w="140" w:type="dxa"/>
              <w:bottom w:w="100" w:type="dxa"/>
              <w:right w:w="140" w:type="dxa"/>
            </w:tcMar>
          </w:tcPr>
          <w:p w14:paraId="3A91B64B" w14:textId="77777777" w:rsidR="004E6828" w:rsidRDefault="00000000">
            <w:r>
              <w:t>Monthly</w:t>
            </w:r>
          </w:p>
        </w:tc>
        <w:tc>
          <w:tcPr>
            <w:tcW w:w="2400" w:type="dxa"/>
            <w:tcBorders>
              <w:top w:val="single" w:sz="4" w:space="0" w:color="BFD4E6"/>
              <w:left w:val="single" w:sz="4" w:space="0" w:color="BFD4E6"/>
              <w:bottom w:val="single" w:sz="4" w:space="0" w:color="BFD4E6"/>
              <w:right w:val="single" w:sz="4" w:space="0" w:color="BFD4E6"/>
            </w:tcBorders>
            <w:tcMar>
              <w:top w:w="100" w:type="dxa"/>
              <w:left w:w="140" w:type="dxa"/>
              <w:bottom w:w="100" w:type="dxa"/>
              <w:right w:w="140" w:type="dxa"/>
            </w:tcMar>
          </w:tcPr>
          <w:p w14:paraId="030B3517" w14:textId="77777777" w:rsidR="004E6828" w:rsidRDefault="00000000">
            <w:r>
              <w:t>93%</w:t>
            </w:r>
          </w:p>
        </w:tc>
        <w:tc>
          <w:tcPr>
            <w:tcW w:w="4360" w:type="dxa"/>
            <w:tcBorders>
              <w:top w:val="single" w:sz="4" w:space="0" w:color="BFD4E6"/>
              <w:left w:val="single" w:sz="4" w:space="0" w:color="BFD4E6"/>
              <w:bottom w:val="single" w:sz="4" w:space="0" w:color="BFD4E6"/>
              <w:right w:val="single" w:sz="4" w:space="0" w:color="BFD4E6"/>
            </w:tcBorders>
            <w:tcMar>
              <w:top w:w="100" w:type="dxa"/>
              <w:left w:w="140" w:type="dxa"/>
              <w:bottom w:w="100" w:type="dxa"/>
              <w:right w:w="140" w:type="dxa"/>
            </w:tcMar>
          </w:tcPr>
          <w:p w14:paraId="60005EAA" w14:textId="77777777" w:rsidR="004E6828" w:rsidRDefault="00000000">
            <w:r>
              <w:t xml:space="preserve">Capacity planning, procurement, capital </w:t>
            </w:r>
            <w:proofErr w:type="spellStart"/>
            <w:r>
              <w:t>prioritisation</w:t>
            </w:r>
            <w:proofErr w:type="spellEnd"/>
          </w:p>
        </w:tc>
      </w:tr>
    </w:tbl>
    <w:p w14:paraId="70008C08" w14:textId="77777777" w:rsidR="004E6828" w:rsidRDefault="00000000">
      <w:pPr>
        <w:spacing w:after="120" w:line="300" w:lineRule="auto"/>
        <w:jc w:val="both"/>
      </w:pPr>
      <w:r>
        <w:rPr>
          <w:i/>
          <w:iCs/>
        </w:rPr>
        <w:t xml:space="preserve">Daily 80% confidence sounds modest in </w:t>
      </w:r>
      <w:proofErr w:type="gramStart"/>
      <w:r>
        <w:rPr>
          <w:i/>
          <w:iCs/>
        </w:rPr>
        <w:t>isolation, but</w:t>
      </w:r>
      <w:proofErr w:type="gramEnd"/>
      <w:r>
        <w:rPr>
          <w:i/>
          <w:iCs/>
        </w:rPr>
        <w:t xml:space="preserve"> compared to the prior baseline — which was effectively zero forecasting capability and pure post-factum reaction — it was transformative. For the first time the operations team had a defensible heads-up on where and when incidents were most likely to occur, several days in advance.</w:t>
      </w:r>
    </w:p>
    <w:p w14:paraId="6008F7F4" w14:textId="77777777" w:rsidR="004E6828" w:rsidRDefault="00000000">
      <w:pPr>
        <w:pStyle w:val="Heading2"/>
      </w:pPr>
      <w:r>
        <w:t>4. Alerting and SAP Integration</w:t>
      </w:r>
    </w:p>
    <w:p w14:paraId="531D3EF4" w14:textId="77777777" w:rsidR="004E6828" w:rsidRDefault="00000000">
      <w:pPr>
        <w:spacing w:after="120" w:line="300" w:lineRule="auto"/>
        <w:jc w:val="both"/>
      </w:pPr>
      <w:r>
        <w:t xml:space="preserve">Insights only matter if they land where work is </w:t>
      </w:r>
      <w:proofErr w:type="gramStart"/>
      <w:r>
        <w:t>actually dispatched</w:t>
      </w:r>
      <w:proofErr w:type="gramEnd"/>
      <w:r>
        <w:t>. We built a KPI and alert management layer in PostgreSQL and connected it back into SAP via a custom REST API integration. Forecast-driven alerts and threshold breaches generated work orders and dispatch signals inside the system the operations team already used every day, so the predictive layer never became a parallel tool that people had to remember to check.</w:t>
      </w:r>
    </w:p>
    <w:p w14:paraId="24050563" w14:textId="77777777" w:rsidR="004E6828" w:rsidRDefault="00000000">
      <w:pPr>
        <w:pStyle w:val="Heading2"/>
      </w:pPr>
      <w:r>
        <w:t xml:space="preserve">5. </w:t>
      </w:r>
      <w:proofErr w:type="spellStart"/>
      <w:r>
        <w:t>Visualisation</w:t>
      </w:r>
      <w:proofErr w:type="spellEnd"/>
    </w:p>
    <w:p w14:paraId="6FAC6C45" w14:textId="77777777" w:rsidR="004E6828" w:rsidRDefault="00000000">
      <w:pPr>
        <w:spacing w:after="120" w:line="300" w:lineRule="auto"/>
        <w:jc w:val="both"/>
      </w:pPr>
      <w:r>
        <w:t xml:space="preserve">Power BI served as the reporting and KPI surface for management and team </w:t>
      </w:r>
      <w:proofErr w:type="gramStart"/>
      <w:r>
        <w:t>leads</w:t>
      </w:r>
      <w:proofErr w:type="gramEnd"/>
      <w:r>
        <w:t xml:space="preserve">. Dashboards covered incident volume against forecasts, fix-time distribution, team </w:t>
      </w:r>
      <w:proofErr w:type="spellStart"/>
      <w:r>
        <w:t>utilisation</w:t>
      </w:r>
      <w:proofErr w:type="spellEnd"/>
      <w:r>
        <w:t xml:space="preserve"> and team-mix performance, warehouse readiness against predicted demand, and the live correlation between pressure profiles and infrastructure stress events. Each KPI was tied to a specific operational decision rather than just being a vanity metric.</w:t>
      </w:r>
    </w:p>
    <w:p w14:paraId="44C293F1" w14:textId="77777777" w:rsidR="004E6828" w:rsidRDefault="00000000">
      <w:pPr>
        <w:pStyle w:val="Heading2"/>
      </w:pPr>
      <w:r>
        <w:t>6. Engineering Recommendation: Water Hammer Mitigation</w:t>
      </w:r>
    </w:p>
    <w:p w14:paraId="77B26E92" w14:textId="77777777" w:rsidR="004E6828" w:rsidRDefault="00000000">
      <w:pPr>
        <w:spacing w:after="120" w:line="300" w:lineRule="auto"/>
        <w:jc w:val="both"/>
      </w:pPr>
      <w:r>
        <w:t>The analytical work surfaced a finding that crossed from data into civil engineering: pressure-related events — a combination of over-supply and water hammer following power-driven pump stoppages — were responsible for roughly half of all pipe failures, and the damage concentrated on sloped magistral sections. We quantified the potential damage exposure from these events, and on the back of that analysis the company approved the installation of automatic closures on magistral and sloped pipe segments. This was a data-driven capital decision, not a hunch.</w:t>
      </w:r>
    </w:p>
    <w:p w14:paraId="1348D812" w14:textId="77777777" w:rsidR="004E6828" w:rsidRDefault="004E6828">
      <w:pPr>
        <w:pBdr>
          <w:bottom w:val="single" w:sz="6" w:space="6" w:color="1F4E79"/>
        </w:pBdr>
        <w:spacing w:before="200" w:after="200"/>
      </w:pPr>
    </w:p>
    <w:p w14:paraId="6C95D5EC" w14:textId="77777777" w:rsidR="004E6828" w:rsidRDefault="00000000">
      <w:pPr>
        <w:pStyle w:val="Heading1"/>
      </w:pPr>
      <w:r>
        <w:lastRenderedPageBreak/>
        <w:t>III. Achieved Results</w:t>
      </w:r>
    </w:p>
    <w:p w14:paraId="4B3C9F18" w14:textId="77777777" w:rsidR="004E6828" w:rsidRDefault="00000000">
      <w:pPr>
        <w:spacing w:after="120" w:line="300" w:lineRule="auto"/>
        <w:jc w:val="both"/>
      </w:pPr>
      <w:r>
        <w:t>The project ran through a six-month implementation and support phase. The numbers below compare the post-implementation operational state to the pre-project baseline; the severity comparison is a year-over-year measurement against the same four-month window of the prior year, controlled for incident category.</w:t>
      </w:r>
    </w:p>
    <w:p w14:paraId="6FB025F8" w14:textId="77777777" w:rsidR="004E6828" w:rsidRDefault="00000000">
      <w:pPr>
        <w:pStyle w:val="Heading2"/>
      </w:pPr>
      <w:r>
        <w:t>Headline KPIs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0"/>
        <w:gridCol w:w="1800"/>
        <w:gridCol w:w="2200"/>
        <w:gridCol w:w="2300"/>
      </w:tblGrid>
      <w:tr w:rsidR="004E6828" w14:paraId="1486D243" w14:textId="77777777">
        <w:tblPrEx>
          <w:tblCellMar>
            <w:top w:w="0" w:type="dxa"/>
            <w:bottom w:w="0" w:type="dxa"/>
          </w:tblCellMar>
        </w:tblPrEx>
        <w:trPr>
          <w:tblHeader/>
        </w:trPr>
        <w:tc>
          <w:tcPr>
            <w:tcW w:w="3060" w:type="dxa"/>
            <w:tcBorders>
              <w:top w:val="single" w:sz="4" w:space="0" w:color="BFD4E6"/>
              <w:left w:val="single" w:sz="4" w:space="0" w:color="BFD4E6"/>
              <w:bottom w:val="single" w:sz="4" w:space="0" w:color="BFD4E6"/>
              <w:right w:val="single" w:sz="4" w:space="0" w:color="BFD4E6"/>
            </w:tcBorders>
            <w:shd w:val="clear" w:color="auto" w:fill="EAF1F8"/>
            <w:tcMar>
              <w:top w:w="100" w:type="dxa"/>
              <w:left w:w="140" w:type="dxa"/>
              <w:bottom w:w="100" w:type="dxa"/>
              <w:right w:w="140" w:type="dxa"/>
            </w:tcMar>
          </w:tcPr>
          <w:p w14:paraId="53AD9B85" w14:textId="77777777" w:rsidR="004E6828" w:rsidRDefault="00000000">
            <w:r>
              <w:rPr>
                <w:b/>
                <w:bCs/>
                <w:color w:val="1F4E79"/>
              </w:rPr>
              <w:t>Metric</w:t>
            </w:r>
          </w:p>
        </w:tc>
        <w:tc>
          <w:tcPr>
            <w:tcW w:w="1800" w:type="dxa"/>
            <w:tcBorders>
              <w:top w:val="single" w:sz="4" w:space="0" w:color="BFD4E6"/>
              <w:left w:val="single" w:sz="4" w:space="0" w:color="BFD4E6"/>
              <w:bottom w:val="single" w:sz="4" w:space="0" w:color="BFD4E6"/>
              <w:right w:val="single" w:sz="4" w:space="0" w:color="BFD4E6"/>
            </w:tcBorders>
            <w:shd w:val="clear" w:color="auto" w:fill="EAF1F8"/>
            <w:tcMar>
              <w:top w:w="100" w:type="dxa"/>
              <w:left w:w="140" w:type="dxa"/>
              <w:bottom w:w="100" w:type="dxa"/>
              <w:right w:w="140" w:type="dxa"/>
            </w:tcMar>
          </w:tcPr>
          <w:p w14:paraId="4634240B" w14:textId="77777777" w:rsidR="004E6828" w:rsidRDefault="00000000">
            <w:r>
              <w:rPr>
                <w:b/>
                <w:bCs/>
                <w:color w:val="1F4E79"/>
              </w:rPr>
              <w:t>Before</w:t>
            </w:r>
          </w:p>
        </w:tc>
        <w:tc>
          <w:tcPr>
            <w:tcW w:w="2200" w:type="dxa"/>
            <w:tcBorders>
              <w:top w:val="single" w:sz="4" w:space="0" w:color="BFD4E6"/>
              <w:left w:val="single" w:sz="4" w:space="0" w:color="BFD4E6"/>
              <w:bottom w:val="single" w:sz="4" w:space="0" w:color="BFD4E6"/>
              <w:right w:val="single" w:sz="4" w:space="0" w:color="BFD4E6"/>
            </w:tcBorders>
            <w:shd w:val="clear" w:color="auto" w:fill="EAF1F8"/>
            <w:tcMar>
              <w:top w:w="100" w:type="dxa"/>
              <w:left w:w="140" w:type="dxa"/>
              <w:bottom w:w="100" w:type="dxa"/>
              <w:right w:w="140" w:type="dxa"/>
            </w:tcMar>
          </w:tcPr>
          <w:p w14:paraId="595794F5" w14:textId="77777777" w:rsidR="004E6828" w:rsidRDefault="00000000">
            <w:r>
              <w:rPr>
                <w:b/>
                <w:bCs/>
                <w:color w:val="1F4E79"/>
              </w:rPr>
              <w:t>After</w:t>
            </w:r>
          </w:p>
        </w:tc>
        <w:tc>
          <w:tcPr>
            <w:tcW w:w="2300" w:type="dxa"/>
            <w:tcBorders>
              <w:top w:val="single" w:sz="4" w:space="0" w:color="BFD4E6"/>
              <w:left w:val="single" w:sz="4" w:space="0" w:color="BFD4E6"/>
              <w:bottom w:val="single" w:sz="4" w:space="0" w:color="BFD4E6"/>
              <w:right w:val="single" w:sz="4" w:space="0" w:color="BFD4E6"/>
            </w:tcBorders>
            <w:shd w:val="clear" w:color="auto" w:fill="EAF1F8"/>
            <w:tcMar>
              <w:top w:w="100" w:type="dxa"/>
              <w:left w:w="140" w:type="dxa"/>
              <w:bottom w:w="100" w:type="dxa"/>
              <w:right w:w="140" w:type="dxa"/>
            </w:tcMar>
          </w:tcPr>
          <w:p w14:paraId="0FFA687A" w14:textId="77777777" w:rsidR="004E6828" w:rsidRDefault="00000000">
            <w:r>
              <w:rPr>
                <w:b/>
                <w:bCs/>
                <w:color w:val="1F4E79"/>
              </w:rPr>
              <w:t>Improvement</w:t>
            </w:r>
          </w:p>
        </w:tc>
      </w:tr>
      <w:tr w:rsidR="004E6828" w14:paraId="4BA979CF" w14:textId="77777777">
        <w:tblPrEx>
          <w:tblCellMar>
            <w:top w:w="0" w:type="dxa"/>
            <w:bottom w:w="0" w:type="dxa"/>
          </w:tblCellMar>
        </w:tblPrEx>
        <w:tc>
          <w:tcPr>
            <w:tcW w:w="3060" w:type="dxa"/>
            <w:tcBorders>
              <w:top w:val="single" w:sz="4" w:space="0" w:color="BFD4E6"/>
              <w:left w:val="single" w:sz="4" w:space="0" w:color="BFD4E6"/>
              <w:bottom w:val="single" w:sz="4" w:space="0" w:color="BFD4E6"/>
              <w:right w:val="single" w:sz="4" w:space="0" w:color="BFD4E6"/>
            </w:tcBorders>
            <w:tcMar>
              <w:top w:w="100" w:type="dxa"/>
              <w:left w:w="140" w:type="dxa"/>
              <w:bottom w:w="100" w:type="dxa"/>
              <w:right w:w="140" w:type="dxa"/>
            </w:tcMar>
          </w:tcPr>
          <w:p w14:paraId="133D01D3" w14:textId="77777777" w:rsidR="004E6828" w:rsidRDefault="00000000">
            <w:r>
              <w:rPr>
                <w:b/>
                <w:bCs/>
              </w:rPr>
              <w:t>Incidents resolved per day</w:t>
            </w:r>
          </w:p>
        </w:tc>
        <w:tc>
          <w:tcPr>
            <w:tcW w:w="1800" w:type="dxa"/>
            <w:tcBorders>
              <w:top w:val="single" w:sz="4" w:space="0" w:color="BFD4E6"/>
              <w:left w:val="single" w:sz="4" w:space="0" w:color="BFD4E6"/>
              <w:bottom w:val="single" w:sz="4" w:space="0" w:color="BFD4E6"/>
              <w:right w:val="single" w:sz="4" w:space="0" w:color="BFD4E6"/>
            </w:tcBorders>
            <w:tcMar>
              <w:top w:w="100" w:type="dxa"/>
              <w:left w:w="140" w:type="dxa"/>
              <w:bottom w:w="100" w:type="dxa"/>
              <w:right w:w="140" w:type="dxa"/>
            </w:tcMar>
          </w:tcPr>
          <w:p w14:paraId="267BB8F2" w14:textId="77777777" w:rsidR="004E6828" w:rsidRDefault="00000000">
            <w:r>
              <w:t>40 – 55</w:t>
            </w:r>
          </w:p>
        </w:tc>
        <w:tc>
          <w:tcPr>
            <w:tcW w:w="2200" w:type="dxa"/>
            <w:tcBorders>
              <w:top w:val="single" w:sz="4" w:space="0" w:color="BFD4E6"/>
              <w:left w:val="single" w:sz="4" w:space="0" w:color="BFD4E6"/>
              <w:bottom w:val="single" w:sz="4" w:space="0" w:color="BFD4E6"/>
              <w:right w:val="single" w:sz="4" w:space="0" w:color="BFD4E6"/>
            </w:tcBorders>
            <w:tcMar>
              <w:top w:w="100" w:type="dxa"/>
              <w:left w:w="140" w:type="dxa"/>
              <w:bottom w:w="100" w:type="dxa"/>
              <w:right w:w="140" w:type="dxa"/>
            </w:tcMar>
          </w:tcPr>
          <w:p w14:paraId="7372E5B7" w14:textId="77777777" w:rsidR="004E6828" w:rsidRDefault="00000000">
            <w:r>
              <w:t>80 – 140</w:t>
            </w:r>
          </w:p>
        </w:tc>
        <w:tc>
          <w:tcPr>
            <w:tcW w:w="2300" w:type="dxa"/>
            <w:tcBorders>
              <w:top w:val="single" w:sz="4" w:space="0" w:color="BFD4E6"/>
              <w:left w:val="single" w:sz="4" w:space="0" w:color="BFD4E6"/>
              <w:bottom w:val="single" w:sz="4" w:space="0" w:color="BFD4E6"/>
              <w:right w:val="single" w:sz="4" w:space="0" w:color="BFD4E6"/>
            </w:tcBorders>
            <w:tcMar>
              <w:top w:w="100" w:type="dxa"/>
              <w:left w:w="140" w:type="dxa"/>
              <w:bottom w:w="100" w:type="dxa"/>
              <w:right w:w="140" w:type="dxa"/>
            </w:tcMar>
          </w:tcPr>
          <w:p w14:paraId="19E39A77" w14:textId="77777777" w:rsidR="004E6828" w:rsidRDefault="00000000">
            <w:r>
              <w:t>+100% to +150%</w:t>
            </w:r>
          </w:p>
        </w:tc>
      </w:tr>
      <w:tr w:rsidR="004E6828" w14:paraId="569A57B1" w14:textId="77777777">
        <w:tblPrEx>
          <w:tblCellMar>
            <w:top w:w="0" w:type="dxa"/>
            <w:bottom w:w="0" w:type="dxa"/>
          </w:tblCellMar>
        </w:tblPrEx>
        <w:tc>
          <w:tcPr>
            <w:tcW w:w="3060" w:type="dxa"/>
            <w:tcBorders>
              <w:top w:val="single" w:sz="4" w:space="0" w:color="BFD4E6"/>
              <w:left w:val="single" w:sz="4" w:space="0" w:color="BFD4E6"/>
              <w:bottom w:val="single" w:sz="4" w:space="0" w:color="BFD4E6"/>
              <w:right w:val="single" w:sz="4" w:space="0" w:color="BFD4E6"/>
            </w:tcBorders>
            <w:shd w:val="clear" w:color="auto" w:fill="F5F8FB"/>
            <w:tcMar>
              <w:top w:w="100" w:type="dxa"/>
              <w:left w:w="140" w:type="dxa"/>
              <w:bottom w:w="100" w:type="dxa"/>
              <w:right w:w="140" w:type="dxa"/>
            </w:tcMar>
          </w:tcPr>
          <w:p w14:paraId="3FB2C4FA" w14:textId="77777777" w:rsidR="004E6828" w:rsidRDefault="00000000">
            <w:r>
              <w:rPr>
                <w:b/>
                <w:bCs/>
              </w:rPr>
              <w:t>Average fix time per incident</w:t>
            </w:r>
          </w:p>
        </w:tc>
        <w:tc>
          <w:tcPr>
            <w:tcW w:w="1800" w:type="dxa"/>
            <w:tcBorders>
              <w:top w:val="single" w:sz="4" w:space="0" w:color="BFD4E6"/>
              <w:left w:val="single" w:sz="4" w:space="0" w:color="BFD4E6"/>
              <w:bottom w:val="single" w:sz="4" w:space="0" w:color="BFD4E6"/>
              <w:right w:val="single" w:sz="4" w:space="0" w:color="BFD4E6"/>
            </w:tcBorders>
            <w:shd w:val="clear" w:color="auto" w:fill="F5F8FB"/>
            <w:tcMar>
              <w:top w:w="100" w:type="dxa"/>
              <w:left w:w="140" w:type="dxa"/>
              <w:bottom w:w="100" w:type="dxa"/>
              <w:right w:w="140" w:type="dxa"/>
            </w:tcMar>
          </w:tcPr>
          <w:p w14:paraId="483B8F4D" w14:textId="77777777" w:rsidR="004E6828" w:rsidRDefault="00000000">
            <w:r>
              <w:t>4.5 hours</w:t>
            </w:r>
          </w:p>
        </w:tc>
        <w:tc>
          <w:tcPr>
            <w:tcW w:w="2200" w:type="dxa"/>
            <w:tcBorders>
              <w:top w:val="single" w:sz="4" w:space="0" w:color="BFD4E6"/>
              <w:left w:val="single" w:sz="4" w:space="0" w:color="BFD4E6"/>
              <w:bottom w:val="single" w:sz="4" w:space="0" w:color="BFD4E6"/>
              <w:right w:val="single" w:sz="4" w:space="0" w:color="BFD4E6"/>
            </w:tcBorders>
            <w:shd w:val="clear" w:color="auto" w:fill="F5F8FB"/>
            <w:tcMar>
              <w:top w:w="100" w:type="dxa"/>
              <w:left w:w="140" w:type="dxa"/>
              <w:bottom w:w="100" w:type="dxa"/>
              <w:right w:w="140" w:type="dxa"/>
            </w:tcMar>
          </w:tcPr>
          <w:p w14:paraId="2FF546B4" w14:textId="77777777" w:rsidR="004E6828" w:rsidRDefault="00000000">
            <w:r>
              <w:t>3.0 hours</w:t>
            </w:r>
          </w:p>
        </w:tc>
        <w:tc>
          <w:tcPr>
            <w:tcW w:w="2300" w:type="dxa"/>
            <w:tcBorders>
              <w:top w:val="single" w:sz="4" w:space="0" w:color="BFD4E6"/>
              <w:left w:val="single" w:sz="4" w:space="0" w:color="BFD4E6"/>
              <w:bottom w:val="single" w:sz="4" w:space="0" w:color="BFD4E6"/>
              <w:right w:val="single" w:sz="4" w:space="0" w:color="BFD4E6"/>
            </w:tcBorders>
            <w:shd w:val="clear" w:color="auto" w:fill="F5F8FB"/>
            <w:tcMar>
              <w:top w:w="100" w:type="dxa"/>
              <w:left w:w="140" w:type="dxa"/>
              <w:bottom w:w="100" w:type="dxa"/>
              <w:right w:w="140" w:type="dxa"/>
            </w:tcMar>
          </w:tcPr>
          <w:p w14:paraId="6FA63709" w14:textId="77777777" w:rsidR="004E6828" w:rsidRDefault="00000000">
            <w:r>
              <w:t>33% faster</w:t>
            </w:r>
          </w:p>
        </w:tc>
      </w:tr>
      <w:tr w:rsidR="004E6828" w14:paraId="167EC486" w14:textId="77777777">
        <w:tblPrEx>
          <w:tblCellMar>
            <w:top w:w="0" w:type="dxa"/>
            <w:bottom w:w="0" w:type="dxa"/>
          </w:tblCellMar>
        </w:tblPrEx>
        <w:tc>
          <w:tcPr>
            <w:tcW w:w="3060" w:type="dxa"/>
            <w:tcBorders>
              <w:top w:val="single" w:sz="4" w:space="0" w:color="BFD4E6"/>
              <w:left w:val="single" w:sz="4" w:space="0" w:color="BFD4E6"/>
              <w:bottom w:val="single" w:sz="4" w:space="0" w:color="BFD4E6"/>
              <w:right w:val="single" w:sz="4" w:space="0" w:color="BFD4E6"/>
            </w:tcBorders>
            <w:tcMar>
              <w:top w:w="100" w:type="dxa"/>
              <w:left w:w="140" w:type="dxa"/>
              <w:bottom w:w="100" w:type="dxa"/>
              <w:right w:w="140" w:type="dxa"/>
            </w:tcMar>
          </w:tcPr>
          <w:p w14:paraId="7A231237" w14:textId="77777777" w:rsidR="004E6828" w:rsidRDefault="00000000">
            <w:r>
              <w:rPr>
                <w:b/>
                <w:bCs/>
              </w:rPr>
              <w:t>High-severity pipe bursts (YoY, same 4-month window, same category)</w:t>
            </w:r>
          </w:p>
        </w:tc>
        <w:tc>
          <w:tcPr>
            <w:tcW w:w="1800" w:type="dxa"/>
            <w:tcBorders>
              <w:top w:val="single" w:sz="4" w:space="0" w:color="BFD4E6"/>
              <w:left w:val="single" w:sz="4" w:space="0" w:color="BFD4E6"/>
              <w:bottom w:val="single" w:sz="4" w:space="0" w:color="BFD4E6"/>
              <w:right w:val="single" w:sz="4" w:space="0" w:color="BFD4E6"/>
            </w:tcBorders>
            <w:tcMar>
              <w:top w:w="100" w:type="dxa"/>
              <w:left w:w="140" w:type="dxa"/>
              <w:bottom w:w="100" w:type="dxa"/>
              <w:right w:w="140" w:type="dxa"/>
            </w:tcMar>
          </w:tcPr>
          <w:p w14:paraId="2E7EBDEB" w14:textId="77777777" w:rsidR="004E6828" w:rsidRDefault="00000000">
            <w:r>
              <w:t>Baseline</w:t>
            </w:r>
          </w:p>
        </w:tc>
        <w:tc>
          <w:tcPr>
            <w:tcW w:w="2200" w:type="dxa"/>
            <w:tcBorders>
              <w:top w:val="single" w:sz="4" w:space="0" w:color="BFD4E6"/>
              <w:left w:val="single" w:sz="4" w:space="0" w:color="BFD4E6"/>
              <w:bottom w:val="single" w:sz="4" w:space="0" w:color="BFD4E6"/>
              <w:right w:val="single" w:sz="4" w:space="0" w:color="BFD4E6"/>
            </w:tcBorders>
            <w:tcMar>
              <w:top w:w="100" w:type="dxa"/>
              <w:left w:w="140" w:type="dxa"/>
              <w:bottom w:w="100" w:type="dxa"/>
              <w:right w:w="140" w:type="dxa"/>
            </w:tcMar>
          </w:tcPr>
          <w:p w14:paraId="4F48B69D" w14:textId="77777777" w:rsidR="004E6828" w:rsidRDefault="00000000">
            <w:r>
              <w:t>−12%</w:t>
            </w:r>
          </w:p>
        </w:tc>
        <w:tc>
          <w:tcPr>
            <w:tcW w:w="2300" w:type="dxa"/>
            <w:tcBorders>
              <w:top w:val="single" w:sz="4" w:space="0" w:color="BFD4E6"/>
              <w:left w:val="single" w:sz="4" w:space="0" w:color="BFD4E6"/>
              <w:bottom w:val="single" w:sz="4" w:space="0" w:color="BFD4E6"/>
              <w:right w:val="single" w:sz="4" w:space="0" w:color="BFD4E6"/>
            </w:tcBorders>
            <w:tcMar>
              <w:top w:w="100" w:type="dxa"/>
              <w:left w:w="140" w:type="dxa"/>
              <w:bottom w:w="100" w:type="dxa"/>
              <w:right w:w="140" w:type="dxa"/>
            </w:tcMar>
          </w:tcPr>
          <w:p w14:paraId="3392817F" w14:textId="77777777" w:rsidR="004E6828" w:rsidRDefault="00000000">
            <w:r>
              <w:t>Material reduction</w:t>
            </w:r>
          </w:p>
        </w:tc>
      </w:tr>
      <w:tr w:rsidR="004E6828" w14:paraId="7A6DB186" w14:textId="77777777">
        <w:tblPrEx>
          <w:tblCellMar>
            <w:top w:w="0" w:type="dxa"/>
            <w:bottom w:w="0" w:type="dxa"/>
          </w:tblCellMar>
        </w:tblPrEx>
        <w:tc>
          <w:tcPr>
            <w:tcW w:w="3060" w:type="dxa"/>
            <w:tcBorders>
              <w:top w:val="single" w:sz="4" w:space="0" w:color="BFD4E6"/>
              <w:left w:val="single" w:sz="4" w:space="0" w:color="BFD4E6"/>
              <w:bottom w:val="single" w:sz="4" w:space="0" w:color="BFD4E6"/>
              <w:right w:val="single" w:sz="4" w:space="0" w:color="BFD4E6"/>
            </w:tcBorders>
            <w:shd w:val="clear" w:color="auto" w:fill="F5F8FB"/>
            <w:tcMar>
              <w:top w:w="100" w:type="dxa"/>
              <w:left w:w="140" w:type="dxa"/>
              <w:bottom w:w="100" w:type="dxa"/>
              <w:right w:w="140" w:type="dxa"/>
            </w:tcMar>
          </w:tcPr>
          <w:p w14:paraId="184604ED" w14:textId="77777777" w:rsidR="004E6828" w:rsidRDefault="00000000">
            <w:r>
              <w:rPr>
                <w:b/>
                <w:bCs/>
              </w:rPr>
              <w:t>Forecasting capability</w:t>
            </w:r>
          </w:p>
        </w:tc>
        <w:tc>
          <w:tcPr>
            <w:tcW w:w="1800" w:type="dxa"/>
            <w:tcBorders>
              <w:top w:val="single" w:sz="4" w:space="0" w:color="BFD4E6"/>
              <w:left w:val="single" w:sz="4" w:space="0" w:color="BFD4E6"/>
              <w:bottom w:val="single" w:sz="4" w:space="0" w:color="BFD4E6"/>
              <w:right w:val="single" w:sz="4" w:space="0" w:color="BFD4E6"/>
            </w:tcBorders>
            <w:shd w:val="clear" w:color="auto" w:fill="F5F8FB"/>
            <w:tcMar>
              <w:top w:w="100" w:type="dxa"/>
              <w:left w:w="140" w:type="dxa"/>
              <w:bottom w:w="100" w:type="dxa"/>
              <w:right w:w="140" w:type="dxa"/>
            </w:tcMar>
          </w:tcPr>
          <w:p w14:paraId="5137AD12" w14:textId="77777777" w:rsidR="004E6828" w:rsidRDefault="00000000">
            <w:r>
              <w:t>None (post-factum)</w:t>
            </w:r>
          </w:p>
        </w:tc>
        <w:tc>
          <w:tcPr>
            <w:tcW w:w="2200" w:type="dxa"/>
            <w:tcBorders>
              <w:top w:val="single" w:sz="4" w:space="0" w:color="BFD4E6"/>
              <w:left w:val="single" w:sz="4" w:space="0" w:color="BFD4E6"/>
              <w:bottom w:val="single" w:sz="4" w:space="0" w:color="BFD4E6"/>
              <w:right w:val="single" w:sz="4" w:space="0" w:color="BFD4E6"/>
            </w:tcBorders>
            <w:shd w:val="clear" w:color="auto" w:fill="F5F8FB"/>
            <w:tcMar>
              <w:top w:w="100" w:type="dxa"/>
              <w:left w:w="140" w:type="dxa"/>
              <w:bottom w:w="100" w:type="dxa"/>
              <w:right w:w="140" w:type="dxa"/>
            </w:tcMar>
          </w:tcPr>
          <w:p w14:paraId="5FF7757C" w14:textId="77777777" w:rsidR="004E6828" w:rsidRDefault="00000000">
            <w:r>
              <w:t>80% daily / 90% weekly / 93% monthly</w:t>
            </w:r>
          </w:p>
        </w:tc>
        <w:tc>
          <w:tcPr>
            <w:tcW w:w="2300" w:type="dxa"/>
            <w:tcBorders>
              <w:top w:val="single" w:sz="4" w:space="0" w:color="BFD4E6"/>
              <w:left w:val="single" w:sz="4" w:space="0" w:color="BFD4E6"/>
              <w:bottom w:val="single" w:sz="4" w:space="0" w:color="BFD4E6"/>
              <w:right w:val="single" w:sz="4" w:space="0" w:color="BFD4E6"/>
            </w:tcBorders>
            <w:shd w:val="clear" w:color="auto" w:fill="F5F8FB"/>
            <w:tcMar>
              <w:top w:w="100" w:type="dxa"/>
              <w:left w:w="140" w:type="dxa"/>
              <w:bottom w:w="100" w:type="dxa"/>
              <w:right w:w="140" w:type="dxa"/>
            </w:tcMar>
          </w:tcPr>
          <w:p w14:paraId="3363101B" w14:textId="77777777" w:rsidR="004E6828" w:rsidRDefault="00000000">
            <w:r>
              <w:t>From reactive to predictive</w:t>
            </w:r>
          </w:p>
        </w:tc>
      </w:tr>
      <w:tr w:rsidR="004E6828" w14:paraId="587AF808" w14:textId="77777777">
        <w:tblPrEx>
          <w:tblCellMar>
            <w:top w:w="0" w:type="dxa"/>
            <w:bottom w:w="0" w:type="dxa"/>
          </w:tblCellMar>
        </w:tblPrEx>
        <w:tc>
          <w:tcPr>
            <w:tcW w:w="3060" w:type="dxa"/>
            <w:tcBorders>
              <w:top w:val="single" w:sz="4" w:space="0" w:color="BFD4E6"/>
              <w:left w:val="single" w:sz="4" w:space="0" w:color="BFD4E6"/>
              <w:bottom w:val="single" w:sz="4" w:space="0" w:color="BFD4E6"/>
              <w:right w:val="single" w:sz="4" w:space="0" w:color="BFD4E6"/>
            </w:tcBorders>
            <w:tcMar>
              <w:top w:w="100" w:type="dxa"/>
              <w:left w:w="140" w:type="dxa"/>
              <w:bottom w:w="100" w:type="dxa"/>
              <w:right w:w="140" w:type="dxa"/>
            </w:tcMar>
          </w:tcPr>
          <w:p w14:paraId="5D405A17" w14:textId="77777777" w:rsidR="004E6828" w:rsidRDefault="00000000">
            <w:r>
              <w:rPr>
                <w:b/>
                <w:bCs/>
              </w:rPr>
              <w:t>Activated operational teams (out of 82)</w:t>
            </w:r>
          </w:p>
        </w:tc>
        <w:tc>
          <w:tcPr>
            <w:tcW w:w="1800" w:type="dxa"/>
            <w:tcBorders>
              <w:top w:val="single" w:sz="4" w:space="0" w:color="BFD4E6"/>
              <w:left w:val="single" w:sz="4" w:space="0" w:color="BFD4E6"/>
              <w:bottom w:val="single" w:sz="4" w:space="0" w:color="BFD4E6"/>
              <w:right w:val="single" w:sz="4" w:space="0" w:color="BFD4E6"/>
            </w:tcBorders>
            <w:tcMar>
              <w:top w:w="100" w:type="dxa"/>
              <w:left w:w="140" w:type="dxa"/>
              <w:bottom w:w="100" w:type="dxa"/>
              <w:right w:w="140" w:type="dxa"/>
            </w:tcMar>
          </w:tcPr>
          <w:p w14:paraId="08CCFA4D" w14:textId="77777777" w:rsidR="004E6828" w:rsidRDefault="00000000">
            <w:r>
              <w:t>~25</w:t>
            </w:r>
          </w:p>
        </w:tc>
        <w:tc>
          <w:tcPr>
            <w:tcW w:w="2200" w:type="dxa"/>
            <w:tcBorders>
              <w:top w:val="single" w:sz="4" w:space="0" w:color="BFD4E6"/>
              <w:left w:val="single" w:sz="4" w:space="0" w:color="BFD4E6"/>
              <w:bottom w:val="single" w:sz="4" w:space="0" w:color="BFD4E6"/>
              <w:right w:val="single" w:sz="4" w:space="0" w:color="BFD4E6"/>
            </w:tcBorders>
            <w:tcMar>
              <w:top w:w="100" w:type="dxa"/>
              <w:left w:w="140" w:type="dxa"/>
              <w:bottom w:w="100" w:type="dxa"/>
              <w:right w:w="140" w:type="dxa"/>
            </w:tcMar>
          </w:tcPr>
          <w:p w14:paraId="3AAB1C90" w14:textId="77777777" w:rsidR="004E6828" w:rsidRDefault="00000000">
            <w:r>
              <w:t>30</w:t>
            </w:r>
          </w:p>
        </w:tc>
        <w:tc>
          <w:tcPr>
            <w:tcW w:w="2300" w:type="dxa"/>
            <w:tcBorders>
              <w:top w:val="single" w:sz="4" w:space="0" w:color="BFD4E6"/>
              <w:left w:val="single" w:sz="4" w:space="0" w:color="BFD4E6"/>
              <w:bottom w:val="single" w:sz="4" w:space="0" w:color="BFD4E6"/>
              <w:right w:val="single" w:sz="4" w:space="0" w:color="BFD4E6"/>
            </w:tcBorders>
            <w:tcMar>
              <w:top w:w="100" w:type="dxa"/>
              <w:left w:w="140" w:type="dxa"/>
              <w:bottom w:w="100" w:type="dxa"/>
              <w:right w:w="140" w:type="dxa"/>
            </w:tcMar>
          </w:tcPr>
          <w:p w14:paraId="517389D1" w14:textId="77777777" w:rsidR="004E6828" w:rsidRDefault="00000000">
            <w:r>
              <w:t>+20% effective capacity</w:t>
            </w:r>
          </w:p>
        </w:tc>
      </w:tr>
    </w:tbl>
    <w:p w14:paraId="008A3456" w14:textId="77777777" w:rsidR="004E6828" w:rsidRDefault="00000000">
      <w:pPr>
        <w:pStyle w:val="Heading2"/>
      </w:pPr>
      <w:r>
        <w:t>Operational Efficiency Gains</w:t>
      </w:r>
    </w:p>
    <w:p w14:paraId="51066A28" w14:textId="77777777" w:rsidR="004E6828" w:rsidRDefault="00000000">
      <w:pPr>
        <w:spacing w:after="120" w:line="300" w:lineRule="auto"/>
        <w:jc w:val="both"/>
      </w:pPr>
      <w:r>
        <w:t>Daily field throughput moved from a range of 40–55 incidents to 80–140 incidents, a step change driven by three reinforcing factors. First, a new performance-based motivation program aligned field, warehouse, and fleet teams around shared completion KPIs, removing the prior incentive to delay reporting. Second, the threshold for what was logged as an incident was deliberately lowered: minor issues that previously would have been ignored were now treated as proactive maintenance, since the data showed how often "minor" turned into "catastrophic" within months. Third, average fix time fell from 4.5 hours to 3.0 hours — a 33% reduction — as warehouse pre-staging caught up with predicted demand and fleet availability stopped being a daily surprise.</w:t>
      </w:r>
    </w:p>
    <w:p w14:paraId="7E237318" w14:textId="77777777" w:rsidR="004E6828" w:rsidRDefault="00000000">
      <w:pPr>
        <w:spacing w:after="120" w:line="300" w:lineRule="auto"/>
        <w:jc w:val="both"/>
      </w:pPr>
      <w:r>
        <w:t>On capacity, the company effectively activated 30 of its 82 teams as fully productive units, up from a working baseline of around 25. The unlock was not new headcount; it was better team-mix design (skill, equipment, and vehicle combinations matched to forecasted incident profiles) and removing the coordination friction that had previously kept teams idle or misdirected.</w:t>
      </w:r>
    </w:p>
    <w:p w14:paraId="310360F9" w14:textId="77777777" w:rsidR="004E6828" w:rsidRDefault="00000000">
      <w:pPr>
        <w:pStyle w:val="Heading2"/>
      </w:pPr>
      <w:r>
        <w:t>Infrastructure and Risk Impact</w:t>
      </w:r>
    </w:p>
    <w:p w14:paraId="69ABF0AB" w14:textId="77777777" w:rsidR="004E6828" w:rsidRDefault="00000000">
      <w:pPr>
        <w:spacing w:after="120" w:line="300" w:lineRule="auto"/>
        <w:jc w:val="both"/>
      </w:pPr>
      <w:r>
        <w:lastRenderedPageBreak/>
        <w:t>In a controlled four-month period compared like-for-like against the same window in the prior year, high-severity pipe bursts in matched incident categories fell by 12%. This is the most meaningful number in the project for two reasons: it is measured against a real prior-year baseline rather than against an internal target, and high-severity bursts are precisely the events that drive water loss, property damage liability, and emergency overtime — the three categories where the company was bleeding money.</w:t>
      </w:r>
    </w:p>
    <w:p w14:paraId="043CC384" w14:textId="77777777" w:rsidR="004E6828" w:rsidRDefault="00000000">
      <w:pPr>
        <w:spacing w:after="120" w:line="300" w:lineRule="auto"/>
        <w:jc w:val="both"/>
      </w:pPr>
      <w:r>
        <w:t xml:space="preserve">Equally important, the operational posture changed. Before the project, the team worked entirely post-factum: a pipe burst, a citizen called, a crew was dispatched. After the project, the team had a daily, weekly, and monthly forward view of where pressure on the network was </w:t>
      </w:r>
      <w:proofErr w:type="gramStart"/>
      <w:r>
        <w:t>building</w:t>
      </w:r>
      <w:proofErr w:type="gramEnd"/>
      <w:r>
        <w:t>, which segments were most exposed, and what crew and stock posture was needed to absorb it. The water hammer mitigation program — automatic closures on magistral and sloped pipes — directly insured the highest-risk parts of the network against the failure mode the data showed was responsible for roughly half of pipe damage.</w:t>
      </w:r>
    </w:p>
    <w:p w14:paraId="2A2547F1" w14:textId="77777777" w:rsidR="004E6828" w:rsidRDefault="00000000">
      <w:pPr>
        <w:pStyle w:val="Heading2"/>
      </w:pPr>
      <w:r>
        <w:t>Strategic and Financial Impact</w:t>
      </w:r>
    </w:p>
    <w:p w14:paraId="7345A9BC" w14:textId="77777777" w:rsidR="004E6828" w:rsidRDefault="00000000">
      <w:pPr>
        <w:spacing w:after="120" w:line="300" w:lineRule="auto"/>
        <w:jc w:val="both"/>
      </w:pPr>
      <w:r>
        <w:t xml:space="preserve">The project shifted the financial profile of operations from emergency-driven </w:t>
      </w:r>
      <w:proofErr w:type="spellStart"/>
      <w:r>
        <w:t>OpEx</w:t>
      </w:r>
      <w:proofErr w:type="spellEnd"/>
      <w:r>
        <w:t xml:space="preserve"> toward planned, lower-cost maintenance. Because emergency repairs typically run three to five times the cost of planned work, the </w:t>
      </w:r>
      <w:proofErr w:type="gramStart"/>
      <w:r>
        <w:t>throughput increase</w:t>
      </w:r>
      <w:proofErr w:type="gramEnd"/>
      <w:r>
        <w:t xml:space="preserve"> is not just an efficiency story — it is a cost-of-failure reduction that compounds over the asset lifecycle. Lowering the incident threshold extended the useful life of the century-old asset base and deferred large-scale capital replacement programs, which is the most expensive line item any utility of this size faces.</w:t>
      </w:r>
    </w:p>
    <w:p w14:paraId="528D928C" w14:textId="77777777" w:rsidR="004E6828" w:rsidRDefault="00000000">
      <w:pPr>
        <w:spacing w:after="120" w:line="300" w:lineRule="auto"/>
        <w:jc w:val="both"/>
      </w:pPr>
      <w:r>
        <w:t xml:space="preserve">The relationship with City Hall also changed shape. With weekly forecasts at 90% confidence, the utility could give the city a forward heat-map of expected road closures and coordinate them as planned events rather than emergencies. The utility moved from being treated as a problematic </w:t>
      </w:r>
      <w:proofErr w:type="spellStart"/>
      <w:r>
        <w:t>neighbour</w:t>
      </w:r>
      <w:proofErr w:type="spellEnd"/>
      <w:r>
        <w:t xml:space="preserve"> to being treated as a data-driven partner in urban management — a soft outcome with hard consequences for permit speed and political capital.</w:t>
      </w:r>
    </w:p>
    <w:p w14:paraId="1C3BEB70" w14:textId="77777777" w:rsidR="004E6828" w:rsidRDefault="004E6828">
      <w:pPr>
        <w:pBdr>
          <w:bottom w:val="single" w:sz="6" w:space="6" w:color="1F4E79"/>
        </w:pBdr>
        <w:spacing w:before="200" w:after="200"/>
      </w:pPr>
    </w:p>
    <w:p w14:paraId="41C3F4B7" w14:textId="77777777" w:rsidR="004E6828" w:rsidRDefault="00000000">
      <w:pPr>
        <w:pStyle w:val="Heading1"/>
      </w:pPr>
      <w:r>
        <w:t>Reflection</w:t>
      </w:r>
    </w:p>
    <w:p w14:paraId="158FDFD5" w14:textId="77777777" w:rsidR="004E6828" w:rsidRDefault="00000000">
      <w:pPr>
        <w:spacing w:after="120" w:line="300" w:lineRule="auto"/>
        <w:jc w:val="both"/>
      </w:pPr>
      <w:r>
        <w:t xml:space="preserve">The most important lesson from this engagement is that the predictive model was not the project. The model mattered, but on its own it would have changed nothing. What moved the numbers was aligning four things at the same time: a coherent data foundation, a forecasting capability tied to actual decisions, an integration path back into the system people already used, and an honest redesign of the human incentives around field work, warehouse readiness, fleet maintenance, and inter-agency coordination. In large-scale utility operations, data is genuinely as vital a resource as the water itself — but only when the </w:t>
      </w:r>
      <w:proofErr w:type="spellStart"/>
      <w:r>
        <w:t>organisation</w:t>
      </w:r>
      <w:proofErr w:type="spellEnd"/>
      <w:r>
        <w:t xml:space="preserve"> is structured to act on it.</w:t>
      </w:r>
    </w:p>
    <w:sectPr w:rsidR="004E682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0E04FB"/>
    <w:multiLevelType w:val="hybridMultilevel"/>
    <w:tmpl w:val="83C0C940"/>
    <w:lvl w:ilvl="0" w:tplc="28A83352">
      <w:start w:val="1"/>
      <w:numFmt w:val="bullet"/>
      <w:lvlText w:val="●"/>
      <w:lvlJc w:val="left"/>
      <w:pPr>
        <w:ind w:left="720" w:hanging="360"/>
      </w:pPr>
    </w:lvl>
    <w:lvl w:ilvl="1" w:tplc="2702EC9E">
      <w:start w:val="1"/>
      <w:numFmt w:val="bullet"/>
      <w:lvlText w:val="○"/>
      <w:lvlJc w:val="left"/>
      <w:pPr>
        <w:ind w:left="1440" w:hanging="360"/>
      </w:pPr>
    </w:lvl>
    <w:lvl w:ilvl="2" w:tplc="3000C5C6">
      <w:start w:val="1"/>
      <w:numFmt w:val="bullet"/>
      <w:lvlText w:val="■"/>
      <w:lvlJc w:val="left"/>
      <w:pPr>
        <w:ind w:left="2160" w:hanging="360"/>
      </w:pPr>
    </w:lvl>
    <w:lvl w:ilvl="3" w:tplc="B76664C6">
      <w:start w:val="1"/>
      <w:numFmt w:val="bullet"/>
      <w:lvlText w:val="●"/>
      <w:lvlJc w:val="left"/>
      <w:pPr>
        <w:ind w:left="2880" w:hanging="360"/>
      </w:pPr>
    </w:lvl>
    <w:lvl w:ilvl="4" w:tplc="8E96A39E">
      <w:start w:val="1"/>
      <w:numFmt w:val="bullet"/>
      <w:lvlText w:val="○"/>
      <w:lvlJc w:val="left"/>
      <w:pPr>
        <w:ind w:left="3600" w:hanging="360"/>
      </w:pPr>
    </w:lvl>
    <w:lvl w:ilvl="5" w:tplc="797E5D66">
      <w:start w:val="1"/>
      <w:numFmt w:val="bullet"/>
      <w:lvlText w:val="■"/>
      <w:lvlJc w:val="left"/>
      <w:pPr>
        <w:ind w:left="4320" w:hanging="360"/>
      </w:pPr>
    </w:lvl>
    <w:lvl w:ilvl="6" w:tplc="98A8D23A">
      <w:start w:val="1"/>
      <w:numFmt w:val="bullet"/>
      <w:lvlText w:val="●"/>
      <w:lvlJc w:val="left"/>
      <w:pPr>
        <w:ind w:left="5040" w:hanging="360"/>
      </w:pPr>
    </w:lvl>
    <w:lvl w:ilvl="7" w:tplc="84FEAE14">
      <w:start w:val="1"/>
      <w:numFmt w:val="bullet"/>
      <w:lvlText w:val="●"/>
      <w:lvlJc w:val="left"/>
      <w:pPr>
        <w:ind w:left="5760" w:hanging="360"/>
      </w:pPr>
    </w:lvl>
    <w:lvl w:ilvl="8" w:tplc="B2CE1FFE">
      <w:start w:val="1"/>
      <w:numFmt w:val="bullet"/>
      <w:lvlText w:val="●"/>
      <w:lvlJc w:val="left"/>
      <w:pPr>
        <w:ind w:left="6480" w:hanging="360"/>
      </w:pPr>
    </w:lvl>
  </w:abstractNum>
  <w:abstractNum w:abstractNumId="1" w15:restartNumberingAfterBreak="0">
    <w:nsid w:val="584106BC"/>
    <w:multiLevelType w:val="hybridMultilevel"/>
    <w:tmpl w:val="3A789766"/>
    <w:lvl w:ilvl="0" w:tplc="91226020">
      <w:start w:val="1"/>
      <w:numFmt w:val="bullet"/>
      <w:lvlText w:val="•"/>
      <w:lvlJc w:val="left"/>
      <w:pPr>
        <w:ind w:left="720" w:hanging="360"/>
      </w:pPr>
    </w:lvl>
    <w:lvl w:ilvl="1" w:tplc="FFF4F08A">
      <w:start w:val="1"/>
      <w:numFmt w:val="bullet"/>
      <w:lvlText w:val="◦"/>
      <w:lvlJc w:val="left"/>
      <w:pPr>
        <w:ind w:left="1440" w:hanging="360"/>
      </w:pPr>
    </w:lvl>
    <w:lvl w:ilvl="2" w:tplc="7A3CBF14">
      <w:numFmt w:val="decimal"/>
      <w:lvlText w:val=""/>
      <w:lvlJc w:val="left"/>
    </w:lvl>
    <w:lvl w:ilvl="3" w:tplc="E3B2AECE">
      <w:numFmt w:val="decimal"/>
      <w:lvlText w:val=""/>
      <w:lvlJc w:val="left"/>
    </w:lvl>
    <w:lvl w:ilvl="4" w:tplc="99CCA0BA">
      <w:numFmt w:val="decimal"/>
      <w:lvlText w:val=""/>
      <w:lvlJc w:val="left"/>
    </w:lvl>
    <w:lvl w:ilvl="5" w:tplc="7A823442">
      <w:numFmt w:val="decimal"/>
      <w:lvlText w:val=""/>
      <w:lvlJc w:val="left"/>
    </w:lvl>
    <w:lvl w:ilvl="6" w:tplc="25C66150">
      <w:numFmt w:val="decimal"/>
      <w:lvlText w:val=""/>
      <w:lvlJc w:val="left"/>
    </w:lvl>
    <w:lvl w:ilvl="7" w:tplc="BD98E990">
      <w:numFmt w:val="decimal"/>
      <w:lvlText w:val=""/>
      <w:lvlJc w:val="left"/>
    </w:lvl>
    <w:lvl w:ilvl="8" w:tplc="BCF0CDD6">
      <w:numFmt w:val="decimal"/>
      <w:lvlText w:val=""/>
      <w:lvlJc w:val="left"/>
    </w:lvl>
  </w:abstractNum>
  <w:num w:numId="1" w16cid:durableId="881013188">
    <w:abstractNumId w:val="0"/>
    <w:lvlOverride w:ilvl="0">
      <w:startOverride w:val="1"/>
    </w:lvlOverride>
  </w:num>
  <w:num w:numId="2" w16cid:durableId="113803614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6828"/>
    <w:rsid w:val="004E6828"/>
    <w:rsid w:val="0068035F"/>
    <w:rsid w:val="00825A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3D1FC"/>
  <w15:docId w15:val="{AC9F8E58-33C0-4D92-B33A-36EB461A4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36"/>
      <w:szCs w:val="36"/>
    </w:rPr>
  </w:style>
  <w:style w:type="paragraph" w:styleId="Heading2">
    <w:name w:val="heading 2"/>
    <w:uiPriority w:val="9"/>
    <w:unhideWhenUsed/>
    <w:qFormat/>
    <w:pPr>
      <w:spacing w:before="280" w:after="140"/>
      <w:outlineLvl w:val="1"/>
    </w:pPr>
    <w:rPr>
      <w:b/>
      <w:bCs/>
      <w:color w:val="1F4E79"/>
      <w:sz w:val="28"/>
      <w:szCs w:val="28"/>
    </w:rPr>
  </w:style>
  <w:style w:type="paragraph" w:styleId="Heading3">
    <w:name w:val="heading 3"/>
    <w:uiPriority w:val="9"/>
    <w:unhideWhenUsed/>
    <w:qFormat/>
    <w:pPr>
      <w:spacing w:before="200" w:after="100"/>
      <w:outlineLvl w:val="2"/>
    </w:pPr>
    <w:rPr>
      <w:b/>
      <w:bCs/>
      <w:color w:val="2E598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2089</Words>
  <Characters>12083</Characters>
  <Application>Microsoft Office Word</Application>
  <DocSecurity>0</DocSecurity>
  <Lines>217</Lines>
  <Paragraphs>100</Paragraphs>
  <ScaleCrop>false</ScaleCrop>
  <Company/>
  <LinksUpToDate>false</LinksUpToDate>
  <CharactersWithSpaces>14104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Predictive Infrastructure &amp; Operational Optimization</dc:title>
  <dc:creator>Portfolio</dc:creator>
  <cp:lastModifiedBy>giorgi lomidze</cp:lastModifiedBy>
  <cp:revision>2</cp:revision>
  <dcterms:created xsi:type="dcterms:W3CDTF">2026-04-28T18:06:00Z</dcterms:created>
  <dcterms:modified xsi:type="dcterms:W3CDTF">2026-04-28T18:06:00Z</dcterms:modified>
</cp:coreProperties>
</file>