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</w:p>
    <w:p>
      <w:pPr>
        <w:spacing w:after="480"/>
      </w:pPr>
    </w:p>
    <w:p>
      <w:pPr>
        <w:spacing w:after="480"/>
      </w:pPr>
    </w:p>
    <w:p>
      <w:pPr>
        <w:spacing w:after="360"/>
        <w:jc w:val="center"/>
      </w:pPr>
      <w:r>
        <w:rPr>
          <w:rFonts w:ascii="Calibri" w:hAnsi="Calibri"/>
          <w:b/>
          <w:color w:val="C58B2A"/>
          <w:sz w:val="21"/>
        </w:rPr>
        <w:t>GUIDA ALLA PIATTAFORMA</w:t>
      </w:r>
    </w:p>
    <w:p>
      <w:pPr>
        <w:pStyle w:val="Title"/>
        <w:jc w:val="center"/>
      </w:pPr>
      <w:r>
        <w:t>Piattaforma di Calcolo</w:t>
        <w:br/>
        <w:t>— Guida introduttiva</w:t>
      </w:r>
    </w:p>
    <w:p>
      <w:pPr>
        <w:pStyle w:val="Subtitle"/>
        <w:jc w:val="center"/>
      </w:pPr>
      <w:r>
        <w:t>Cosa fa, come protegge l’affidabilità dei numeri e quali limiti governare.</w:t>
      </w:r>
    </w:p>
    <w:p>
      <w:pPr>
        <w:spacing w:before="320" w:after="680"/>
        <w:jc w:val="center"/>
        <w:pBdr>
          <w:bottom w:val="single" w:sz="12" w:space="1" w:color="C58B2A"/>
        </w:pBdr>
      </w:pPr>
    </w:p>
    <w:p>
      <w:pPr>
        <w:spacing w:after="80"/>
        <w:jc w:val="center"/>
      </w:pPr>
      <w:r>
        <w:rPr>
          <w:rFonts w:ascii="Calibri" w:hAnsi="Calibri"/>
          <w:b/>
          <w:color w:val="0B2545"/>
          <w:sz w:val="23"/>
        </w:rPr>
        <w:t>23 luglio 2026</w:t>
      </w:r>
    </w:p>
    <w:p>
      <w:pPr>
        <w:jc w:val="center"/>
      </w:pPr>
      <w:r>
        <w:rPr>
          <w:rFonts w:ascii="Calibri" w:hAnsi="Calibri"/>
          <w:i/>
          <w:color w:val="667085"/>
          <w:sz w:val="19"/>
        </w:rPr>
        <w:t>Panoramica per stakeholder non tecnici</w:t>
      </w:r>
    </w:p>
    <w:p>
      <w:r>
        <w:br w:type="page"/>
      </w:r>
    </w:p>
    <w:p>
      <w:pPr>
        <w:pStyle w:val="Heading1"/>
        <w:spacing w:before="0"/>
      </w:pPr>
      <w:r>
        <w:t>In breve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8" w:color="CAD3DD"/>
              <w:start w:val="single" w:sz="20" w:color="2E74B5"/>
              <w:bottom w:val="single" w:sz="8" w:color="CAD3DD"/>
              <w:end w:val="single" w:sz="8" w:color="CAD3DD"/>
            </w:tcBorders>
            <w:vAlign w:val="center"/>
          </w:tcPr>
          <w:p>
            <w:pPr>
              <w:spacing w:after="160"/>
            </w:pPr>
            <w:r>
              <w:rPr>
                <w:rFonts w:ascii="Calibri" w:hAnsi="Calibri"/>
                <w:b/>
                <w:color w:val="0B2545"/>
                <w:sz w:val="23"/>
              </w:rPr>
              <w:t>La piattaforma in una pagina</w:t>
            </w:r>
          </w:p>
          <w:p>
            <w:pPr>
              <w:numPr>
                <w:ilvl w:val="0"/>
                <w:numId w:val="10"/>
              </w:numPr>
              <w:spacing w:after="80" w:line="300" w:lineRule="auto"/>
            </w:pPr>
            <w:r>
              <w:t>È un motore deterministico per calcoli legali, fiscali, di lavoro, giudiziari e business.</w:t>
            </w:r>
          </w:p>
          <w:p>
            <w:pPr>
              <w:numPr>
                <w:ilvl w:val="0"/>
                <w:numId w:val="10"/>
              </w:numPr>
              <w:spacing w:after="80" w:line="300" w:lineRule="auto"/>
            </w:pPr>
            <w:r>
              <w:t>Serve a trasformare richieste espresse in linguaggio naturale in risultati spiegabili e ripetibili.</w:t>
            </w:r>
          </w:p>
          <w:p>
            <w:pPr>
              <w:numPr>
                <w:ilvl w:val="0"/>
                <w:numId w:val="10"/>
              </w:numPr>
              <w:spacing w:after="80" w:line="300" w:lineRule="auto"/>
            </w:pPr>
            <w:r>
              <w:t>È affidabile perché separa l’interpretazione dell’IA dall’aritmetica eseguita dal motore.</w:t>
            </w:r>
          </w:p>
          <w:p>
            <w:pPr>
              <w:numPr>
                <w:ilvl w:val="0"/>
                <w:numId w:val="10"/>
              </w:numPr>
              <w:spacing w:after="80" w:line="300" w:lineRule="auto"/>
            </w:pPr>
            <w:r>
              <w:t>Rende visibili fonti, assunzioni e avvisi: il limite del risultato non resta nascosto.</w:t>
            </w:r>
          </w:p>
          <w:p>
            <w:pPr>
              <w:numPr>
                <w:ilvl w:val="0"/>
                <w:numId w:val="10"/>
              </w:numPr>
              <w:spacing w:after="80" w:line="300" w:lineRule="auto"/>
            </w:pPr>
            <w:r>
              <w:t>Stato attuale: 19 calcolatori a catalogo; 13 Pronti e 6 in Bozza per dati sintetici o validazione ancora mancante.</w:t>
            </w:r>
          </w:p>
        </w:tc>
      </w:tr>
    </w:tbl>
    <w:p>
      <w:pPr>
        <w:spacing w:after="0"/>
      </w:pPr>
    </w:p>
    <w:p>
      <w:pPr>
        <w:pStyle w:val="Heading1"/>
      </w:pPr>
      <w:r>
        <w:t>Che cos’è</w:t>
      </w:r>
    </w:p>
    <w:p>
      <w:r>
        <w:t>La piattaforma è un motore deterministico: calcola importi legali e fiscali — per esempio imposte, interessi, sanzioni e contributi — oltre ad alcune operazioni di lavoro, giudiziarie e business. “Deterministico” significa che, a parità di dati e regole applicabili, il numero ottenuto è sempre lo stesso.</w:t>
      </w:r>
    </w:p>
    <w:p>
      <w:r>
        <w:t>L’intelligenza artificiale può capire la domanda e riconoscere i dati utili, ma non esegue mai i calcoli. L’aritmetica resta nel motore, dove le regole sono dichiarate e verificabili. Nei calcoli regolati, le fonti normative accompagnano il risultato; le funzioni puramente aritmetiche di business non richiedono una fonte normativa.</w:t>
      </w:r>
    </w:p>
    <w:p>
      <w:pPr>
        <w:pStyle w:val="Heading1"/>
      </w:pPr>
      <w:r>
        <w:t>Come funziona una richiesta</w:t>
      </w:r>
    </w:p>
    <w:p>
      <w:r>
        <w:t>Il sistema prima distingue una normale domanda da una richiesta di calcolo. Solo nel secondo caso l’IA estrae i dati dal testo e li consegna al motore. Il risultato torna con le fonti applicabili e con eventuali avvisi.</w:t>
      </w:r>
    </w:p>
    <w:p>
      <w:pPr>
        <w:pStyle w:val="Caption"/>
        <w:jc w:val="center"/>
      </w:pPr>
      <w:r>
        <w:t>Diagramma 1 — Dalla domanda al risultato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68496"/>
            <wp:docPr id="1" name="Picture 1" descr="Flusso di una richiesta: la domanda viene classificata; una richiesta di calcolo passa dall’estrazione dei dati al motore e produce un risultato con fonti e avvisi, mentre le altre domande ricevono una risposta normale del chatb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ma-flusso-richies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Chi fa cosa</w:t>
      </w:r>
    </w:p>
    <w:p>
      <w:r>
        <w:t>La fiducia nasce dalla separazione dei ruoli. L’IA interpreta; il motore calcola; le fonti documentano le regole applicate. Questo confine evita che un modello linguistico improvvisi un importo.</w:t>
      </w:r>
    </w:p>
    <w:p>
      <w:pPr>
        <w:pStyle w:val="Caption"/>
        <w:jc w:val="center"/>
      </w:pPr>
      <w:r>
        <w:t>Diagramma 2 — Divisione dei compiti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22500"/>
            <wp:docPr id="2" name="Picture 2" descr="Tre blocchi affiancati mostrano i compiti dell’intelligenza artificiale, del motore di calcolo e delle fonti normative. Messaggio conclusivo: l’intelligenza artificiale non inventa i numer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ma-divisione-compi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Che cosa sa calcolare</w:t>
      </w:r>
    </w:p>
    <w:p>
      <w:r>
        <w:t>Il catalogo attuale comprende le aree sotto indicate. “Pronto” significa che il calcolatore è disponibile entro il perimetro e le esclusioni dichiarate. “Bozza” segnala invece una validazione ancora mancante oppure dati sintetici non utilizzabili operativamente.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6180"/>
        <w:gridCol w:w="13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top w:val="single" w:sz="8" w:color="0B2545"/>
              <w:start w:val="single" w:sz="8" w:color="0B2545"/>
              <w:bottom w:val="single" w:sz="8" w:color="0B2545"/>
              <w:end w:val="single" w:sz="8" w:color="0B2545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6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top w:val="single" w:sz="8" w:color="0B2545"/>
              <w:start w:val="single" w:sz="8" w:color="0B2545"/>
              <w:bottom w:val="single" w:sz="8" w:color="0B2545"/>
              <w:end w:val="single" w:sz="8" w:color="0B2545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Che cosa calcola</w:t>
            </w:r>
          </w:p>
        </w:tc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  <w:tcBorders>
              <w:top w:val="single" w:sz="8" w:color="0B2545"/>
              <w:start w:val="single" w:sz="8" w:color="0B2545"/>
              <w:bottom w:val="single" w:sz="8" w:color="0B2545"/>
              <w:end w:val="single" w:sz="8" w:color="0B254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EF4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Fiscale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Imposta di registro di una locazione abitativa in regime ordinario.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9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C6E49"/>
                <w:sz w:val="18"/>
              </w:rPr>
              <w:t>Pronto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EF4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Fiscale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IMU da rendita catastale, moltiplicatore e aliquota deliberata dal comune.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9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C6E49"/>
                <w:sz w:val="18"/>
              </w:rPr>
              <w:t>Pronto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EF4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Fiscale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IRPEF nazionale lorda per scaglioni; non include detrazioni, addizionali o regimi speciali.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9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C6E49"/>
                <w:sz w:val="18"/>
              </w:rPr>
              <w:t>Pronto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EF4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Fiscale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Totale del ravvedimento: tributo, sanzione ridotta e interessi legali.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9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C6E49"/>
                <w:sz w:val="18"/>
              </w:rPr>
              <w:t>Pronto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EF7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Lavoro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Contributi INPS su una retribuzione lorda, separando quota lavoratore e quota datore.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9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C6E49"/>
                <w:sz w:val="18"/>
              </w:rPr>
              <w:t>Pronto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EF7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Lavoro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Indennità per mancato preavviso da retribuzione mensile e mesi previsti dal CCNL.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9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C6E49"/>
                <w:sz w:val="18"/>
              </w:rPr>
              <w:t>Pronto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EF7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Lavoro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Quota annua di TFR e rivalutazione del fondo già accantonato.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9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C6E49"/>
                <w:sz w:val="18"/>
              </w:rPr>
              <w:t>Pronto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5F2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Contenzioso / giudiziario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Compensi dell’avvocato per fasi e valore della causa, con spese, CPA e IVA. Gli scaglioni DM 55 disponibili sono sintetici.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8A5A00"/>
                <w:sz w:val="18"/>
              </w:rPr>
              <w:t>Bozza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5F2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Contenzioso / giudiziario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Contributo unificato per un processo civile ordinario, in base al valore e al grado.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9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C6E49"/>
                <w:sz w:val="18"/>
              </w:rPr>
              <w:t>Pronto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5F2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Contenzioso / giudiziario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Interessi di mora sui pagamenti commerciali in ritardo, usando il tasso BCE fornito.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9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C6E49"/>
                <w:sz w:val="18"/>
              </w:rPr>
              <w:t>Pronto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5F2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Contenzioso / giudiziario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Interessi legali semplici su un capitale e un periodo, anche quando il tasso cambia.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9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C6E49"/>
                <w:sz w:val="18"/>
              </w:rPr>
              <w:t>Pronto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5F2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Contenzioso / giudiziario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Rivalutazione e interessi su debiti di valore secondo Cass. SS.UU. 1712/1995. I dati FOI attuali sono sintetici.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8A5A00"/>
                <w:sz w:val="18"/>
              </w:rPr>
              <w:t>Bozza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5F2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Contenzioso / giudiziario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Rivalutazione monetaria tra due date con indice ISTAT FOI. I dati FOI attuali sono sintetici.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8A5A00"/>
                <w:sz w:val="18"/>
              </w:rPr>
              <w:t>Bozza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5F2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Contenzioso / giudiziario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Scadenza di termini processuali civili a giorni, considerando ferie e festività.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9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C6E49"/>
                <w:sz w:val="18"/>
              </w:rPr>
              <w:t>Pronto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FF2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Penale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Forbice di pena per furto semplice, con circostanze e rito abbreviato. Non è una previsione della sentenza.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8A5A00"/>
                <w:sz w:val="18"/>
              </w:rPr>
              <w:t>Bozza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FF2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Penale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Forbice di pena per omicidio volontario, con circostanze e rito abbreviato. Non è una previsione della sentenza.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8A5A00"/>
                <w:sz w:val="18"/>
              </w:rPr>
              <w:t>Bozza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FF2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Penale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Forbice di pena per rapina semplice, con circostanze e rito abbreviato. Non è una previsione della sentenza.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8A5A00"/>
                <w:sz w:val="18"/>
              </w:rPr>
              <w:t>Bozza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Business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Totale fattura a partire da imponibile, sconto e aliquota IVA.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9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C6E49"/>
                <w:sz w:val="18"/>
              </w:rPr>
              <w:t>Pronto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Business</w:t>
            </w:r>
          </w:p>
        </w:tc>
        <w:tc>
          <w:tcPr>
            <w:tcW w:type="dxa" w:w="61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/>
                <w:b w:val="0"/>
                <w:color w:val="0B2545"/>
                <w:sz w:val="18"/>
              </w:rPr>
              <w:t>Rata mensile fissa di un finanziamento ammortizzato.</w:t>
            </w:r>
          </w:p>
        </w:tc>
        <w:tc>
          <w:tcPr>
            <w:tcW w:type="dxa" w:w="1380"/>
            <w:vAlign w:val="center"/>
            <w:tcBorders>
              <w:top w:val="single" w:sz="5" w:color="CAD3DD"/>
              <w:start w:val="single" w:sz="5" w:color="CAD3DD"/>
              <w:bottom w:val="single" w:sz="5" w:color="CAD3DD"/>
              <w:end w:val="single" w:sz="5" w:color="CAD3DD"/>
            </w:tcBorders>
            <w:shd w:fill="E9F5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C6E49"/>
                <w:sz w:val="18"/>
              </w:rPr>
              <w:t>Pronto</w:t>
            </w:r>
          </w:p>
        </w:tc>
      </w:tr>
    </w:tbl>
    <w:p>
      <w:pPr>
        <w:spacing w:before="120" w:after="80"/>
      </w:pPr>
      <w:r>
        <w:rPr>
          <w:rFonts w:ascii="Calibri" w:hAnsi="Calibri"/>
          <w:i/>
          <w:color w:val="667085"/>
          <w:sz w:val="19"/>
        </w:rPr>
        <w:t>Stato complessivo: 19 calcolatori — 13 Pronti e 6 in Bozza.</w:t>
      </w:r>
    </w:p>
    <w:p>
      <w:pPr>
        <w:pStyle w:val="Heading1"/>
      </w:pPr>
      <w:r>
        <w:t>Affidabilità e trasparenza</w:t>
      </w:r>
    </w:p>
    <w:p>
      <w:r>
        <w:t>Un risultato non è presentato come un numero isolato. La piattaforma mostra anche le Assunzioni, cioè le ipotesi usate, e gli Avvisi, cioè i limiti da conoscere prima di decidere. Può quindi dichiarare, per esempio, che l’IRPEF calcolata è solo quella lorda e non comprende detrazioni o addizionali.</w:t>
      </w:r>
    </w:p>
    <w:p>
      <w:r>
        <w:t>Questa trasparenza è un punto di forza: un limite visibile può essere gestito, verificato o portato a uno specialista. Un limite nascosto, invece, rischia di trasformarsi in una decisione sbagliata.</w:t>
      </w:r>
    </w:p>
    <w:p>
      <w:pPr>
        <w:spacing w:before="120" w:after="160"/>
        <w:ind w:left="259" w:right="259"/>
      </w:pPr>
      <w:r>
        <w:rPr>
          <w:rFonts w:ascii="Calibri" w:hAnsi="Calibri"/>
          <w:b/>
          <w:color w:val="8A5A00"/>
        </w:rPr>
        <w:t xml:space="preserve">Nota di utilizzo — </w:t>
      </w:r>
      <w:r>
        <w:rPr>
          <w:rFonts w:ascii="Calibri" w:hAnsi="Calibri"/>
          <w:i/>
          <w:color w:val="0B2545"/>
        </w:rPr>
        <w:t>ogni risultato è una stima indicativa e non sostituisce il parere di un professionista.</w:t>
      </w:r>
    </w:p>
    <w:p>
      <w:pPr>
        <w:pStyle w:val="Heading1"/>
      </w:pPr>
      <w:r>
        <w:t>Stato attuale e limiti</w:t>
      </w:r>
    </w:p>
    <w:p>
      <w:r>
        <w:t>La copertura è utile ma non ancora completa. Il comportamento corretto, quando manca un parametro necessario, non è indovinare: il motore rifiuta il calcolo oppure emette un avviso di verifica.</w:t>
      </w:r>
    </w:p>
    <w:p>
      <w:pPr>
        <w:numPr>
          <w:ilvl w:val="0"/>
          <w:numId w:val="10"/>
        </w:numPr>
        <w:spacing w:after="80" w:line="300" w:lineRule="auto"/>
      </w:pPr>
      <w:r>
        <w:t>Indici FOI/ISTAT: sono presenti solo nov 2024, dic 2024, dic 2025, feb 2026. Tutti questi valori sono sintetici e non sono dati ISTAT reali.</w:t>
      </w:r>
    </w:p>
    <w:p>
      <w:pPr>
        <w:numPr>
          <w:ilvl w:val="0"/>
          <w:numId w:val="10"/>
        </w:numPr>
        <w:spacing w:after="80" w:line="300" w:lineRule="auto"/>
      </w:pPr>
      <w:r>
        <w:t>Compensi DM 55: solo lo scaglione da 26.000,01 a 52.000 euro contiene valori medi sintetici; gli altri scaglioni non sono risolti.</w:t>
      </w:r>
    </w:p>
    <w:p>
      <w:pPr>
        <w:numPr>
          <w:ilvl w:val="0"/>
          <w:numId w:val="10"/>
        </w:numPr>
        <w:spacing w:after="80" w:line="300" w:lineRule="auto"/>
      </w:pPr>
      <w:r>
        <w:t>Calcolatori penali: furto, omicidio volontario e rapina sono bozze dimostrative non validate legalmente e non prevedono la sentenza.</w:t>
      </w:r>
    </w:p>
    <w:p>
      <w:pPr>
        <w:numPr>
          <w:ilvl w:val="0"/>
          <w:numId w:val="10"/>
        </w:numPr>
        <w:spacing w:after="80" w:line="300" w:lineRule="auto"/>
      </w:pPr>
      <w:r>
        <w:t>Finestre temporali: interessi legali 2024–2026; IRPEF 2024–2026; calendario delle festività 2025–2027; regime del ravvedimento dalle violazioni del 1° settembre 2024.</w:t>
      </w:r>
    </w:p>
    <w:p>
      <w:pPr>
        <w:numPr>
          <w:ilvl w:val="0"/>
          <w:numId w:val="10"/>
        </w:numPr>
        <w:spacing w:after="80" w:line="300" w:lineRule="auto"/>
      </w:pPr>
      <w:r>
        <w:t>Manutenzione: le tabelle che cambiano nel tempo devono essere aggiornate e ricontrollate. Le tabelle ufficiali presenti non riportano ancora una data di verifica automatica, quindi il motore aggiunge un avviso.</w:t>
      </w:r>
    </w:p>
    <w:p>
      <w:r>
        <w:t>Sul piano operativo il punto è semplice: l’aggiornamento annuale dei parametri va pianificato come attività di governance, non lasciato implicito.</w:t>
      </w:r>
    </w:p>
    <w:p>
      <w:pPr>
        <w:pStyle w:val="Heading1"/>
      </w:pPr>
      <w:r>
        <w:t>Glossario minimo</w:t>
      </w:r>
    </w:p>
    <w:p>
      <w:pPr>
        <w:spacing w:after="140"/>
      </w:pPr>
      <w:r>
        <w:rPr>
          <w:rFonts w:ascii="Calibri" w:hAnsi="Calibri"/>
          <w:b/>
          <w:color w:val="0B2545"/>
        </w:rPr>
        <w:t xml:space="preserve">Deterministico: </w:t>
      </w:r>
      <w:r>
        <w:t>un sistema che restituisce lo stesso risultato quando riceve gli stessi dati e applica le stesse regole.</w:t>
      </w:r>
    </w:p>
    <w:p>
      <w:pPr>
        <w:spacing w:after="140"/>
      </w:pPr>
      <w:r>
        <w:rPr>
          <w:rFonts w:ascii="Calibri" w:hAnsi="Calibri"/>
          <w:b/>
          <w:color w:val="0B2545"/>
        </w:rPr>
        <w:t xml:space="preserve">Parametro / tabella parametri: </w:t>
      </w:r>
      <w:r>
        <w:t>un dato esterno alla formula che può cambiare nel tempo, come un tasso, uno scaglione o un indice mensile.</w:t>
      </w:r>
    </w:p>
    <w:p>
      <w:pPr>
        <w:spacing w:after="140"/>
      </w:pPr>
      <w:r>
        <w:rPr>
          <w:rFonts w:ascii="Calibri" w:hAnsi="Calibri"/>
          <w:b/>
          <w:color w:val="0B2545"/>
        </w:rPr>
        <w:t xml:space="preserve">Fonte normativa: </w:t>
      </w:r>
      <w:r>
        <w:t>il riferimento ufficiale che documenta la regola usata nel calcolo.</w:t>
      </w:r>
    </w:p>
    <w:p>
      <w:pPr>
        <w:spacing w:after="140"/>
      </w:pPr>
      <w:r>
        <w:rPr>
          <w:rFonts w:ascii="Calibri" w:hAnsi="Calibri"/>
          <w:b/>
          <w:color w:val="0B2545"/>
        </w:rPr>
        <w:t xml:space="preserve">Bozza: </w:t>
      </w:r>
      <w:r>
        <w:t>un calcolatore o un insieme di dati non ancora pronto per l’uso operativo.</w:t>
      </w:r>
    </w:p>
    <w:p>
      <w:pPr>
        <w:spacing w:after="140"/>
      </w:pPr>
      <w:r>
        <w:rPr>
          <w:rFonts w:ascii="Calibri" w:hAnsi="Calibri"/>
          <w:b/>
          <w:color w:val="0B2545"/>
        </w:rPr>
        <w:t xml:space="preserve">Avviso: </w:t>
      </w:r>
      <w:r>
        <w:t>un limite, un’esclusione o una cautela da leggere insieme al risultato.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7085"/>
        <w:sz w:val="17"/>
      </w:rPr>
      <w:t xml:space="preserve">PAGINA </w:t>
    </w:r>
    <w:r>
      <w:rPr>
        <w:rFonts w:ascii="Calibri" w:hAnsi="Calibri"/>
        <w:color w:val="66708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PIATTAFORMA DI CALCOLO  |  GUIDA PM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70"/>
        </w:tabs>
        <w:ind w:left="540" w:hanging="270"/>
        <w:spacing w:before="0" w:after="80" w:line="300" w:lineRule="auto"/>
      </w:pPr>
      <w:rPr>
        <w:rFonts w:ascii="Calibri" w:hAnsi="Calibri"/>
        <w:color w:val="2E74B5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76" w:lineRule="auto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00"/>
    </w:pPr>
    <w:rPr>
      <w:rFonts w:ascii="Calibri" w:hAnsi="Calibr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Piattaforma di Calcolo — Guida introduttiva</dc:title>
  <dc:subject>Guida non tecnica alla piattaforma di calcolo</dc:subject>
  <dc:creator>Calculation Platform</dc:creator>
  <cp:keywords>calcolo deterministico, project management, fonti normative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