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3FD7" w:rsidRDefault="00493FD7" w:rsidP="000C594E"/>
    <w:p w:rsidR="00BE68AF" w:rsidRPr="00BE68AF" w:rsidRDefault="00BE68AF" w:rsidP="00BE68AF">
      <w:pPr>
        <w:spacing w:before="100" w:beforeAutospacing="1" w:after="100" w:afterAutospacing="1"/>
        <w:outlineLvl w:val="0"/>
        <w:rPr>
          <w:b/>
          <w:bCs/>
          <w:kern w:val="36"/>
          <w:sz w:val="48"/>
          <w:szCs w:val="48"/>
          <w:lang w:val="en-US" w:eastAsia="el-GR"/>
        </w:rPr>
      </w:pPr>
      <w:r w:rsidRPr="00BE68AF">
        <w:rPr>
          <w:b/>
          <w:bCs/>
          <w:kern w:val="36"/>
          <w:sz w:val="48"/>
          <w:szCs w:val="48"/>
          <w:lang w:val="en-US" w:eastAsia="el-GR"/>
        </w:rPr>
        <w:t>Methods</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 xml:space="preserve">This study used the </w:t>
      </w:r>
      <w:r w:rsidRPr="00BE68AF">
        <w:rPr>
          <w:i/>
          <w:iCs/>
          <w:lang w:val="en-US" w:eastAsia="el-GR"/>
        </w:rPr>
        <w:t>Enriched Baltic Dry Index (</w:t>
      </w:r>
      <w:proofErr w:type="spellStart"/>
      <w:r w:rsidRPr="00BE68AF">
        <w:rPr>
          <w:i/>
          <w:iCs/>
          <w:lang w:val="en-US" w:eastAsia="el-GR"/>
        </w:rPr>
        <w:t>BDI</w:t>
      </w:r>
      <w:proofErr w:type="spellEnd"/>
      <w:r w:rsidRPr="00BE68AF">
        <w:rPr>
          <w:i/>
          <w:iCs/>
          <w:lang w:val="en-US" w:eastAsia="el-GR"/>
        </w:rPr>
        <w:t>) Dataset</w:t>
      </w:r>
      <w:r w:rsidRPr="00BE68AF">
        <w:rPr>
          <w:lang w:val="en-US" w:eastAsia="el-GR"/>
        </w:rPr>
        <w:t xml:space="preserve"> covering the period 2019–2025, which integrates the daily </w:t>
      </w:r>
      <w:proofErr w:type="spellStart"/>
      <w:r w:rsidRPr="00BE68AF">
        <w:rPr>
          <w:lang w:val="en-US" w:eastAsia="el-GR"/>
        </w:rPr>
        <w:t>BDI</w:t>
      </w:r>
      <w:proofErr w:type="spellEnd"/>
      <w:r w:rsidRPr="00BE68AF">
        <w:rPr>
          <w:lang w:val="en-US" w:eastAsia="el-GR"/>
        </w:rPr>
        <w:t xml:space="preserve"> values with an extensive set of maritime, financial, and macroeconomic indicators. The dataset includes global trade activity, bulk carrier movements through key maritime chokepoints such as the Bosphorus and Suez straits, port call statistics, Economic Policy Uncertainty (EPU) values, as well as rolling and lagged financial measures derived from the S&amp;P500 index. In total, sixty-four variables were incorporated, providing a comprehensive representation of global dry bulk market dynamics. The complete analytical codebase for the data preparation, modelling pipeline</w:t>
      </w:r>
      <w:r>
        <w:rPr>
          <w:lang w:val="en-US" w:eastAsia="el-GR"/>
        </w:rPr>
        <w:t xml:space="preserve"> </w:t>
      </w:r>
      <w:r w:rsidRPr="00BE68AF">
        <w:rPr>
          <w:lang w:val="en-US" w:eastAsia="el-GR"/>
        </w:rPr>
        <w:t>is available in a public GitHub repository (https://github.com/GiorgosBouh/Baltic_Dry_Index.git), ensuring full transparency and reproducibility.</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Data preprocessing followed a structured and time-aware pipeline. The date variable was first converted to a proper datetime format, and the dataset was ordered chronologically to avoid information leakage across observations. To capture autoregressive patterns inherent in the BDI, several lagged values were constructed, including one-day, three-day, and five-day lags (BDI_lag1, BDI_lag3, BDI_lag5). In addition to these, short-term rolling averages were created, with the three-day moving average (BDI_roll3) being particularly influential, as it provided a smoothed representation of local trends. Seasonality and cyclical behavior were encoded through temporal features such as day of the week, month, and quarter. Missing values were addressed using a combination of forward-filling and mean imputation depending on the variable type, and all numerical features were standardized using a StandardScaler fitted exclusively on the training set.</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To maintain the integrity of the time-series forecasting problem, the dataset was divided chronologically, with the earliest 80% of observations used for training and the most recent 20% reserved for testing. This ensured that no future information influenced the training process. For modelling, an XGBoost regressor was employed due to its ability to capture non-linear interactions, its robustness to multicollinearity, and its strong performance in structured tabular data. The model was trained to predict the next-day value of the BDI, effectively implementing a one-day-ahead forecasting strategy. Hyperparameters were tuned within the training dataset, and early stopping rounds were used to mitigate overfitting.</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 xml:space="preserve">Model performance was evaluated using standard forecasting metrics, including the Root Mean Squared Error (RMSE), Mean Absolute Error (MAE), Mean Absolute </w:t>
      </w:r>
      <w:r w:rsidRPr="00BE68AF">
        <w:rPr>
          <w:lang w:val="en-US" w:eastAsia="el-GR"/>
        </w:rPr>
        <w:lastRenderedPageBreak/>
        <w:t>Percentage Error (MAPE), and the Coefficient of Determination (R²). These metrics were computed on the unseen test set to provide an unbiased assessment of predictive accuracy. All plots, feature importance analyses, and exported metric files were generated automatically through the scripts contained in the corresponding GitHub repository.</w:t>
      </w:r>
    </w:p>
    <w:p w:rsidR="00BE68AF" w:rsidRPr="00BE68AF" w:rsidRDefault="00AF7FE2" w:rsidP="00BE68AF">
      <w:pPr>
        <w:rPr>
          <w:lang w:val="el-GR" w:eastAsia="el-GR"/>
        </w:rPr>
      </w:pPr>
      <w:r w:rsidRPr="00AF7FE2">
        <w:rPr>
          <w:noProof/>
          <w:lang w:val="el-GR" w:eastAsia="el-GR"/>
        </w:rPr>
        <w:pict>
          <v:rect id="_x0000_i1025" alt="" style="width:415.3pt;height:.05pt;mso-width-percent:0;mso-height-percent:0;mso-width-percent:0;mso-height-percent:0" o:hralign="center" o:hrstd="t" o:hr="t" fillcolor="#a0a0a0" stroked="f"/>
        </w:pict>
      </w:r>
    </w:p>
    <w:p w:rsidR="00BE68AF" w:rsidRPr="00BE68AF" w:rsidRDefault="00BE68AF" w:rsidP="00BE68AF">
      <w:pPr>
        <w:spacing w:before="100" w:beforeAutospacing="1" w:after="100" w:afterAutospacing="1"/>
        <w:outlineLvl w:val="0"/>
        <w:rPr>
          <w:b/>
          <w:bCs/>
          <w:kern w:val="36"/>
          <w:sz w:val="48"/>
          <w:szCs w:val="48"/>
          <w:lang w:val="en-US" w:eastAsia="el-GR"/>
        </w:rPr>
      </w:pPr>
      <w:r w:rsidRPr="00BE68AF">
        <w:rPr>
          <w:b/>
          <w:bCs/>
          <w:kern w:val="36"/>
          <w:sz w:val="48"/>
          <w:szCs w:val="48"/>
          <w:lang w:val="en-US" w:eastAsia="el-GR"/>
        </w:rPr>
        <w:t>Results</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The XGBoost model demonstrated strong predictive performance in forecasting the next-day value of the Baltic Dry Index. Evaluation on the test set resulted in an RMSE of 53.63, an MAE of 40.77, a MAPE of 2.61%, and an R² of 0.9805. These values indicate that the model was able to explain approximately 98% of the variance in the BDI while maintaining a low relative error, reflecting a high degree of forecasting accuracy. This level of performance is consistent with the known autoregressive behaviour of freight indices, where short-term movements are strongly influenced by preceding values.</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Feature importance analysis revealed that the model relied primarily on short-term autoregressive components. The most influential predictor was the previous day’s BDI value (BDI_lag1), which is expected given the day-to-day continuity of the index. The three-day moving average (BDI_roll3) was also a major contributor, capturing the short-term trend and providing the model with a smoother representation of recent market direction. Additional lagged variables, such as the three-day and five-day lags (BDI_lag3 and BDI_lag5), contributed meaningfully to the model’s understanding of medium-horizon temporal dynamics. Macroeconomic and financial variables, including global trade indicators and rolling averages of the S&amp;P500, exerted smaller but still consistent influence on the final prediction.</w:t>
      </w:r>
    </w:p>
    <w:p w:rsidR="00BE68AF" w:rsidRPr="00BE68AF" w:rsidRDefault="00BE68AF" w:rsidP="00BE68AF">
      <w:pPr>
        <w:spacing w:before="100" w:beforeAutospacing="1" w:after="100" w:afterAutospacing="1"/>
        <w:rPr>
          <w:lang w:val="en-US" w:eastAsia="el-GR"/>
        </w:rPr>
      </w:pPr>
    </w:p>
    <w:p w:rsidR="00BE68AF" w:rsidRPr="00BE68AF" w:rsidRDefault="00BE68AF" w:rsidP="00BE68AF">
      <w:pPr>
        <w:spacing w:before="100" w:beforeAutospacing="1" w:after="100" w:afterAutospacing="1"/>
        <w:rPr>
          <w:lang w:val="en-US" w:eastAsia="el-GR"/>
        </w:rPr>
      </w:pPr>
      <w:r w:rsidRPr="00BE68AF">
        <w:rPr>
          <w:lang w:val="en-US" w:eastAsia="el-GR"/>
        </w:rPr>
        <w:t>The time-series trajectory of the BDI across the study period showed substantial fluctuations, including a pronounced peak during 2021–2022, followed by a marked decline in 2023 and more moderate variability throughout 2024–2025. These patterns correspond to broader global economic conditions, post-pandemic recovery behaviour, and fluctuations in raw material demand. Visualisations generated through the modelling pipeline, including the BDI time-series plot, model performance summary, and feature importance charts, further illustrate these dynamics and are included in the GitHub repository alongside the complete code used for their construction.</w:t>
      </w:r>
    </w:p>
    <w:p w:rsidR="00BE68AF" w:rsidRPr="000C594E" w:rsidRDefault="00BE68AF" w:rsidP="000C594E"/>
    <w:sectPr w:rsidR="00BE68AF" w:rsidRPr="000C594E" w:rsidSect="000F198B">
      <w:pgSz w:w="11906" w:h="16838"/>
      <w:pgMar w:top="1440"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4">
      <wne:macro wne:macroName="MENDELEYPLUGIN.MENDELEY.GETSETTING_PORT"/>
    </wne:keymap>
    <wne:keymap wne:kcmPrimary="044D">
      <wne:macro wne:macroName="MENDELEYPLUGIN.MENDELEY.INSERTCITATION"/>
    </wne:keymap>
    <wne:keymap wne:kcmPrimary="1249">
      <wne:fci wne:fciName="InsertCitation" wne:swArg="0000"/>
    </wne:keymap>
  </wne:keymaps>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F6"/>
    <w:rsid w:val="000932DF"/>
    <w:rsid w:val="000C594E"/>
    <w:rsid w:val="000C59B1"/>
    <w:rsid w:val="000F198B"/>
    <w:rsid w:val="00135179"/>
    <w:rsid w:val="001D61B4"/>
    <w:rsid w:val="002A117D"/>
    <w:rsid w:val="002E183D"/>
    <w:rsid w:val="002F09BC"/>
    <w:rsid w:val="00332E54"/>
    <w:rsid w:val="00340B65"/>
    <w:rsid w:val="003F13F6"/>
    <w:rsid w:val="003F5908"/>
    <w:rsid w:val="00416F1C"/>
    <w:rsid w:val="00481011"/>
    <w:rsid w:val="00493FD7"/>
    <w:rsid w:val="005501F4"/>
    <w:rsid w:val="005760AF"/>
    <w:rsid w:val="005F3CE3"/>
    <w:rsid w:val="00634FA2"/>
    <w:rsid w:val="00636B44"/>
    <w:rsid w:val="006B1DBF"/>
    <w:rsid w:val="006F0D9E"/>
    <w:rsid w:val="00715B37"/>
    <w:rsid w:val="0072266C"/>
    <w:rsid w:val="00733FA0"/>
    <w:rsid w:val="007448E9"/>
    <w:rsid w:val="0076474F"/>
    <w:rsid w:val="007A4F10"/>
    <w:rsid w:val="007B0D74"/>
    <w:rsid w:val="007E016B"/>
    <w:rsid w:val="007E710D"/>
    <w:rsid w:val="00825BD5"/>
    <w:rsid w:val="00856327"/>
    <w:rsid w:val="008E68B8"/>
    <w:rsid w:val="008F35A1"/>
    <w:rsid w:val="0090225C"/>
    <w:rsid w:val="00934B2B"/>
    <w:rsid w:val="009D7E77"/>
    <w:rsid w:val="009E43B6"/>
    <w:rsid w:val="009F7164"/>
    <w:rsid w:val="00A13472"/>
    <w:rsid w:val="00A6654F"/>
    <w:rsid w:val="00A901D5"/>
    <w:rsid w:val="00AA67C3"/>
    <w:rsid w:val="00AF7FE2"/>
    <w:rsid w:val="00BA2E04"/>
    <w:rsid w:val="00BE68AF"/>
    <w:rsid w:val="00C72E7A"/>
    <w:rsid w:val="00CD1B08"/>
    <w:rsid w:val="00CF6966"/>
    <w:rsid w:val="00D05D7C"/>
    <w:rsid w:val="00D33FF6"/>
    <w:rsid w:val="00D810D2"/>
    <w:rsid w:val="00DA16FD"/>
    <w:rsid w:val="00DC6BF2"/>
    <w:rsid w:val="00DD68F6"/>
    <w:rsid w:val="00E51EFE"/>
    <w:rsid w:val="00E77969"/>
    <w:rsid w:val="00EB0916"/>
    <w:rsid w:val="00EE6721"/>
    <w:rsid w:val="00F10841"/>
    <w:rsid w:val="00F238C5"/>
    <w:rsid w:val="00FA3C65"/>
    <w:rsid w:val="00FC503A"/>
    <w:rsid w:val="00FD599C"/>
    <w:rsid w:val="00FE7F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D75A08-F02F-E346-ABC1-CC0EB036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198B"/>
    <w:rPr>
      <w:sz w:val="24"/>
      <w:szCs w:val="24"/>
    </w:rPr>
  </w:style>
  <w:style w:type="paragraph" w:styleId="1">
    <w:name w:val="heading 1"/>
    <w:basedOn w:val="a"/>
    <w:link w:val="1Char"/>
    <w:uiPriority w:val="9"/>
    <w:qFormat/>
    <w:rsid w:val="00BE68AF"/>
    <w:pPr>
      <w:spacing w:before="100" w:beforeAutospacing="1" w:after="100" w:afterAutospacing="1"/>
      <w:outlineLvl w:val="0"/>
    </w:pPr>
    <w:rPr>
      <w:b/>
      <w:bCs/>
      <w:kern w:val="36"/>
      <w:sz w:val="48"/>
      <w:szCs w:val="48"/>
      <w:lang w:val="el-GR"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E68AF"/>
    <w:rPr>
      <w:b/>
      <w:bCs/>
      <w:kern w:val="36"/>
      <w:sz w:val="48"/>
      <w:szCs w:val="48"/>
      <w:lang w:val="el-GR" w:eastAsia="el-GR"/>
    </w:rPr>
  </w:style>
  <w:style w:type="character" w:customStyle="1" w:styleId="s1">
    <w:name w:val="s1"/>
    <w:basedOn w:val="a0"/>
    <w:rsid w:val="00BE68AF"/>
  </w:style>
  <w:style w:type="paragraph" w:customStyle="1" w:styleId="p2">
    <w:name w:val="p2"/>
    <w:basedOn w:val="a"/>
    <w:rsid w:val="00BE68AF"/>
    <w:pPr>
      <w:spacing w:before="100" w:beforeAutospacing="1" w:after="100" w:afterAutospacing="1"/>
    </w:pPr>
    <w:rPr>
      <w:lang w:val="el-GR" w:eastAsia="el-GR"/>
    </w:rPr>
  </w:style>
  <w:style w:type="paragraph" w:customStyle="1" w:styleId="p3">
    <w:name w:val="p3"/>
    <w:basedOn w:val="a"/>
    <w:rsid w:val="00BE68AF"/>
    <w:pPr>
      <w:spacing w:before="100" w:beforeAutospacing="1" w:after="100" w:afterAutospacing="1"/>
    </w:pPr>
    <w:rPr>
      <w:lang w:val="el-GR" w:eastAsia="el-GR"/>
    </w:rPr>
  </w:style>
  <w:style w:type="character" w:customStyle="1" w:styleId="s2">
    <w:name w:val="s2"/>
    <w:basedOn w:val="a0"/>
    <w:rsid w:val="00BE6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230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Methods_and_Results_November_2025.docx</Template>
  <TotalTime>0</TotalTime>
  <Pages>2</Pages>
  <Words>794</Words>
  <Characters>4293</Characters>
  <Application>Microsoft Office Word</Application>
  <DocSecurity>0</DocSecurity>
  <Lines>35</Lines>
  <Paragraphs>10</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Mendeley Ltd.</dc:creator>
  <cp:keywords/>
  <dc:description/>
  <cp:lastModifiedBy>BOUCHOURAS GEORGIOS</cp:lastModifiedBy>
  <cp:revision>2</cp:revision>
  <dcterms:created xsi:type="dcterms:W3CDTF">2025-11-18T09:32:00Z</dcterms:created>
  <dcterms:modified xsi:type="dcterms:W3CDTF">2025-11-18T09:32:00Z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ies>
</file>