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rsidR="00493FD7" w:rsidRDefault="00493FD7" w:rsidP="000C594E"/>
    <w:p w:rsidR="00BE68AF" w:rsidRPr="00BE68AF" w:rsidRDefault="00BE68AF" w:rsidP="00BE68AF">
      <w:pPr>
        <w:spacing w:before="100" w:beforeAutospacing="1" w:after="100" w:afterAutospacing="1"/>
        <w:outlineLvl w:val="0"/>
        <w:rPr>
          <w:b/>
          <w:bCs/>
          <w:kern w:val="36"/>
          <w:sz w:val="48"/>
          <w:szCs w:val="48"/>
          <w:lang w:val="en-US" w:eastAsia="el-GR"/>
        </w:rPr>
      </w:pPr>
      <w:r w:rsidRPr="00BE68AF">
        <w:rPr>
          <w:b/>
          <w:bCs/>
          <w:kern w:val="36"/>
          <w:sz w:val="48"/>
          <w:szCs w:val="48"/>
          <w:lang w:val="en-US" w:eastAsia="el-GR"/>
        </w:rPr>
        <w:t>Methods</w:t>
      </w:r>
    </w:p>
    <w:p w:rsidR="00BE68AF" w:rsidRPr="00BE68AF" w:rsidRDefault="00BE68AF" w:rsidP="00BE68AF">
      <w:pPr>
        <w:spacing w:before="100" w:beforeAutospacing="1" w:after="100" w:afterAutospacing="1"/>
        <w:rPr>
          <w:lang w:val="en-US" w:eastAsia="el-GR"/>
        </w:rPr>
      </w:pPr>
    </w:p>
    <w:p w:rsidR="00BE68AF" w:rsidRPr="00BE68AF" w:rsidRDefault="00BE68AF" w:rsidP="00BE68AF">
      <w:pPr>
        <w:spacing w:before="100" w:beforeAutospacing="1" w:after="100" w:afterAutospacing="1"/>
        <w:rPr>
          <w:lang w:val="en-US" w:eastAsia="el-GR"/>
        </w:rPr>
      </w:pPr>
      <w:r w:rsidRPr="00BE68AF">
        <w:rPr>
          <w:lang w:val="en-US" w:eastAsia="el-GR"/>
        </w:rPr>
        <w:t xml:space="preserve">This study used the </w:t>
      </w:r>
      <w:r w:rsidRPr="00BE68AF">
        <w:rPr>
          <w:i/>
          <w:iCs/>
          <w:lang w:val="en-US" w:eastAsia="el-GR"/>
        </w:rPr>
        <w:t>Enriched Baltic Dry Index (</w:t>
      </w:r>
      <w:proofErr w:type="spellStart"/>
      <w:r w:rsidRPr="00BE68AF">
        <w:rPr>
          <w:i/>
          <w:iCs/>
          <w:lang w:val="en-US" w:eastAsia="el-GR"/>
        </w:rPr>
        <w:t>BDI</w:t>
      </w:r>
      <w:proofErr w:type="spellEnd"/>
      <w:r w:rsidRPr="00BE68AF">
        <w:rPr>
          <w:i/>
          <w:iCs/>
          <w:lang w:val="en-US" w:eastAsia="el-GR"/>
        </w:rPr>
        <w:t>) Dataset</w:t>
      </w:r>
      <w:r w:rsidRPr="00BE68AF">
        <w:rPr>
          <w:lang w:val="en-US" w:eastAsia="el-GR"/>
        </w:rPr>
        <w:t xml:space="preserve"> covering the period 2019–2025, which integrates the daily </w:t>
      </w:r>
      <w:proofErr w:type="spellStart"/>
      <w:r w:rsidRPr="00BE68AF">
        <w:rPr>
          <w:lang w:val="en-US" w:eastAsia="el-GR"/>
        </w:rPr>
        <w:t>BDI</w:t>
      </w:r>
      <w:proofErr w:type="spellEnd"/>
      <w:r w:rsidRPr="00BE68AF">
        <w:rPr>
          <w:lang w:val="en-US" w:eastAsia="el-GR"/>
        </w:rPr>
        <w:t xml:space="preserve"> values with an extensive set of maritime, financial, and macroeconomic indicators. The dataset includes global trade activity, bulk carrier movements through key maritime chokepoints such as the Bosphorus and Suez straits, port call statistics, Economic Policy Uncertainty (EPU) values, as well as rolling and lagged financial measures derived from the S&amp;P500 index. In total, sixty-four variables were incorporated, providing a comprehensive representation of global dry bulk market dynamics. The complete analytical codebase for the data preparation, modelling pipeline</w:t>
      </w:r>
      <w:r>
        <w:rPr>
          <w:lang w:val="en-US" w:eastAsia="el-GR"/>
        </w:rPr>
        <w:t xml:space="preserve"> </w:t>
      </w:r>
      <w:r w:rsidRPr="00BE68AF">
        <w:rPr>
          <w:lang w:val="en-US" w:eastAsia="el-GR"/>
        </w:rPr>
        <w:t>is available in a public GitHub repository (https://github.com/GiorgosBouh/Baltic_Dry_Index.git), ensuring full transparency and reproducibility.</w:t>
      </w:r>
    </w:p>
    <w:p w:rsidR="00BE68AF" w:rsidRPr="00BE68AF" w:rsidRDefault="00BE68AF" w:rsidP="00BE68AF">
      <w:pPr>
        <w:spacing w:before="100" w:beforeAutospacing="1" w:after="100" w:afterAutospacing="1"/>
        <w:rPr>
          <w:lang w:val="en-US" w:eastAsia="el-GR"/>
        </w:rPr>
      </w:pPr>
    </w:p>
    <w:p w:rsidR="00BE68AF" w:rsidRPr="00BE68AF" w:rsidRDefault="00BE68AF" w:rsidP="00BE68AF">
      <w:pPr>
        <w:spacing w:before="100" w:beforeAutospacing="1" w:after="100" w:afterAutospacing="1"/>
        <w:rPr>
          <w:lang w:val="en-US" w:eastAsia="el-GR"/>
        </w:rPr>
      </w:pPr>
      <w:r w:rsidRPr="00BE68AF">
        <w:rPr>
          <w:lang w:val="en-US" w:eastAsia="el-GR"/>
        </w:rPr>
        <w:t>Data preprocessing followed a structured and time-aware pipeline. The date variable was first converted to a proper datetime format, and the dataset was ordered chronologically to avoid information leakage across observations. To capture autoregressive patterns inherent in the BDI, several lagged values were constructed, including one-day, three-day, and five-day lags (BDI_lag1, BDI_lag3, BDI_lag5). In addition to these, short-term rolling averages were created, with the three-day moving average (BDI_roll3) being particularly influential, as it provided a smoothed representation of local trends. Seasonality and cyclical behavior were encoded through temporal features such as day of the week, month, and quarter. Missing values were addressed using a combination of forward-filling and mean imputation depending on the variable type, and all numerical features were standardized using a StandardScaler fitted exclusively on the training set.</w:t>
      </w:r>
    </w:p>
    <w:p w:rsidR="00BE68AF" w:rsidRPr="00BE68AF" w:rsidRDefault="00BE68AF" w:rsidP="00BE68AF">
      <w:pPr>
        <w:spacing w:before="100" w:beforeAutospacing="1" w:after="100" w:afterAutospacing="1"/>
        <w:rPr>
          <w:lang w:val="en-US" w:eastAsia="el-GR"/>
        </w:rPr>
      </w:pPr>
    </w:p>
    <w:p w:rsidR="00BE68AF" w:rsidRPr="00BE68AF" w:rsidRDefault="00BE68AF" w:rsidP="00BE68AF">
      <w:pPr>
        <w:spacing w:before="100" w:beforeAutospacing="1" w:after="100" w:afterAutospacing="1"/>
        <w:rPr>
          <w:lang w:val="en-US" w:eastAsia="el-GR"/>
        </w:rPr>
      </w:pPr>
      <w:r w:rsidRPr="00BE68AF">
        <w:rPr>
          <w:lang w:val="en-US" w:eastAsia="el-GR"/>
        </w:rPr>
        <w:t>To maintain the integrity of the time-series forecasting problem, the dataset was divided chronologically, with the earliest 80% of observations used for training and the most recent 20% reserved for testing. This ensured that no future information influenced the training process. For modelling, an XGBoost regressor was employed due to its ability to capture non-linear interactions, its robustness to multicollinearity, and its strong performance in structured tabular data. The model was trained to predict the next-day value of the BDI, effectively implementing a one-day-ahead forecasting strategy. Hyperparameters were tuned within the training dataset, and early stopping rounds were used to mitigate overfitting.</w:t>
      </w:r>
    </w:p>
    <w:p w:rsidR="00BE68AF" w:rsidRPr="00BE68AF" w:rsidRDefault="00BE68AF" w:rsidP="00BE68AF">
      <w:pPr>
        <w:spacing w:before="100" w:beforeAutospacing="1" w:after="100" w:afterAutospacing="1"/>
        <w:rPr>
          <w:lang w:val="en-US" w:eastAsia="el-GR"/>
        </w:rPr>
      </w:pPr>
    </w:p>
    <w:p w:rsidR="00BE68AF" w:rsidRPr="00BE68AF" w:rsidRDefault="00BE68AF" w:rsidP="00BE68AF">
      <w:pPr>
        <w:spacing w:before="100" w:beforeAutospacing="1" w:after="100" w:afterAutospacing="1"/>
        <w:rPr>
          <w:lang w:val="en-US" w:eastAsia="el-GR"/>
        </w:rPr>
      </w:pPr>
      <w:r w:rsidRPr="00BE68AF">
        <w:rPr>
          <w:lang w:val="en-US" w:eastAsia="el-GR"/>
        </w:rPr>
        <w:t xml:space="preserve">Model performance was evaluated using standard forecasting metrics, including the Root Mean Squared Error (RMSE), Mean Absolute Error (MAE), Mean Absolute </w:t>
      </w:r>
      <w:r w:rsidRPr="00BE68AF">
        <w:rPr>
          <w:lang w:val="en-US" w:eastAsia="el-GR"/>
        </w:rPr>
        <w:lastRenderedPageBreak/>
        <w:t>Percentage Error (MAPE), and the Coefficient of Determination (R²). These metrics were computed on the unseen test set to provide an unbiased assessment of predictive accuracy. All plots, feature importance analyses, and exported metric files were generated automatically through the scripts contained in the corresponding GitHub repository.</w:t>
      </w:r>
    </w:p>
    <w:p w:rsidR="00BE68AF" w:rsidRPr="00BE68AF" w:rsidRDefault="00481011" w:rsidP="00BE68AF">
      <w:pPr>
        <w:rPr>
          <w:lang w:val="el-GR" w:eastAsia="el-GR"/>
        </w:rPr>
      </w:pPr>
      <w:r w:rsidRPr="00481011">
        <w:rPr>
          <w:noProof/>
          <w:lang w:val="el-GR" w:eastAsia="el-GR"/>
        </w:rPr>
        <w:pict>
          <v:rect id="_x0000_i1025" alt="" style="width:415.3pt;height:.05pt;mso-width-percent:0;mso-height-percent:0;mso-width-percent:0;mso-height-percent:0" o:hralign="center" o:hrstd="t" o:hr="t" fillcolor="#a0a0a0" stroked="f"/>
        </w:pict>
      </w:r>
    </w:p>
    <w:p w:rsidR="00BE68AF" w:rsidRPr="00BE68AF" w:rsidRDefault="00BE68AF" w:rsidP="00BE68AF">
      <w:pPr>
        <w:spacing w:before="100" w:beforeAutospacing="1" w:after="100" w:afterAutospacing="1"/>
        <w:outlineLvl w:val="0"/>
        <w:rPr>
          <w:b/>
          <w:bCs/>
          <w:kern w:val="36"/>
          <w:sz w:val="48"/>
          <w:szCs w:val="48"/>
          <w:lang w:val="en-US" w:eastAsia="el-GR"/>
        </w:rPr>
      </w:pPr>
      <w:r w:rsidRPr="00BE68AF">
        <w:rPr>
          <w:b/>
          <w:bCs/>
          <w:kern w:val="36"/>
          <w:sz w:val="48"/>
          <w:szCs w:val="48"/>
          <w:lang w:val="en-US" w:eastAsia="el-GR"/>
        </w:rPr>
        <w:t>Results</w:t>
      </w:r>
    </w:p>
    <w:p w:rsidR="00BE68AF" w:rsidRPr="00BE68AF" w:rsidRDefault="00BE68AF" w:rsidP="00BE68AF">
      <w:pPr>
        <w:spacing w:before="100" w:beforeAutospacing="1" w:after="100" w:afterAutospacing="1"/>
        <w:rPr>
          <w:lang w:val="en-US" w:eastAsia="el-GR"/>
        </w:rPr>
      </w:pPr>
    </w:p>
    <w:p w:rsidR="00BE68AF" w:rsidRPr="00BE68AF" w:rsidRDefault="00BE68AF" w:rsidP="00BE68AF">
      <w:pPr>
        <w:spacing w:before="100" w:beforeAutospacing="1" w:after="100" w:afterAutospacing="1"/>
        <w:rPr>
          <w:lang w:val="en-US" w:eastAsia="el-GR"/>
        </w:rPr>
      </w:pPr>
      <w:r w:rsidRPr="00BE68AF">
        <w:rPr>
          <w:lang w:val="en-US" w:eastAsia="el-GR"/>
        </w:rPr>
        <w:t>The XGBoost model demonstrated strong predictive performance in forecasting the next-day value of the Baltic Dry Index. Evaluation on the test set resulted in an RMSE of 53.63, an MAE of 40.77, a MAPE of 2.61%, and an R² of 0.9805. These values indicate that the model was able to explain approximately 98% of the variance in the BDI while maintaining a low relative error, reflecting a high degree of forecasting accuracy. This level of performance is consistent with the known autoregressive behaviour of freight indices, where short-term movements are strongly influenced by preceding values.</w:t>
      </w:r>
    </w:p>
    <w:p w:rsidR="00BE68AF" w:rsidRPr="00BE68AF" w:rsidRDefault="00BE68AF" w:rsidP="00BE68AF">
      <w:pPr>
        <w:spacing w:before="100" w:beforeAutospacing="1" w:after="100" w:afterAutospacing="1"/>
        <w:rPr>
          <w:lang w:val="en-US" w:eastAsia="el-GR"/>
        </w:rPr>
      </w:pPr>
    </w:p>
    <w:p w:rsidR="00BE68AF" w:rsidRPr="00BE68AF" w:rsidRDefault="00BE68AF" w:rsidP="00BE68AF">
      <w:pPr>
        <w:spacing w:before="100" w:beforeAutospacing="1" w:after="100" w:afterAutospacing="1"/>
        <w:rPr>
          <w:lang w:val="en-US" w:eastAsia="el-GR"/>
        </w:rPr>
      </w:pPr>
      <w:r w:rsidRPr="00BE68AF">
        <w:rPr>
          <w:lang w:val="en-US" w:eastAsia="el-GR"/>
        </w:rPr>
        <w:t>Feature importance analysis revealed that the model relied primarily on short-term autoregressive components. The most influential predictor was the previous day’s BDI value (BDI_lag1), which is expected given the day-to-day continuity of the index. The three-day moving average (BDI_roll3) was also a major contributor, capturing the short-term trend and providing the model with a smoother representation of recent market direction. Additional lagged variables, such as the three-day and five-day lags (BDI_lag3 and BDI_lag5), contributed meaningfully to the model’s understanding of medium-horizon temporal dynamics. Macroeconomic and financial variables, including global trade indicators and rolling averages of the S&amp;P500, exerted smaller but still consistent influence on the final prediction.</w:t>
      </w:r>
    </w:p>
    <w:p w:rsidR="00BE68AF" w:rsidRPr="00BE68AF" w:rsidRDefault="00BE68AF" w:rsidP="00BE68AF">
      <w:pPr>
        <w:spacing w:before="100" w:beforeAutospacing="1" w:after="100" w:afterAutospacing="1"/>
        <w:rPr>
          <w:lang w:val="en-US" w:eastAsia="el-GR"/>
        </w:rPr>
      </w:pPr>
    </w:p>
    <w:p w:rsidR="00BE68AF" w:rsidRPr="00BE68AF" w:rsidRDefault="00BE68AF" w:rsidP="00BE68AF">
      <w:pPr>
        <w:spacing w:before="100" w:beforeAutospacing="1" w:after="100" w:afterAutospacing="1"/>
        <w:rPr>
          <w:lang w:val="en-US" w:eastAsia="el-GR"/>
        </w:rPr>
      </w:pPr>
      <w:r w:rsidRPr="00BE68AF">
        <w:rPr>
          <w:lang w:val="en-US" w:eastAsia="el-GR"/>
        </w:rPr>
        <w:t>The time-series trajectory of the BDI across the study period showed substantial fluctuations, including a pronounced peak during 2021–2022, followed by a marked decline in 2023 and more moderate variability throughout 2024–2025. These patterns correspond to broader global economic conditions, post-pandemic recovery behaviour, and fluctuations in raw material demand. Visualisations generated through the modelling pipeline, including the BDI time-series plot, model performance summary, and feature importance charts, further illustrate these dynamics and are included in the GitHub repository alongside the complete code used for their construction.</w:t>
      </w:r>
    </w:p>
    <w:p w:rsidR="00BE68AF" w:rsidRPr="000C594E" w:rsidRDefault="00BE68AF" w:rsidP="000C594E"/>
    <w:sectPr w:rsidR="00BE68AF" w:rsidRPr="000C594E" w:rsidSect="000F198B">
      <w:pgSz w:w="11906" w:h="16838"/>
      <w:pgMar w:top="1440" w:right="1800" w:bottom="1440" w:left="1800"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344">
      <wne:macro wne:macroName="MENDELEYPLUGIN.MENDELEY.GETSETTING_PORT"/>
    </wne:keymap>
    <wne:keymap wne:kcmPrimary="044D">
      <wne:macro wne:macroName="MENDELEYPLUGIN.MENDELEY.INSERTCITATION"/>
    </wne:keymap>
    <wne:keymap wne:kcmPrimary="1249">
      <wne:fci wne:fciName="InsertCitation" wne:swArg="0000"/>
    </wne:keymap>
  </wne:keymaps>
  <wne:toolbars>
    <wne:toolbarData r:id="rId1"/>
  </wne:toolbar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A1"/>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A1"/>
    <w:family w:val="roman"/>
    <w:pitch w:val="variable"/>
    <w:sig w:usb0="E00006FF" w:usb1="420024FF" w:usb2="02000000" w:usb3="00000000" w:csb0="0000019F" w:csb1="00000000"/>
  </w:font>
  <w:font w:name="Calibri">
    <w:panose1 w:val="020F0502020204030204"/>
    <w:charset w:val="A1"/>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77"/>
  <w:proofState w:spelling="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33FF6"/>
    <w:rsid w:val="000932DF"/>
    <w:rsid w:val="000C594E"/>
    <w:rsid w:val="000C59B1"/>
    <w:rsid w:val="000F198B"/>
    <w:rsid w:val="00135179"/>
    <w:rsid w:val="001D61B4"/>
    <w:rsid w:val="002A117D"/>
    <w:rsid w:val="002E183D"/>
    <w:rsid w:val="002F09BC"/>
    <w:rsid w:val="00332E54"/>
    <w:rsid w:val="00340B65"/>
    <w:rsid w:val="003F13F6"/>
    <w:rsid w:val="003F5908"/>
    <w:rsid w:val="00416F1C"/>
    <w:rsid w:val="00481011"/>
    <w:rsid w:val="00493FD7"/>
    <w:rsid w:val="005501F4"/>
    <w:rsid w:val="005760AF"/>
    <w:rsid w:val="005F3CE3"/>
    <w:rsid w:val="00634FA2"/>
    <w:rsid w:val="00636B44"/>
    <w:rsid w:val="006B1DBF"/>
    <w:rsid w:val="006F0D9E"/>
    <w:rsid w:val="00715B37"/>
    <w:rsid w:val="0072266C"/>
    <w:rsid w:val="00733FA0"/>
    <w:rsid w:val="007448E9"/>
    <w:rsid w:val="0076474F"/>
    <w:rsid w:val="007A4F10"/>
    <w:rsid w:val="007B0D74"/>
    <w:rsid w:val="007E016B"/>
    <w:rsid w:val="007E710D"/>
    <w:rsid w:val="00825BD5"/>
    <w:rsid w:val="00856327"/>
    <w:rsid w:val="008F35A1"/>
    <w:rsid w:val="0090225C"/>
    <w:rsid w:val="00934B2B"/>
    <w:rsid w:val="009D7E77"/>
    <w:rsid w:val="009E43B6"/>
    <w:rsid w:val="009F7164"/>
    <w:rsid w:val="00A13472"/>
    <w:rsid w:val="00A6654F"/>
    <w:rsid w:val="00A901D5"/>
    <w:rsid w:val="00AA67C3"/>
    <w:rsid w:val="00BA2E04"/>
    <w:rsid w:val="00BE68AF"/>
    <w:rsid w:val="00C72E7A"/>
    <w:rsid w:val="00CD1B08"/>
    <w:rsid w:val="00CF6966"/>
    <w:rsid w:val="00D05D7C"/>
    <w:rsid w:val="00D33FF6"/>
    <w:rsid w:val="00D810D2"/>
    <w:rsid w:val="00DA16FD"/>
    <w:rsid w:val="00DC6BF2"/>
    <w:rsid w:val="00DD68F6"/>
    <w:rsid w:val="00E51EFE"/>
    <w:rsid w:val="00E77969"/>
    <w:rsid w:val="00EB0916"/>
    <w:rsid w:val="00EE6721"/>
    <w:rsid w:val="00F10841"/>
    <w:rsid w:val="00F238C5"/>
    <w:rsid w:val="00FA3C65"/>
    <w:rsid w:val="00FC503A"/>
    <w:rsid w:val="00FD599C"/>
    <w:rsid w:val="00FE7FAD"/>
  </w:rsids>
  <m:mathPr>
    <m:mathFont m:val="Cambria Math"/>
    <m:brkBin m:val="before"/>
    <m:brkBinSub m:val="--"/>
    <m:smallFrac m:val="0"/>
    <m:dispDef/>
    <m:lMargin m:val="0"/>
    <m:rMargin m:val="0"/>
    <m:defJc m:val="centerGroup"/>
    <m:wrapIndent m:val="1440"/>
    <m:intLim m:val="subSup"/>
    <m:naryLim m:val="undOvr"/>
  </m:mathPr>
  <w:themeFontLang w:val="en-GB"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559D3A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GB" w:eastAsia="en-GB" w:bidi="ar-SA"/>
      </w:rPr>
    </w:rPrDefault>
    <w:pPrDefault/>
  </w:docDefaults>
  <w:latentStyles w:defLockedState="0" w:defUIPriority="0" w:defSemiHidden="0" w:defUnhideWhenUsed="0" w:defQFormat="0" w:count="376">
    <w:lsdException w:name="Normal" w:qFormat="1"/>
    <w:lsdException w:name="heading 1" w:uiPriority="9"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macro" w:semiHidden="1" w:unhideWhenUsed="1"/>
    <w:lsdException w:name="toa heading"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0F198B"/>
    <w:rPr>
      <w:sz w:val="24"/>
      <w:szCs w:val="24"/>
    </w:rPr>
  </w:style>
  <w:style w:type="paragraph" w:styleId="1">
    <w:name w:val="heading 1"/>
    <w:basedOn w:val="a"/>
    <w:link w:val="1Char"/>
    <w:uiPriority w:val="9"/>
    <w:qFormat/>
    <w:rsid w:val="00BE68AF"/>
    <w:pPr>
      <w:spacing w:before="100" w:beforeAutospacing="1" w:after="100" w:afterAutospacing="1"/>
      <w:outlineLvl w:val="0"/>
    </w:pPr>
    <w:rPr>
      <w:b/>
      <w:bCs/>
      <w:kern w:val="36"/>
      <w:sz w:val="48"/>
      <w:szCs w:val="48"/>
      <w:lang w:val="el-GR" w:eastAsia="el-GR"/>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Char">
    <w:name w:val="Επικεφαλίδα 1 Char"/>
    <w:basedOn w:val="a0"/>
    <w:link w:val="1"/>
    <w:uiPriority w:val="9"/>
    <w:rsid w:val="00BE68AF"/>
    <w:rPr>
      <w:b/>
      <w:bCs/>
      <w:kern w:val="36"/>
      <w:sz w:val="48"/>
      <w:szCs w:val="48"/>
      <w:lang w:val="el-GR" w:eastAsia="el-GR"/>
    </w:rPr>
  </w:style>
  <w:style w:type="character" w:customStyle="1" w:styleId="s1">
    <w:name w:val="s1"/>
    <w:basedOn w:val="a0"/>
    <w:rsid w:val="00BE68AF"/>
  </w:style>
  <w:style w:type="paragraph" w:customStyle="1" w:styleId="p2">
    <w:name w:val="p2"/>
    <w:basedOn w:val="a"/>
    <w:rsid w:val="00BE68AF"/>
    <w:pPr>
      <w:spacing w:before="100" w:beforeAutospacing="1" w:after="100" w:afterAutospacing="1"/>
    </w:pPr>
    <w:rPr>
      <w:lang w:val="el-GR" w:eastAsia="el-GR"/>
    </w:rPr>
  </w:style>
  <w:style w:type="paragraph" w:customStyle="1" w:styleId="p3">
    <w:name w:val="p3"/>
    <w:basedOn w:val="a"/>
    <w:rsid w:val="00BE68AF"/>
    <w:pPr>
      <w:spacing w:before="100" w:beforeAutospacing="1" w:after="100" w:afterAutospacing="1"/>
    </w:pPr>
    <w:rPr>
      <w:lang w:val="el-GR" w:eastAsia="el-GR"/>
    </w:rPr>
  </w:style>
  <w:style w:type="character" w:customStyle="1" w:styleId="s2">
    <w:name w:val="s2"/>
    <w:basedOn w:val="a0"/>
    <w:rsid w:val="00BE68AF"/>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MENDELEYPLUGIN.MENDELEY.GETSETTING_PORT" wne:name="MendeleyPlugin.Mendeley.GetSetting_Port" wne:bEncrypt="00" wne:cmg="56"/>
    <wne:mcd wne:macroName="MENDELEYPLUGIN.MENDELEY.INSERTCITATION" wne:name="MendeleyPlugin.Mendeley.insertCitation" wne:bEncrypt="00" wne:cmg="56"/>
    <wne:mcd wne:macroName="MENDELEYPLUGIN.MENDELEY.ADDCURSORBOOKMARK" wne:name="MendeleyPlugin.Mendeley.addCursorBookmark" wne:bEncrypt="00" wne:cmg="56"/>
    <wne:mcd wne:macroName="MENDELEYPLUGIN.MENDELEY.ADDKEYBINDING_PORT" wne:name="MendeleyPlugin.Mendeley.AddKeyBinding_Port" wne:bEncrypt="00" wne:cmg="56"/>
    <wne:mcd wne:macroName="MENDELEYPLUGIN.MENDELEY.AFTEROPEN" wne:name="MendeleyPlugin.Mendeley.afterOpen" wne:bEncrypt="00" wne:cmg="56"/>
    <wne:mcd wne:macroName="MENDELEYPLUGIN.MENDELEY.AFTERSAVE" wne:name="MendeleyPlugin.Mendeley.afterSave" wne:bEncrypt="00" wne:cmg="56"/>
    <wne:mcd wne:macroName="MENDELEYPLUGIN.MENDELEY.AUTOEXEC" wne:name="MendeleyPlugin.Mendeley.AutoExec" wne:bEncrypt="00" wne:cmg="56"/>
    <wne:mcd wne:macroName="MENDELEYPLUGIN.MENDELEY.AUTONEW" wne:name="MendeleyPlugin.Mendeley.AutoNew" wne:bEncrypt="00" wne:cmg="56"/>
    <wne:mcd wne:macroName="MENDELEYPLUGIN.MENDELEY.AUTOOPEN" wne:name="MendeleyPlugin.Mendeley.AutoOpen" wne:bEncrypt="00" wne:cmg="56"/>
    <wne:mcd wne:macroName="MENDELEYPLUGIN.MENDELEY.CHOOSECITATIONSTYLE" wne:name="MendeleyPlugin.Mendeley.chooseCitationStyle" wne:bEncrypt="00" wne:cmg="56"/>
    <wne:mcd wne:macroName="MENDELEYPLUGIN.MENDELEY.DELCURSORBOOKMARK" wne:name="MendeleyPlugin.Mendeley.delCursorBookmark" wne:bEncrypt="00" wne:cmg="56"/>
    <wne:mcd wne:macroName="MENDELEYPLUGIN.MENDELEY.EXPORTASBOOKMARKS" wne:name="MendeleyPlugin.Mendeley.exportAsBookmarks" wne:bEncrypt="00" wne:cmg="56"/>
    <wne:mcd wne:macroName="MENDELEYPLUGIN.MENDELEY.EXPORTCOMPATIBLELIBREOFFICE" wne:name="MendeleyPlugin.Mendeley.exportCompatibleLibreOffice" wne:bEncrypt="00" wne:cmg="56"/>
    <wne:mcd wne:macroName="MENDELEYPLUGIN.MENDELEY.EXPORTCOMPATIBLEOPENOFFICE" wne:name="MendeleyPlugin.Mendeley.exportCompatibleOpenOffice" wne:bEncrypt="00" wne:cmg="56"/>
    <wne:mcd wne:macroName="MENDELEYPLUGIN.MENDELEY.EXPORTWITHOUTMENDELEYFIELDS" wne:name="MendeleyPlugin.Mendeley.exportWithoutMendeleyFields" wne:bEncrypt="00" wne:cmg="56"/>
    <wne:mcd wne:macroName="MENDELEYPLUGIN.MENDELEY.INITIALISE" wne:name="MendeleyPlugin.Mendeley.initialise" wne:bEncrypt="00" wne:cmg="56"/>
    <wne:mcd wne:macroName="MENDELEYPLUGIN.MENDELEY.INSERTBIBLIOGRAPHY" wne:name="MendeleyPlugin.Mendeley.insertBibliography" wne:bEncrypt="00" wne:cmg="56"/>
    <wne:mcd wne:macroName="MENDELEYPLUGIN.MENDELEY.INSERTCITATIONBUTTON" wne:name="MendeleyPlugin.Mendeley.insertCitationButton" wne:bEncrypt="00" wne:cmg="56"/>
    <wne:mcd wne:macroName="MENDELEYPLUGIN.MENDELEY.MERGECITATIONS" wne:name="MendeleyPlugin.Mendeley.mergeCitations" wne:bEncrypt="00" wne:cmg="56"/>
    <wne:mcd wne:macroName="MENDELEYPLUGIN.MENDELEY.OPENCITATIONSFROMMENDELEY" wne:name="MendeleyPlugin.Mendeley.OpenCitationsFromMendeley" wne:bEncrypt="00" wne:cmg="56"/>
    <wne:mcd wne:macroName="MENDELEYPLUGIN.MENDELEY.OPENMENDELEY_APP" wne:name="MendeleyPlugin.Mendeley.OpenMendeley_app" wne:bEncrypt="00" wne:cmg="56"/>
    <wne:mcd wne:macroName="MENDELEYPLUGIN.MENDELEY.REFRESH" wne:name="MendeleyPlugin.Mendeley.refresh" wne:bEncrypt="00" wne:cmg="56"/>
    <wne:mcd wne:macroName="MENDELEYPLUGIN.MENDELEY.TABLESINGLECELLSSELECTION" wne:name="MendeleyPlugin.Mendeley.tableSingleCellsSelection" wne:bEncrypt="00" wne:cmg="56"/>
    <wne:mcd wne:macroName="MENDELEYPLUGIN.MENDELEY.UNDOEDIT" wne:name="MendeleyPlugin.Mendeley.undoEdit" wne:bEncrypt="00" wne:cmg="56"/>
    <wne:mcd wne:macroName="MENDELEYPLUGIN.MENDELEYLIB.ACTIVATETARGETDOCUMENT" wne:name="MendeleyPlugin.MendeleyLib.activateTargetDocument" wne:bEncrypt="00" wne:cmg="56"/>
    <wne:mcd wne:macroName="MENDELEYPLUGIN.MENDELEYLIB.ADDTOOLTIPSTOBUTTONS" wne:name="MendeleyPlugin.MendeleyLib.addTooltipsToButtons" wne:bEncrypt="00" wne:cmg="56"/>
    <wne:mcd wne:macroName="MENDELEYPLUGIN.MENDELEYLIB.BRINGWORDTOFOREGROUND" wne:name="MendeleyPlugin.MendeleyLib.bringWordToForeground" wne:bEncrypt="00" wne:cmg="56"/>
    <wne:mcd wne:macroName="MENDELEYPLUGIN.MENDELEYLIB.CHANGEEXPORTASSTYLETOBUTTONS" wne:name="MendeleyPlugin.MendeleyLib.changeExportAsStyleToButtons" wne:bEncrypt="00" wne:cmg="56"/>
    <wne:mcd wne:macroName="MENDELEYPLUGIN.MENDELEYLIB.CHECKFORCITATIONEDIT" wne:name="MendeleyPlugin.MendeleyLib.checkForCitationEdit" wne:bEncrypt="00" wne:cmg="56"/>
    <wne:mcd wne:macroName="MENDELEYPLUGIN.MENDELEYLIB.CITATIONSTYLECOMBOBOXCHANGED" wne:name="MendeleyPlugin.MendeleyLib.citationStyleComboBoxChanged" wne:bEncrypt="00" wne:cmg="56"/>
    <wne:mcd wne:macroName="MENDELEYPLUGIN.MENDELEYLIB.CONVERTFOOTTOINTEXT" wne:name="MendeleyPlugin.MendeleyLib.ConvertFootToIntext" wne:bEncrypt="00" wne:cmg="56"/>
    <wne:mcd wne:macroName="MENDELEYPLUGIN.MENDELEYLIB.CONVERTINTEXTTOFOOTNOTE" wne:name="MendeleyPlugin.MendeleyLib.ConvertIntextToFootnote" wne:bEncrypt="00" wne:cmg="56"/>
    <wne:mcd wne:macroName="MENDELEYPLUGIN.MENDELEYLIB.CREATECITATIONSTYLEBUTTON" wne:name="MendeleyPlugin.MendeleyLib.createCitationStyleButton" wne:bEncrypt="00" wne:cmg="56"/>
    <wne:mcd wne:macroName="MENDELEYPLUGIN.MENDELEYLIB.CREATECITATIONSTYLECOMBOBOX" wne:name="MendeleyPlugin.MendeleyLib.createCitationStyleComboBox" wne:bEncrypt="00" wne:cmg="56"/>
    <wne:mcd wne:macroName="MENDELEYPLUGIN.MENDELEYLIB.ENDUNDOTRANSACTION" wne:name="MendeleyPlugin.MendeleyLib.endUndoTransaction" wne:bEncrypt="00" wne:cmg="56"/>
    <wne:mcd wne:macroName="MENDELEYPLUGIN.MENDELEYLIB.SENDWORDPROCESSORVERSION" wne:name="MendeleyPlugin.MendeleyLib.sendWordProcessorVersion" wne:bEncrypt="00" wne:cmg="56"/>
    <wne:mcd wne:macroName="MENDELEYPLUGIN.MENDELEYLIB.SETUPCONTEXTMENUS" wne:name="MendeleyPlugin.MendeleyLib.setUpContextMenus" wne:bEncrypt="00" wne:cmg="56"/>
    <wne:mcd wne:macroName="MENDELEYPLUGIN.MENDELEYLIB.SETUPSHORTCUT" wne:name="MendeleyPlugin.MendeleyLib.setupShortcut" wne:bEncrypt="00" wne:cmg="56"/>
    <wne:mcd wne:macroName="MENDELEYPLUGIN.MENDELEYLIB.SETUPTOOLBARCONTROLS" wne:name="MendeleyPlugin.MendeleyLib.setupToolbarControls" wne:bEncrypt="00" wne:cmg="56"/>
    <wne:mcd wne:macroName="MENDELEYPLUGIN.MENDELEYLIB.STORETARGETDOCUMENT" wne:name="MendeleyPlugin.MendeleyLib.storeTargetDocument" wne:bEncrypt="00" wne:cmg="56"/>
    <wne:mcd wne:macroName="MENDELEYPLUGIN.ZOTEROLIB.RANDOMIZEIFNECCESSARY" wne:name="MendeleyPlugin.ZoteroLib.randomizeIfNeccessary" wne:bEncrypt="00" wne:cmg="56"/>
    <wne:mcd wne:macroName="MENDELEYPLUGIN.ZOTEROLIB.TESTGETTAGGEDRICHTEXTFROMRANGE" wne:name="MendeleyPlugin.ZoteroLib.testGetTaggedRichTextFromRange" wne:bEncrypt="00" wne:cmg="56"/>
    <wne:mcd wne:macroName="MENDELEYPLUGIN.MENDELEYDATATYPES.DYNAMICSTRINGTEST" wne:name="MendeleyPlugin.MendeleyDataTypes.DynamicStringTest" wne:bEncrypt="00" wne:cmg="56"/>
    <wne:mcd wne:macroName="MENDELEYPLUGIN.MENDELEYUNITTESTS.RUNSINGLEUNITTEST" wne:name="MendeleyPlugin.MendeleyUnitTests.runSingleUnitTest" wne:bEncrypt="00" wne:cmg="56"/>
    <wne:mcd wne:macroName="MENDELEYPLUGIN.MENDELEYUNITTESTS.TESTAPPLYFORMATTING" wne:name="MendeleyPlugin.MendeleyUnitTests.testApplyFormatting" wne:bEncrypt="00" wne:cmg="56"/>
    <wne:mcd wne:macroName="MENDELEYPLUGIN.MENDELEYUNITTESTS.TESTCHANGECITATIONSTYLE" wne:name="MendeleyPlugin.MendeleyUnitTests.testChangeCitationStyle" wne:bEncrypt="00" wne:cmg="56"/>
    <wne:mcd wne:macroName="MENDELEYPLUGIN.MENDELEYUNITTESTS.TESTDEFAULTCITATIONSTYLE" wne:name="MendeleyPlugin.MendeleyUnitTests.testDefaultCitationStyle" wne:bEncrypt="00" wne:cmg="56"/>
    <wne:mcd wne:macroName="MENDELEYPLUGIN.MENDELEYUNITTESTS.TESTEDITCITATION" wne:name="MendeleyPlugin.MendeleyUnitTests.testEditCitation" wne:bEncrypt="00" wne:cmg="56"/>
    <wne:mcd wne:macroName="MENDELEYPLUGIN.MENDELEYUNITTESTS.TESTEXPORTOPENOFFICESIMPLE" wne:name="MendeleyPlugin.MendeleyUnitTests.testExportOpenOfficeSimple" wne:bEncrypt="00" wne:cmg="56"/>
    <wne:mcd wne:macroName="MENDELEYPLUGIN.MENDELEYUNITTESTS.TESTEXPORTWITHOUTFIELDSSIMPLE" wne:name="MendeleyPlugin.MendeleyUnitTests.testExportWithoutFieldsSimple" wne:bEncrypt="00" wne:cmg="56"/>
    <wne:mcd wne:macroName="MENDELEYPLUGIN.MENDELEYUNITTESTS.TESTINSERTBIBLIOGRAPHY" wne:name="MendeleyPlugin.MendeleyUnitTests.testInsertBibliography" wne:bEncrypt="00" wne:cmg="56"/>
    <wne:mcd wne:macroName="MENDELEYPLUGIN.MENDELEYUNITTESTS.TESTINSERTCITATION" wne:name="MendeleyPlugin.MendeleyUnitTests.testInsertCitation" wne:bEncrypt="00" wne:cmg="56"/>
    <wne:mcd wne:macroName="MENDELEYPLUGIN.MENDELEYUNITTESTS.TESTMERGECITATIONS" wne:name="MendeleyPlugin.MendeleyUnitTests.testMergeCitations" wne:bEncrypt="00" wne:cmg="56"/>
    <wne:mcd wne:macroName="MENDELEYPLUGIN.MENDELEYUNITTESTS.TESTPROJECTNAME" wne:name="MendeleyPlugin.MendeleyUnitTests.testProjectName" wne:bEncrypt="00" wne:cmg="56"/>
    <wne:mcd wne:macroName="MENDELEYPLUGIN.MENDELEYUNITTESTS.TESTREFRESHDOCUMENT" wne:name="MendeleyPlugin.MendeleyUnitTests.testRefreshDocument" wne:bEncrypt="00" wne:cmg="56"/>
    <wne:mcd wne:macroName="MENDELEYPLUGIN.MENDELEYUNITTESTS.TESTSAVERECENTSTYLES" wne:name="MendeleyPlugin.MendeleyUnitTests.testSaveRecentStyles" wne:bEncrypt="00" wne:cmg="56"/>
    <wne:mcd wne:macroName="MENDELEYPLUGIN.MENDELEYUNITTESTS.TESTSUBSETRANGETEXT" wne:name="MendeleyPlugin.MendeleyUnitTests.testSubSetRangeText" wne:bEncrypt="00" wne:cmg="56"/>
    <wne:mcd wne:macroName="MENDELEYPLUGIN.MENDELEYUNITTESTS.TESTSUBSETRANGETEXT_INIT" wne:name="MendeleyPlugin.MendeleyUnitTests.testSubSetRangeText_init" wne:bEncrypt="00" wne:cmg="56"/>
    <wne:mcd wne:macroName="MENDELEYPLUGIN.MENDELEYUNITTESTS.TESTTABLEWITHTEXTWRAPPING" wne:name="MendeleyPlugin.MendeleyUnitTests.testTableWithTextWrapping" wne:bEncrypt="00" wne:cmg="56"/>
    <wne:mcd wne:macroName="MENDELEYPLUGIN.MENDELEYUNITTESTS.TESTUNKNOWNCITATIONSTYLE" wne:name="MendeleyPlugin.MendeleyUnitTests.testUnknownCitationStyle" wne:bEncrypt="00" wne:cmg="56"/>
    <wne:mcd wne:macroName="MENDELEYPLUGIN.MENDELEYUNITTESTS.UPDATETESTDOCUMENT" wne:name="MendeleyPlugin.MendeleyUnitTests.updateTestDocument" wne:bEncrypt="00" wne:cmg="56"/>
    <wne:mcd wne:macroName="MENDELEYPLUGIN.MENDELEYDEBUGUTILS.DEBUG_EXITFUNC" wne:name="MendeleyPlugin.MendeleyDebugUtils.Debug_ExitFunc" wne:bEncrypt="00" wne:cmg="56"/>
    <wne:mcd wne:macroName="MENDELEYPLUGIN.MACIPCCLIENT.INITTEMPORARYDIRECTORYPATHS" wne:name="MendeleyPlugin.MacIpcClient.initTemporaryDirectoryPaths" wne:bEncrypt="00" wne:cmg="56"/>
    <wne:mcd wne:macroName="MENDELEYPLUGIN.MACIPCCLIENT.LOCATEWORDPLUGINHELPER" wne:name="MendeleyPlugin.MacIpcClient.locateWordPluginHelper" wne:bEncrypt="00" wne:cmg="56"/>
    <wne:mcd wne:macroName="MENDELEYPLUGIN.MENDELEYRIBBON.CAUSEERROR" wne:name="MendeleyPlugin.MendeleyRibbon.causeError" wne:bEncrypt="00" wne:cmg="56"/>
    <wne:mcd wne:macroName="MENDELEYPLUGIN.MENDELEYRIBBON.RECOVERRIBBONUI" wne:name="MendeleyPlugin.MendeleyRibbon.recoverRibbonUi" wne:bEncrypt="00" wne:cmg="56"/>
    <wne:mcd wne:macroName="MENDELEYPLUGIN.MENDELEYRIBBON.REFRESHRIBBON" wne:name="MendeleyPlugin.MendeleyRibbon.RefreshRibbo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823061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Methods_and_Results_November_2025.dotm</Template>
  <TotalTime>4</TotalTime>
  <Pages>2</Pages>
  <Words>794</Words>
  <Characters>4293</Characters>
  <Application>Microsoft Office Word</Application>
  <DocSecurity>0</DocSecurity>
  <Lines>35</Lines>
  <Paragraphs>10</Paragraphs>
  <ScaleCrop>false</ScaleCrop>
  <HeadingPairs>
    <vt:vector size="4" baseType="variant">
      <vt:variant>
        <vt:lpstr>Τίτλος</vt:lpstr>
      </vt:variant>
      <vt:variant>
        <vt:i4>1</vt:i4>
      </vt:variant>
      <vt:variant>
        <vt:lpstr>Title</vt:lpstr>
      </vt:variant>
      <vt:variant>
        <vt:i4>1</vt:i4>
      </vt:variant>
    </vt:vector>
  </HeadingPairs>
  <TitlesOfParts>
    <vt:vector size="2" baseType="lpstr">
      <vt:lpstr/>
      <vt:lpstr/>
    </vt:vector>
  </TitlesOfParts>
  <Company>Microsoft</Company>
  <LinksUpToDate>false</LinksUpToDate>
  <CharactersWithSpaces>5077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Mendeley Ltd.</dc:creator>
  <cp:keywords/>
  <dc:description/>
  <cp:lastModifiedBy>BOUCHOURAS GEORGIOS</cp:lastModifiedBy>
  <cp:revision>1</cp:revision>
  <dcterms:created xsi:type="dcterms:W3CDTF">2011-01-20T11:56:00Z</dcterms:created>
  <dcterms:modified xsi:type="dcterms:W3CDTF">2025-11-18T09:27:00Z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Citation Style_1">
    <vt:lpwstr>http://www.zotero.org/styles/apa</vt:lpwstr>
  </property>
</Properties>
</file>