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Análisis de resultados — Pruebas de carga Cheapest</w:t>
      </w:r>
    </w:p>
    <w:p>
      <w:r>
        <w:t>Melanie Giovanna Valle Benavides — 202625965</w:t>
      </w:r>
    </w:p>
    <w:p>
      <w:pPr>
        <w:pStyle w:val="Heading2"/>
      </w:pPr>
      <w:r>
        <w:t>1. Punto de inflexión</w:t>
      </w:r>
    </w:p>
    <w:p>
      <w:r>
        <w:t>El ASR que primero se incumple es el ASR 1 (GET, p99 &lt; 1000 ms). La latencia p99 se mantiene saludable durante Smoke, Baja carga, Carga media y Operación normal (21 ms en promedio con 450 threads, muy por debajo del límite), pero al pasar a Alta carga (1500 threads) se dispara a un promedio de 49.185 ms p99 — casi 50 veces el límite del ASR. La degradación no se detiene ahí: sigue subiendo a 66.072 ms en Muy alta carga (3000), 103.366 ms en Estrés (7500) y 167.165 ms en Estrés fuerte (18000). El GET nunca reporta errores HTTP (0.00% en todos los escenarios), por lo que su incumplimiento es puramente de latencia, no de disponibilidad.</w:t>
      </w:r>
    </w:p>
    <w:p>
      <w:r>
        <w:t>El ASR 2 (POST, error % ≤ 2%) se mantiene dentro del límite hasta Muy alta carga (3000 threads, error promedio 0.02%), pero se rompe de forma abrupta en Estrés (7500 threads), con un salto a 12.95% de error promedio (38.84% en su primera corrida), y empeora hasta 55.5% en Estrés fuerte (18000, el escenario que representa el evento de promociones real de 5000 req/min). En conclusión: el GET incumple su ASR con una carga mucho menor (1500 threads) que el POST (7500 threads), por lo que el GET es el primer eslabón en romperse, aunque el POST es el que produce el síntoma más visible para el usuario final (pedidos rechazados).</w:t>
      </w:r>
    </w:p>
    <w:p>
      <w:pPr>
        <w:pStyle w:val="Heading2"/>
      </w:pPr>
      <w:r>
        <w:t>2. Cuello de botella y patrón de degradación</w:t>
      </w:r>
    </w:p>
    <w:p>
      <w:r>
        <w:t>Para el GET, el código de producto.repository.ts resuelve toda la lógica de negocio (histórico de pedidos, promoción vigente y disponibilidad por zona) en una sola consulta SQL con tres subconsultas EXISTS correlacionadas — todo el trabajo pesado ocurre dentro de PostgreSQL, no en la capa de aplicación. Como no existen índices sobre pedidos.tiendaId, items_pedido.productoId, catalogos.zona ni disponibilidad_zona.productoId, cada EXISTS obliga a un escaneo cada vez más costoso a medida que crece la concurrencia y el número de conexiones compitiendo por el mismo pool de solo 10. El salto entre 450 y 1500 threads (de 21 ms a 49.185 ms) es abrupto, no gradual, lo que sugiere que se cruza un umbral de saturación del pool de conexiones más que un deterioro progresivo del plan de consulta.</w:t>
      </w:r>
    </w:p>
    <w:p>
      <w:r>
        <w:t>Para el POST, pedido.service.ts y pedido.repository.ts ejecutan una escritura transaccional (INSERT en pedidos + un INSERT por cada ítem en items_pedido), es decir, múltiples round-trips a la base de datos dentro de una sola transacción por pedido. Bajo alta concurrencia, cada transacción abierta retiene una conexión del mismo pool de 10 que usa el GET, así que ambos endpoints compiten por el mismo recurso escaso. El patrón de degradación del error % también es abrupto (de 0.02% a 12.95% entre Muy alta carga y Estrés) en lugar de una curva suave, consistente con la hipótesis de que el pool de conexiones se agota de golpe una vez que la cantidad de transacciones concurrentes supera su capacidad, y no con un deterioro paulatino de consultas cada vez más lentas.</w:t>
      </w:r>
    </w:p>
    <w:p>
      <w:r>
        <w:t>Un dato adicional a considerar: en Estrés fuerte (18.000 usuarios) el GET reporta p99 de 167 segundos sin ningún error, pese a que el script tiene un timeout de 10 segundos por request. Esto es evidencia de que, a esa escala de concurrencia, parte del cuello de botella podría estar en el propio generador de carga (agotamiento de sockets o del pool de conexiones del cliente Python) y no únicamente en el backend — lo cual respalda directamente la hipótesis de "límites del generador de carga" planteada en la Pregunta 3.</w:t>
      </w:r>
    </w:p>
    <w:p>
      <w:pPr>
        <w:pStyle w:val="Heading2"/>
      </w:pPr>
      <w:r>
        <w:t>3. Distribución de datos</w:t>
      </w:r>
    </w:p>
    <w:p>
      <w:r>
        <w:t>Todos los escenarios de la matriz (JMeter y script Python) se ejecutaron contra la misma configuración de load-seed.yaml: 200 tiendas y 10 zonas con distribución Pareto (peso_cabeza=0.8, fraccion_cabeza=0.2), 1.200 productos, 300 catálogos, 150 promociones activas y 20.000 pedidos históricos distribuidos de forma no uniforme entre tiendas. Se mantuvo esta misma distribución sesgada en toda la campaña de pruebas (no se cambió entre escenarios), en línea con la Pregunta 2: el 20% de tiendas y zonas concentra el 80% de la actividad, lo que asegura que las consultas del GET realmente golpeen filas calientes repetidas y que los resultados no sean artificialmente optimistas por un working set uniforme.</w:t>
      </w:r>
    </w:p>
    <w:p>
      <w:pPr>
        <w:pStyle w:val="Heading2"/>
      </w:pPr>
      <w:r>
        <w:t>4. Arquitectura</w:t>
      </w:r>
    </w:p>
    <w:p>
      <w:r>
        <w:t>El diseño monolítico no favorece el cumplimiento de estos dos ASR bajo carga alta: GET y POST comparten el mismo proceso Node.js, la misma instancia de PostgreSQL y, sobre todo, el mismo pool de 10 conexiones. Cuando el POST empieza a saturar ese pool en los escenarios de Estrés, le resta capacidad al GET, y viceversa — no hay aislamiento de fallos entre los dos flujos de negocio, a pesar de que tienen perfiles de carga y criticidad distintos (lectura de catálogo vs. escritura transaccional de ingresos). Para cumplir ambos ASR de forma sostenible recomendaríamos: (1) separar el pool de conexiones por tipo de operación o incluso separar el servicio de catálogo/disponibilidad del servicio de pedidos, siguiendo un estilo más cercano a microservicios; (2) agregar los 4 índices faltantes, que es la mejora de menor costo y mayor impacto inmediato para el ASR 1; y (3) para el ASR 2, incorporar una cola de mensajes (por ejemplo un patrón de escritura asíncrona con confirmación diferida) que absorba los picos de pedidos sin depender de que cada request HTTP mantenga una transacción abierta hasta el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