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002E6E"/>
          </w:tcPr>
          <w:p>
            <w:pPr>
              <w:jc w:val="center"/>
            </w:pPr>
            <w:r>
              <w:rPr>
                <w:rFonts w:ascii="Calibri Light" w:hAnsi="Calibri Light"/>
                <w:b/>
                <w:color w:val="FFFFFF"/>
                <w:sz w:val="96"/>
              </w:rPr>
              <w:t>HEIMDALL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Calibri" w:hAnsi="Calibri"/>
          <w:b/>
          <w:i w:val="0"/>
          <w:color w:val="002E6E"/>
          <w:sz w:val="36"/>
        </w:rPr>
        <w:t>Sistema de Controle de Acesso Corporativo</w:t>
      </w:r>
    </w:p>
    <w:p>
      <w:pPr>
        <w:spacing w:after="160"/>
      </w:pPr>
    </w:p>
    <w:p>
      <w:pPr>
        <w:jc w:val="center"/>
      </w:pPr>
      <w:r>
        <w:rPr>
          <w:rFonts w:ascii="Calibri" w:hAnsi="Calibri"/>
          <w:b w:val="0"/>
          <w:i/>
          <w:color w:val="555555"/>
          <w:sz w:val="20"/>
        </w:rPr>
        <w:t>Versão 1.0  ·  Abril 2026  ·  Classificação: Interno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before="80" w:after="80"/>
        <w:pBdr>
          <w:bottom w:val="single" w:sz="6" w:color="125FD4"/>
        </w:pBdr>
      </w:pP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02E6E"/>
          <w:sz w:val="44"/>
        </w:rPr>
        <w:t>1. Sobre o Heimdall</w:t>
      </w:r>
    </w:p>
    <w:p>
      <w:pPr>
        <w:spacing w:before="80" w:after="80"/>
        <w:pBdr>
          <w:bottom w:val="single" w:sz="6" w:color="125FD4"/>
        </w:pBdr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1E1E1E"/>
          <w:sz w:val="22"/>
        </w:rPr>
        <w:t>O Heimdall é um aplicativo Android desenvolvido internamente para modernizar e centralizar o controle de acesso corporativo. Instalado em tablets ou smartphones fixos nas entradas, o sistema lê automaticamente as credenciais dos colaboradores — seja por aproximação do celular via NFC ou escaneamento de QR Code — e valida o acesso em tempo real, exibindo o resultado com foto e nome do funcionário.</w:t>
      </w:r>
    </w:p>
    <w:p>
      <w:pPr>
        <w:spacing w:after="80"/>
      </w:pPr>
    </w:p>
    <w:p>
      <w:pPr>
        <w:spacing w:after="120" w:before="0"/>
      </w:pPr>
      <w:r>
        <w:rPr>
          <w:rFonts w:ascii="Calibri" w:hAnsi="Calibri"/>
          <w:b/>
          <w:i w:val="0"/>
          <w:color w:val="1E1E1E"/>
          <w:sz w:val="21"/>
        </w:rPr>
        <w:t>O Heimdall é a peça final de um ecossistema completo: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2E6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ODIN Admin</w:t>
            </w:r>
          </w:p>
          <w:p>
            <w:pPr>
              <w:jc w:val="center"/>
            </w:pPr>
            <w:r>
              <w:rPr>
                <w:rFonts w:ascii="Calibri" w:hAnsi="Calibri"/>
                <w:color w:val="CCDDFF"/>
                <w:sz w:val="18"/>
              </w:rPr>
              <w:t>Painel Web</w:t>
              <w:br/>
              <w:t>Emite cadastros</w:t>
            </w:r>
          </w:p>
        </w:tc>
        <w:tc>
          <w:tcPr>
            <w:tcW w:type="dxa" w:w="3024"/>
            <w:shd w:val="clear" w:color="auto" w:fill="125FD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HUGINN Mobile</w:t>
            </w:r>
          </w:p>
          <w:p>
            <w:pPr>
              <w:jc w:val="center"/>
            </w:pPr>
            <w:r>
              <w:rPr>
                <w:rFonts w:ascii="Calibri" w:hAnsi="Calibri"/>
                <w:color w:val="CCDDFF"/>
                <w:sz w:val="18"/>
              </w:rPr>
              <w:t>App do Funcionário</w:t>
              <w:br/>
              <w:t>Gera credenciais</w:t>
            </w:r>
          </w:p>
        </w:tc>
        <w:tc>
          <w:tcPr>
            <w:tcW w:type="dxa" w:w="3024"/>
            <w:shd w:val="clear" w:color="auto" w:fill="002E6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HEIMDALL</w:t>
            </w:r>
          </w:p>
          <w:p>
            <w:pPr>
              <w:jc w:val="center"/>
            </w:pPr>
            <w:r>
              <w:rPr>
                <w:rFonts w:ascii="Calibri" w:hAnsi="Calibri"/>
                <w:color w:val="CCDDFF"/>
                <w:sz w:val="18"/>
              </w:rPr>
              <w:t>Ponto de Acesso</w:t>
              <w:br/>
              <w:t>Lê e valida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02E6E"/>
          <w:sz w:val="44"/>
        </w:rPr>
        <w:t>2. Como Funciona</w:t>
      </w:r>
    </w:p>
    <w:p>
      <w:pPr>
        <w:spacing w:before="80" w:after="80"/>
        <w:pBdr>
          <w:bottom w:val="single" w:sz="6" w:color="125FD4"/>
        </w:pBdr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1E1E1E"/>
          <w:sz w:val="22"/>
        </w:rPr>
        <w:t>O acesso ocorre em três etapas automáticas, sem necessidade de operador: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F0F4FA"/>
          </w:tcPr>
          <w:p>
            <w:r>
              <w:rPr>
                <w:rFonts w:ascii="Calibri" w:hAnsi="Calibri"/>
                <w:b/>
                <w:color w:val="002E6E"/>
                <w:sz w:val="24"/>
              </w:rPr>
              <w:t>① Leitura</w:t>
            </w:r>
          </w:p>
          <w:p>
            <w:r>
              <w:rPr>
                <w:rFonts w:ascii="Calibri" w:hAnsi="Calibri"/>
                <w:color w:val="1E1E1E"/>
                <w:sz w:val="20"/>
              </w:rPr>
              <w:t>O colaborador aproxima o celular (NFC) ou exibe o QR Code do app Huginn.</w:t>
            </w:r>
          </w:p>
        </w:tc>
        <w:tc>
          <w:tcPr>
            <w:tcW w:type="dxa" w:w="3024"/>
            <w:shd w:val="clear" w:color="auto" w:fill="F0F4FA"/>
          </w:tcPr>
          <w:p>
            <w:r>
              <w:rPr>
                <w:rFonts w:ascii="Calibri" w:hAnsi="Calibri"/>
                <w:b/>
                <w:color w:val="125FD4"/>
                <w:sz w:val="24"/>
              </w:rPr>
              <w:t>② Validação</w:t>
            </w:r>
          </w:p>
          <w:p>
            <w:r>
              <w:rPr>
                <w:rFonts w:ascii="Calibri" w:hAnsi="Calibri"/>
                <w:color w:val="1E1E1E"/>
                <w:sz w:val="20"/>
              </w:rPr>
              <w:t>O Heimdall verifica a credencial localmente e junto ao servidor. Resposta em menos de 2 segundos.</w:t>
            </w:r>
          </w:p>
        </w:tc>
        <w:tc>
          <w:tcPr>
            <w:tcW w:type="dxa" w:w="3024"/>
            <w:shd w:val="clear" w:color="auto" w:fill="F0F4FA"/>
          </w:tcPr>
          <w:p>
            <w:r>
              <w:rPr>
                <w:rFonts w:ascii="Calibri" w:hAnsi="Calibri"/>
                <w:b/>
                <w:color w:val="002E6E"/>
                <w:sz w:val="24"/>
              </w:rPr>
              <w:t>③ Resultado</w:t>
            </w:r>
          </w:p>
          <w:p>
            <w:r>
              <w:rPr>
                <w:rFonts w:ascii="Calibri" w:hAnsi="Calibri"/>
                <w:color w:val="1E1E1E"/>
                <w:sz w:val="20"/>
              </w:rPr>
              <w:t>Tela verde (autorizado) ou vermelha (negado) com foto, nome e som de feedback. Retorna automaticamente em 3 segundos.</w:t>
            </w:r>
          </w:p>
        </w:tc>
      </w:tr>
    </w:tbl>
    <w:p>
      <w:pPr>
        <w:spacing w:after="200"/>
      </w:pPr>
    </w:p>
    <w:p>
      <w:pPr>
        <w:spacing w:before="360" w:after="120"/>
      </w:pPr>
      <w:r>
        <w:rPr>
          <w:rFonts w:ascii="Calibri" w:hAnsi="Calibri"/>
          <w:b/>
          <w:color w:val="002E6E"/>
          <w:sz w:val="44"/>
        </w:rPr>
        <w:t>3. Modos de Operação</w:t>
      </w:r>
    </w:p>
    <w:p>
      <w:pPr>
        <w:spacing w:before="80" w:after="80"/>
        <w:pBdr>
          <w:bottom w:val="single" w:sz="6" w:color="125FD4"/>
        </w:pBdr>
      </w:pPr>
    </w:p>
    <w:p>
      <w:pPr>
        <w:spacing w:before="200" w:after="120"/>
      </w:pPr>
      <w:r>
        <w:rPr>
          <w:rFonts w:ascii="Calibri" w:hAnsi="Calibri"/>
          <w:b/>
          <w:color w:val="125FD4"/>
          <w:sz w:val="26"/>
        </w:rPr>
        <w:t>NFC — Aproximação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E1E1E"/>
          <w:sz w:val="22"/>
        </w:rPr>
        <w:t>O funcionário simplesmente aproxima o celular do dispositivo Heimdall. A leitura é instantânea, sem qualquer interação adicional. Ideal para entradas de alto fluxo.</w:t>
      </w:r>
    </w:p>
    <w:p>
      <w:pPr>
        <w:spacing w:before="240" w:after="120"/>
      </w:pPr>
      <w:r>
        <w:rPr>
          <w:rFonts w:ascii="Calibri" w:hAnsi="Calibri"/>
          <w:b/>
          <w:color w:val="125FD4"/>
          <w:sz w:val="26"/>
        </w:rPr>
        <w:t>QR Code — Câmera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E1E1E"/>
          <w:sz w:val="22"/>
        </w:rPr>
        <w:t>A câmera fica em modo contínuo, detectando automaticamente o QR Code ao ser exibido na tela do Huginn. Recomendado para dispositivos sem chip NFC ou ambientes onde o contato físico não é desejável.</w:t>
      </w:r>
    </w:p>
    <w:p>
      <w:pPr>
        <w:spacing w:after="120"/>
      </w:pPr>
    </w:p>
    <w:p>
      <w:pPr>
        <w:spacing w:before="280" w:after="120"/>
      </w:pPr>
      <w:r>
        <w:rPr>
          <w:rFonts w:ascii="Calibri" w:hAnsi="Calibri"/>
          <w:b/>
          <w:color w:val="002E6E"/>
          <w:sz w:val="44"/>
        </w:rPr>
        <w:t>4. Resultado da Validação</w:t>
      </w:r>
    </w:p>
    <w:p>
      <w:pPr>
        <w:spacing w:before="80" w:after="80"/>
        <w:pBdr>
          <w:bottom w:val="single" w:sz="6" w:color="125FD4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8FA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B873E"/>
                <w:sz w:val="26"/>
              </w:rPr>
              <w:t>Acesso Autorizado</w:t>
            </w:r>
          </w:p>
          <w:p>
            <w:pPr>
              <w:ind w:left="227"/>
            </w:pPr>
            <w:r>
              <w:rPr>
                <w:rFonts w:ascii="Calibri" w:hAnsi="Calibri"/>
                <w:color w:val="1E1E1E"/>
                <w:sz w:val="20"/>
              </w:rPr>
              <w:t xml:space="preserve">  •  Fundo verde</w:t>
            </w:r>
          </w:p>
          <w:p>
            <w:pPr>
              <w:ind w:left="227"/>
            </w:pPr>
            <w:r>
              <w:rPr>
                <w:rFonts w:ascii="Calibri" w:hAnsi="Calibri"/>
                <w:color w:val="1E1E1E"/>
                <w:sz w:val="20"/>
              </w:rPr>
              <w:t xml:space="preserve">  •  Foto circular do colaborador</w:t>
            </w:r>
          </w:p>
          <w:p>
            <w:pPr>
              <w:ind w:left="227"/>
            </w:pPr>
            <w:r>
              <w:rPr>
                <w:rFonts w:ascii="Calibri" w:hAnsi="Calibri"/>
                <w:color w:val="1E1E1E"/>
                <w:sz w:val="20"/>
              </w:rPr>
              <w:t xml:space="preserve">  •  Nome completo em destaque</w:t>
            </w:r>
          </w:p>
          <w:p>
            <w:pPr>
              <w:ind w:left="227"/>
            </w:pPr>
            <w:r>
              <w:rPr>
                <w:rFonts w:ascii="Calibri" w:hAnsi="Calibri"/>
                <w:color w:val="1E1E1E"/>
                <w:sz w:val="20"/>
              </w:rPr>
              <w:t xml:space="preserve">  •  Som curto de confirmação</w:t>
            </w:r>
          </w:p>
          <w:p>
            <w:pPr>
              <w:ind w:left="227"/>
            </w:pPr>
            <w:r>
              <w:rPr>
                <w:rFonts w:ascii="Calibri" w:hAnsi="Calibri"/>
                <w:color w:val="1E1E1E"/>
                <w:sz w:val="20"/>
              </w:rPr>
              <w:t xml:space="preserve">  •  Retorna ao modo de leitura em 3 segundos</w:t>
            </w:r>
          </w:p>
        </w:tc>
        <w:tc>
          <w:tcPr>
            <w:tcW w:type="dxa" w:w="4536"/>
            <w:shd w:val="clear" w:color="auto" w:fill="F8FA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02323"/>
                <w:sz w:val="26"/>
              </w:rPr>
              <w:t>Acesso Negado</w:t>
            </w:r>
          </w:p>
          <w:p>
            <w:pPr>
              <w:ind w:left="227"/>
            </w:pPr>
            <w:r>
              <w:rPr>
                <w:rFonts w:ascii="Calibri" w:hAnsi="Calibri"/>
                <w:color w:val="1E1E1E"/>
                <w:sz w:val="20"/>
              </w:rPr>
              <w:t xml:space="preserve">  •  Fundo vermelho</w:t>
            </w:r>
          </w:p>
          <w:p>
            <w:pPr>
              <w:ind w:left="227"/>
            </w:pPr>
            <w:r>
              <w:rPr>
                <w:rFonts w:ascii="Calibri" w:hAnsi="Calibri"/>
                <w:color w:val="1E1E1E"/>
                <w:sz w:val="20"/>
              </w:rPr>
              <w:t xml:space="preserve">  •  Motivo específico da negação</w:t>
            </w:r>
          </w:p>
          <w:p>
            <w:pPr>
              <w:ind w:left="227"/>
            </w:pPr>
            <w:r>
              <w:rPr>
                <w:rFonts w:ascii="Calibri" w:hAnsi="Calibri"/>
                <w:color w:val="1E1E1E"/>
                <w:sz w:val="20"/>
              </w:rPr>
              <w:t xml:space="preserve">  •  Ex: "Token expirado", "Dispositivo não autorizado"</w:t>
            </w:r>
          </w:p>
          <w:p>
            <w:pPr>
              <w:ind w:left="227"/>
            </w:pPr>
            <w:r>
              <w:rPr>
                <w:rFonts w:ascii="Calibri" w:hAnsi="Calibri"/>
                <w:color w:val="1E1E1E"/>
                <w:sz w:val="20"/>
              </w:rPr>
              <w:t xml:space="preserve">  •  Som de alerta</w:t>
            </w:r>
          </w:p>
          <w:p>
            <w:pPr>
              <w:ind w:left="227"/>
            </w:pPr>
            <w:r>
              <w:rPr>
                <w:rFonts w:ascii="Calibri" w:hAnsi="Calibri"/>
                <w:color w:val="1E1E1E"/>
                <w:sz w:val="20"/>
              </w:rPr>
              <w:t xml:space="preserve">  •  Retorna ao modo de leitura em 3 segundos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02E6E"/>
          <w:sz w:val="44"/>
        </w:rPr>
        <w:t>5. Segurança</w:t>
      </w:r>
    </w:p>
    <w:p>
      <w:pPr>
        <w:spacing w:before="80" w:after="80"/>
        <w:pBdr>
          <w:bottom w:val="single" w:sz="6" w:color="125FD4"/>
        </w:pBdr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1E1E1E"/>
          <w:sz w:val="22"/>
        </w:rPr>
        <w:t>O Heimdall foi projetado com segurança em múltiplas camadas independentes:</w:t>
      </w:r>
    </w:p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002E6E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Camada de Proteção</w:t>
            </w:r>
          </w:p>
        </w:tc>
        <w:tc>
          <w:tcPr>
            <w:tcW w:type="dxa" w:w="6236"/>
            <w:shd w:val="clear" w:color="auto" w:fill="002E6E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pPr>
              <w:jc w:val="left"/>
            </w:pPr>
            <w:r>
              <w:rPr>
                <w:rFonts w:ascii="Calibri" w:hAnsi="Calibri"/>
                <w:b/>
                <w:color w:val="1E1E1E"/>
                <w:sz w:val="20"/>
              </w:rPr>
              <w:t>Assinatura Digital</w:t>
            </w:r>
          </w:p>
        </w:tc>
        <w:tc>
          <w:tcPr>
            <w:tcW w:type="dxa" w:w="6236"/>
            <w:shd w:val="clear" w:color="auto" w:fill="F0F4F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Cada credencial é assinada com HMAC-SHA256. Impossível falsificar sem a chave secreta.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E1E1E"/>
                <w:sz w:val="20"/>
              </w:rPr>
              <w:t>Validade Temporal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Cada token expira em ±30 segundos após a emissão. Inútil se interceptado.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pPr>
              <w:jc w:val="left"/>
            </w:pPr>
            <w:r>
              <w:rPr>
                <w:rFonts w:ascii="Calibri" w:hAnsi="Calibri"/>
                <w:b/>
                <w:color w:val="1E1E1E"/>
                <w:sz w:val="20"/>
              </w:rPr>
              <w:t>Anti-replay</w:t>
            </w:r>
          </w:p>
        </w:tc>
        <w:tc>
          <w:tcPr>
            <w:tcW w:type="dxa" w:w="6236"/>
            <w:shd w:val="clear" w:color="auto" w:fill="F0F4F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O servidor rejeita qualquer credencial já utilizada. Impossível reutilizar.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E1E1E"/>
                <w:sz w:val="20"/>
              </w:rPr>
              <w:t>Autenticação do Dispositivo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Apenas Heimdalls registrados conseguem consultar o servidor.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pPr>
              <w:jc w:val="left"/>
            </w:pPr>
            <w:r>
              <w:rPr>
                <w:rFonts w:ascii="Calibri" w:hAnsi="Calibri"/>
                <w:b/>
                <w:color w:val="1E1E1E"/>
                <w:sz w:val="20"/>
              </w:rPr>
              <w:t>Comunicação Criptografada</w:t>
            </w:r>
          </w:p>
        </w:tc>
        <w:tc>
          <w:tcPr>
            <w:tcW w:type="dxa" w:w="6236"/>
            <w:shd w:val="clear" w:color="auto" w:fill="F0F4F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HTTPS obrigatório. Dados criptografados em trânsito.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E1E1E"/>
                <w:sz w:val="20"/>
              </w:rPr>
              <w:t>Banco de Dados Cifrado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Banco local criptografado com SQLCipher. Dados protegidos em repouso.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pPr>
              <w:jc w:val="left"/>
            </w:pPr>
            <w:r>
              <w:rPr>
                <w:rFonts w:ascii="Calibri" w:hAnsi="Calibri"/>
                <w:b/>
                <w:color w:val="1E1E1E"/>
                <w:sz w:val="20"/>
              </w:rPr>
              <w:t>Bloqueio de Tela</w:t>
            </w:r>
          </w:p>
        </w:tc>
        <w:tc>
          <w:tcPr>
            <w:tcW w:type="dxa" w:w="6236"/>
            <w:shd w:val="clear" w:color="auto" w:fill="F0F4F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Captura de tela bloqueada por hardware. Sem print ou gravação.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E1E1E"/>
                <w:sz w:val="20"/>
              </w:rPr>
              <w:t>Sem backup externo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Dados do app não são copiados para nuvens externas.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rFonts w:ascii="Calibri" w:hAnsi="Calibri"/>
          <w:b/>
          <w:color w:val="002E6E"/>
          <w:sz w:val="44"/>
        </w:rPr>
        <w:t>6. Log de Auditoria</w:t>
      </w:r>
    </w:p>
    <w:p>
      <w:pPr>
        <w:spacing w:before="80" w:after="80"/>
        <w:pBdr>
          <w:bottom w:val="single" w:sz="6" w:color="125FD4"/>
        </w:pBdr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1E1E1E"/>
          <w:sz w:val="22"/>
        </w:rPr>
        <w:t>Cada tentativa de acesso — aprovada ou negada — é registrada automaticamente com: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b w:val="0"/>
          <w:color w:val="1E1E1E"/>
          <w:sz w:val="21"/>
        </w:rPr>
        <w:t>Data e hora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b w:val="0"/>
          <w:color w:val="1E1E1E"/>
          <w:sz w:val="21"/>
        </w:rPr>
        <w:t>Nome e matrícula do colaborador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b w:val="0"/>
          <w:color w:val="1E1E1E"/>
          <w:sz w:val="21"/>
        </w:rPr>
        <w:t>Canal utilizado (NFC ou QR)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b w:val="0"/>
          <w:color w:val="1E1E1E"/>
          <w:sz w:val="21"/>
        </w:rPr>
        <w:t>Resultado e motivo (em caso de negação)</w:t>
      </w:r>
    </w:p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/>
          <w:color w:val="555555"/>
          <w:sz w:val="22"/>
        </w:rPr>
        <w:t>Os registros ficam disponíveis localmente no dispositivo e são sincronizados periodicamente com o servidor corporativo.</w:t>
      </w:r>
    </w:p>
    <w:p>
      <w:pPr>
        <w:spacing w:before="360" w:after="120"/>
      </w:pPr>
      <w:r>
        <w:rPr>
          <w:rFonts w:ascii="Calibri" w:hAnsi="Calibri"/>
          <w:b/>
          <w:color w:val="002E6E"/>
          <w:sz w:val="44"/>
        </w:rPr>
        <w:t>7. Operação Contínua</w:t>
      </w:r>
    </w:p>
    <w:p>
      <w:pPr>
        <w:spacing w:before="80" w:after="80"/>
        <w:pBdr>
          <w:bottom w:val="single" w:sz="6" w:color="125FD4"/>
        </w:pBdr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1E1E1E"/>
          <w:sz w:val="22"/>
        </w:rPr>
        <w:t>O Heimdall foi desenvolvido para rodar 24 horas por dia, 7 dias por semana, sem interação de operador: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b w:val="0"/>
          <w:color w:val="1E1E1E"/>
          <w:sz w:val="21"/>
        </w:rPr>
        <w:t>Tela sempre ativa — nunca entra em modo de suspensão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b w:val="0"/>
          <w:color w:val="1E1E1E"/>
          <w:sz w:val="21"/>
        </w:rPr>
        <w:t>Reinicia automaticamente após queda de energia ou reboot do dispositivo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b w:val="0"/>
          <w:color w:val="1E1E1E"/>
          <w:sz w:val="21"/>
        </w:rPr>
        <w:t>Suporte a modo quiosque — o app não pode ser fechado acidentalmente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b w:val="0"/>
          <w:color w:val="1E1E1E"/>
          <w:sz w:val="21"/>
        </w:rPr>
        <w:t>Compatível com soluções MDM corporativas para gerenciamento remoto da frota</w:t>
      </w:r>
    </w:p>
    <w:p>
      <w:pPr>
        <w:spacing w:before="360" w:after="120"/>
      </w:pPr>
      <w:r>
        <w:rPr>
          <w:rFonts w:ascii="Calibri" w:hAnsi="Calibri"/>
          <w:b/>
          <w:color w:val="002E6E"/>
          <w:sz w:val="44"/>
        </w:rPr>
        <w:t>8. Compatibilidade com Sistemas Legados</w:t>
      </w:r>
    </w:p>
    <w:p>
      <w:pPr>
        <w:spacing w:before="80" w:after="80"/>
        <w:pBdr>
          <w:bottom w:val="single" w:sz="6" w:color="125FD4"/>
        </w:pBdr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1E1E1E"/>
          <w:sz w:val="22"/>
        </w:rPr>
        <w:t>O Heimdall reconhece automaticamente o formato da credencial e roteia para o sistema correto, sem qualquer configuração adicional: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EAF1FB"/>
          </w:tcPr>
          <w:p>
            <w:r>
              <w:rPr>
                <w:rFonts w:ascii="Calibri" w:hAnsi="Calibri"/>
                <w:b/>
                <w:color w:val="002E6E"/>
                <w:sz w:val="20"/>
              </w:rPr>
              <w:t>Credenciais novas (Huginn)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1E1E1E"/>
                <w:sz w:val="20"/>
              </w:rPr>
              <w:t>Validadas via backend moderno com todos os controles de segurança.</w:t>
            </w:r>
          </w:p>
        </w:tc>
      </w:tr>
      <w:tr>
        <w:tc>
          <w:tcPr>
            <w:tcW w:type="dxa" w:w="3402"/>
            <w:shd w:val="clear" w:color="auto" w:fill="EAF1FB"/>
          </w:tcPr>
          <w:p>
            <w:r>
              <w:rPr>
                <w:rFonts w:ascii="Calibri" w:hAnsi="Calibri"/>
                <w:b/>
                <w:color w:val="002E6E"/>
                <w:sz w:val="20"/>
              </w:rPr>
              <w:t>Credenciais legadas (CORP.XXXX / PART.XXXX)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1E1E1E"/>
                <w:sz w:val="20"/>
              </w:rPr>
              <w:t>Consultadas na API legada sem interrupção do fluxo. Transparente para o funcionário.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02E6E"/>
          <w:sz w:val="44"/>
        </w:rPr>
        <w:t>9. Administração</w:t>
      </w:r>
    </w:p>
    <w:p>
      <w:pPr>
        <w:spacing w:before="80" w:after="80"/>
        <w:pBdr>
          <w:bottom w:val="single" w:sz="6" w:color="125FD4"/>
        </w:pBdr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1E1E1E"/>
          <w:sz w:val="22"/>
        </w:rPr>
        <w:t>O acesso administrativo ao dispositivo é protegido por um PIN de 6 dígitos, acessível via 5 toques rápidos no logo da tela de leitura. Com o PIN, o administrador de TI pode: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b w:val="0"/>
          <w:color w:val="1E1E1E"/>
          <w:sz w:val="21"/>
        </w:rPr>
        <w:t>Alterar o canal de leitura (NFC ↔ QR)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b w:val="0"/>
          <w:color w:val="1E1E1E"/>
          <w:sz w:val="21"/>
        </w:rPr>
        <w:t>Atualizar o identificador do ponto de acesso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b w:val="0"/>
          <w:color w:val="1E1E1E"/>
          <w:sz w:val="21"/>
        </w:rPr>
        <w:t>Consultar o log dos últimos 30 acessos diretamente no dispositivo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b w:val="0"/>
          <w:color w:val="1E1E1E"/>
          <w:sz w:val="21"/>
        </w:rPr>
        <w:t>Visualizar informações de diagnóstico (versão do app, ID do dispositivo)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b w:val="0"/>
          <w:color w:val="1E1E1E"/>
          <w:sz w:val="21"/>
        </w:rPr>
        <w:t>Alterar o PIN de manutenção</w:t>
      </w:r>
    </w:p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/>
          <w:color w:val="555555"/>
          <w:sz w:val="21"/>
        </w:rPr>
        <w:t>Após 5 tentativas erradas, o diálogo é bloqueado por 60 segundos — proteção contra tentativas de acesso indevido.</w:t>
      </w:r>
    </w:p>
    <w:p>
      <w:pPr>
        <w:spacing w:before="360" w:after="120"/>
      </w:pPr>
      <w:r>
        <w:rPr>
          <w:rFonts w:ascii="Calibri" w:hAnsi="Calibri"/>
          <w:b/>
          <w:color w:val="002E6E"/>
          <w:sz w:val="44"/>
        </w:rPr>
        <w:t>10. Visão Técnica Resumida</w:t>
      </w:r>
    </w:p>
    <w:p>
      <w:pPr>
        <w:spacing w:before="80" w:after="80"/>
        <w:pBdr>
          <w:bottom w:val="single" w:sz="6" w:color="125FD4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002E6E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6236"/>
            <w:shd w:val="clear" w:color="auto" w:fill="002E6E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Detalhe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pPr>
              <w:jc w:val="left"/>
            </w:pPr>
            <w:r>
              <w:rPr>
                <w:rFonts w:ascii="Calibri" w:hAnsi="Calibri"/>
                <w:b/>
                <w:color w:val="1E1E1E"/>
                <w:sz w:val="20"/>
              </w:rPr>
              <w:t>Plataforma</w:t>
            </w:r>
          </w:p>
        </w:tc>
        <w:tc>
          <w:tcPr>
            <w:tcW w:type="dxa" w:w="6236"/>
            <w:shd w:val="clear" w:color="auto" w:fill="F0F4F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Android 9+ (API 28 ou superior)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E1E1E"/>
                <w:sz w:val="20"/>
              </w:rPr>
              <w:t>Linguagem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Kotlin nativo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pPr>
              <w:jc w:val="left"/>
            </w:pPr>
            <w:r>
              <w:rPr>
                <w:rFonts w:ascii="Calibri" w:hAnsi="Calibri"/>
                <w:b/>
                <w:color w:val="1E1E1E"/>
                <w:sz w:val="20"/>
              </w:rPr>
              <w:t>Comunicação</w:t>
            </w:r>
          </w:p>
        </w:tc>
        <w:tc>
          <w:tcPr>
            <w:tcW w:type="dxa" w:w="6236"/>
            <w:shd w:val="clear" w:color="auto" w:fill="F0F4F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HTTPS com servidor corporativo REST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E1E1E"/>
                <w:sz w:val="20"/>
              </w:rPr>
              <w:t>Banco local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Criptografado com SQLCipher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pPr>
              <w:jc w:val="left"/>
            </w:pPr>
            <w:r>
              <w:rPr>
                <w:rFonts w:ascii="Calibri" w:hAnsi="Calibri"/>
                <w:b/>
                <w:color w:val="1E1E1E"/>
                <w:sz w:val="20"/>
              </w:rPr>
              <w:t>NFC</w:t>
            </w:r>
          </w:p>
        </w:tc>
        <w:tc>
          <w:tcPr>
            <w:tcW w:type="dxa" w:w="6236"/>
            <w:shd w:val="clear" w:color="auto" w:fill="F0F4F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ISO 7816-4, protocolo IsoDep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E1E1E"/>
                <w:sz w:val="20"/>
              </w:rPr>
              <w:t>QR Code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CameraX + Google ML Kit Barcode Scanning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pPr>
              <w:jc w:val="left"/>
            </w:pPr>
            <w:r>
              <w:rPr>
                <w:rFonts w:ascii="Calibri" w:hAnsi="Calibri"/>
                <w:b/>
                <w:color w:val="1E1E1E"/>
                <w:sz w:val="20"/>
              </w:rPr>
              <w:t>Testes automatizados</w:t>
            </w:r>
          </w:p>
        </w:tc>
        <w:tc>
          <w:tcPr>
            <w:tcW w:type="dxa" w:w="6236"/>
            <w:shd w:val="clear" w:color="auto" w:fill="F0F4F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107 testes — build bloqueado se algum falhar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E1E1E"/>
                <w:sz w:val="20"/>
              </w:rPr>
              <w:t>CI/CD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GitHub Actions — build e testes a cada alteração</w:t>
            </w:r>
          </w:p>
        </w:tc>
      </w:tr>
      <w:tr>
        <w:tc>
          <w:tcPr>
            <w:tcW w:type="dxa" w:w="3118"/>
            <w:shd w:val="clear" w:color="auto" w:fill="F0F4FA"/>
          </w:tcPr>
          <w:p>
            <w:pPr>
              <w:jc w:val="left"/>
            </w:pPr>
            <w:r>
              <w:rPr>
                <w:rFonts w:ascii="Calibri" w:hAnsi="Calibri"/>
                <w:b/>
                <w:color w:val="1E1E1E"/>
                <w:sz w:val="20"/>
              </w:rPr>
              <w:t>Versão atual</w:t>
            </w:r>
          </w:p>
        </w:tc>
        <w:tc>
          <w:tcPr>
            <w:tcW w:type="dxa" w:w="6236"/>
            <w:shd w:val="clear" w:color="auto" w:fill="F0F4F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1.0.0</w:t>
            </w:r>
          </w:p>
        </w:tc>
      </w:tr>
    </w:tbl>
    <w:p>
      <w:pPr>
        <w:spacing w:after="200"/>
      </w:pPr>
    </w:p>
    <w:p>
      <w:pPr>
        <w:spacing w:before="360" w:after="120"/>
      </w:pPr>
      <w:r>
        <w:rPr>
          <w:rFonts w:ascii="Calibri" w:hAnsi="Calibri"/>
          <w:b/>
          <w:color w:val="002E6E"/>
          <w:sz w:val="44"/>
        </w:rPr>
        <w:t>11. Próximos Passos Sugeridos</w:t>
      </w:r>
    </w:p>
    <w:p>
      <w:pPr>
        <w:spacing w:before="80" w:after="80"/>
        <w:pBdr>
          <w:bottom w:val="single" w:sz="6" w:color="125FD4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002E6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1. Validação em dispositivo físico</w:t>
            </w:r>
          </w:p>
        </w:tc>
        <w:tc>
          <w:tcPr>
            <w:tcW w:type="dxa" w:w="6236"/>
            <w:shd w:val="clear" w:color="auto" w:fill="F0F4FA"/>
          </w:tcPr>
          <w:p>
            <w:r>
              <w:rPr>
                <w:rFonts w:ascii="Calibri" w:hAnsi="Calibri"/>
                <w:color w:val="1E1E1E"/>
                <w:sz w:val="20"/>
              </w:rPr>
              <w:t>Teste end-to-end com NFC e QR em ponto de acesso piloto.</w:t>
            </w:r>
          </w:p>
        </w:tc>
      </w:tr>
      <w:tr>
        <w:tc>
          <w:tcPr>
            <w:tcW w:type="dxa" w:w="3118"/>
            <w:shd w:val="clear" w:color="auto" w:fill="002E6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2. Integração com Odin Admin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color w:val="1E1E1E"/>
                <w:sz w:val="20"/>
              </w:rPr>
              <w:t>Painel para gerenciar dispositivos Heimdall e whitelist de dispositivos.</w:t>
            </w:r>
          </w:p>
        </w:tc>
      </w:tr>
      <w:tr>
        <w:tc>
          <w:tcPr>
            <w:tcW w:type="dxa" w:w="3118"/>
            <w:shd w:val="clear" w:color="auto" w:fill="002E6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3. Certificate Pinning</w:t>
            </w:r>
          </w:p>
        </w:tc>
        <w:tc>
          <w:tcPr>
            <w:tcW w:type="dxa" w:w="6236"/>
            <w:shd w:val="clear" w:color="auto" w:fill="F0F4FA"/>
          </w:tcPr>
          <w:p>
            <w:r>
              <w:rPr>
                <w:rFonts w:ascii="Calibri" w:hAnsi="Calibri"/>
                <w:color w:val="1E1E1E"/>
                <w:sz w:val="20"/>
              </w:rPr>
              <w:t>Fixar o certificado do servidor para proteção adicional contra ataques MITM.</w:t>
            </w:r>
          </w:p>
        </w:tc>
      </w:tr>
      <w:tr>
        <w:tc>
          <w:tcPr>
            <w:tcW w:type="dxa" w:w="3118"/>
            <w:shd w:val="clear" w:color="auto" w:fill="002E6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4. Testes instrumentados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color w:val="1E1E1E"/>
                <w:sz w:val="20"/>
              </w:rPr>
              <w:t>Cobertura automatizada dos fluxos completos na interface do usuário.</w:t>
            </w:r>
          </w:p>
        </w:tc>
      </w:tr>
      <w:tr>
        <w:tc>
          <w:tcPr>
            <w:tcW w:type="dxa" w:w="3118"/>
            <w:shd w:val="clear" w:color="auto" w:fill="002E6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5. Deploy via MDM</w:t>
            </w:r>
          </w:p>
        </w:tc>
        <w:tc>
          <w:tcPr>
            <w:tcW w:type="dxa" w:w="6236"/>
            <w:shd w:val="clear" w:color="auto" w:fill="F0F4FA"/>
          </w:tcPr>
          <w:p>
            <w:r>
              <w:rPr>
                <w:rFonts w:ascii="Calibri" w:hAnsi="Calibri"/>
                <w:color w:val="1E1E1E"/>
                <w:sz w:val="20"/>
              </w:rPr>
              <w:t>Distribuição centralizada para múltiplos pontos de acesso.</w:t>
            </w:r>
          </w:p>
        </w:tc>
      </w:tr>
    </w:tbl>
    <w:p>
      <w:pPr>
        <w:spacing w:after="320"/>
      </w:pPr>
    </w:p>
    <w:p>
      <w:pPr>
        <w:spacing w:before="80" w:after="80"/>
        <w:pBdr>
          <w:bottom w:val="single" w:sz="6" w:color="002E6E"/>
        </w:pBdr>
      </w:pP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Heimdall v1.0.0  ·  Abril 2026  ·  Documento Interno  ·  br.com.corp.heimdall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