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Proyecto</w:t>
      </w:r>
    </w:p>
    <w:p>
      <w:pPr>
        <w:pStyle w:val="Heading2"/>
      </w:pPr>
      <w:r>
        <w:t>Celda Ciberfísica de Alimentación Robótica para Centro de Maquinado CNC Haas</w:t>
      </w:r>
    </w:p>
    <w:p>
      <w:r>
        <w:rPr>
          <w:b/>
        </w:rPr>
        <w:t>Documento:</w:t>
      </w:r>
      <w:r>
        <w:t xml:space="preserve"> Acta de Constitución del Proyecto (Project Charter) · PMBOK 7ª edición</w:t>
      </w:r>
    </w:p>
    <w:p>
      <w:r>
        <w:rPr>
          <w:b/>
        </w:rPr>
        <w:t>Versión:</w:t>
      </w:r>
      <w:r>
        <w:t xml:space="preserve"> 1.0 · </w:t>
      </w:r>
      <w:r>
        <w:rPr>
          <w:b/>
        </w:rPr>
        <w:t>Fecha de emisión:</w:t>
      </w:r>
      <w:r>
        <w:t xml:space="preserve"> 2026-09-04</w:t>
      </w:r>
    </w:p>
    <w:p>
      <w:r>
        <w:rPr>
          <w:b/>
        </w:rPr>
        <w:t>Curso:</w:t>
      </w:r>
      <w:r>
        <w:t xml:space="preserve"> MR3005C.601 — Sistemas Ciber-Físicos · Módulo 3, Administración de Proyectos</w:t>
      </w:r>
    </w:p>
    <w:p>
      <w:r>
        <w:rPr>
          <w:b/>
        </w:rPr>
        <w:t>Institución:</w:t>
      </w:r>
      <w:r>
        <w:t xml:space="preserve"> Tecnológico de Monterrey, Campus Guadalajara</w:t>
      </w:r>
    </w:p>
    <w:p>
      <w:pPr>
        <w:ind w:left="360"/>
      </w:pPr>
      <w:r>
        <w:rPr>
          <w:i/>
          <w:color w:val="444A52"/>
        </w:rPr>
        <w:t xml:space="preserve">⬜ </w:t>
      </w:r>
      <w:r>
        <w:rPr>
          <w:b/>
          <w:i/>
          <w:color w:val="444A52"/>
        </w:rPr>
        <w:t>Campos por confirmar con el Socio Formador.</w:t>
      </w:r>
      <w:r>
        <w:rPr>
          <w:i/>
          <w:color w:val="444A52"/>
        </w:rPr>
        <w:t xml:space="preserve"> Los recuadros marcados así</w:t>
      </w:r>
    </w:p>
    <w:p>
      <w:pPr>
        <w:ind w:left="360"/>
      </w:pPr>
      <w:r>
        <w:rPr>
          <w:i/>
          <w:color w:val="444A52"/>
        </w:rPr>
        <w:t>requieren el dato directo del socio y no deben inventarse. Ver</w:t>
      </w:r>
    </w:p>
    <w:p>
      <w:pPr>
        <w:ind w:left="360"/>
      </w:pPr>
      <w:r>
        <w:rPr>
          <w:rFonts w:ascii="Consolas" w:hAnsi="Consolas"/>
          <w:i/>
          <w:color w:val="444A52"/>
          <w:sz w:val="19"/>
        </w:rPr>
        <w:t>preguntas-socio-formador.md</w:t>
      </w:r>
      <w:r>
        <w:rPr>
          <w:i/>
          <w:color w:val="444A52"/>
        </w:rPr>
        <w:t xml:space="preserve"> para el guion de la reunión.</w:t>
      </w:r>
    </w:p>
    <w:p>
      <w:r>
        <w:br w:type="page"/>
      </w:r>
    </w:p>
    <w:p>
      <w:pPr>
        <w:pStyle w:val="Heading1"/>
      </w:pPr>
      <w:r>
        <w:t>1. Participantes del Proyecto</w:t>
      </w:r>
    </w:p>
    <w:p>
      <w:pPr>
        <w:pStyle w:val="Heading2"/>
      </w:pPr>
      <w:r>
        <w:t>1.1 Patrocinador / Socio Formador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t>Organización</w:t>
            </w:r>
          </w:p>
        </w:tc>
        <w:tc>
          <w:tcPr>
            <w:tcW w:type="dxa" w:w="4320"/>
          </w:tcPr>
          <w:p>
            <w:r>
              <w:t xml:space="preserve">⬜ </w:t>
            </w:r>
            <w:r>
              <w:rPr>
                <w:i/>
              </w:rPr>
              <w:t>por confirmar</w:t>
            </w:r>
          </w:p>
        </w:tc>
      </w:tr>
      <w:tr>
        <w:tc>
          <w:tcPr>
            <w:tcW w:type="dxa" w:w="4320"/>
          </w:tcPr>
          <w:p>
            <w:r>
              <w:t>Representante</w:t>
            </w:r>
          </w:p>
        </w:tc>
        <w:tc>
          <w:tcPr>
            <w:tcW w:type="dxa" w:w="4320"/>
          </w:tcPr>
          <w:p>
            <w:r>
              <w:t xml:space="preserve">⬜ </w:t>
            </w:r>
            <w:r>
              <w:rPr>
                <w:i/>
              </w:rPr>
              <w:t>por confirmar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 xml:space="preserve">⬜ </w:t>
            </w:r>
            <w:r>
              <w:rPr>
                <w:i/>
              </w:rPr>
              <w:t>por confirmar</w:t>
            </w:r>
          </w:p>
        </w:tc>
      </w:tr>
      <w:tr>
        <w:tc>
          <w:tcPr>
            <w:tcW w:type="dxa" w:w="4320"/>
          </w:tcPr>
          <w:p>
            <w:r>
              <w:t>Correo / teléfono</w:t>
            </w:r>
          </w:p>
        </w:tc>
        <w:tc>
          <w:tcPr>
            <w:tcW w:type="dxa" w:w="4320"/>
          </w:tcPr>
          <w:p>
            <w:r>
              <w:t xml:space="preserve">⬜ </w:t>
            </w:r>
            <w:r>
              <w:rPr>
                <w:i/>
              </w:rPr>
              <w:t>por confirmar</w:t>
            </w:r>
          </w:p>
        </w:tc>
      </w:tr>
      <w:tr>
        <w:tc>
          <w:tcPr>
            <w:tcW w:type="dxa" w:w="4320"/>
          </w:tcPr>
          <w:p>
            <w:r>
              <w:t>Rol en el proyecto</w:t>
            </w:r>
          </w:p>
        </w:tc>
        <w:tc>
          <w:tcPr>
            <w:tcW w:type="dxa" w:w="4320"/>
          </w:tcPr>
          <w:p>
            <w:r>
              <w:t xml:space="preserve">Define los requisitos industriales, facilita el acceso al CNC Haas y al área de la celda, y </w:t>
            </w:r>
            <w:r>
              <w:rPr>
                <w:b/>
              </w:rPr>
              <w:t>evalúa la Evidencia 2 — Exposición Demostrativa</w:t>
            </w:r>
          </w:p>
        </w:tc>
      </w:tr>
    </w:tbl>
    <w:p/>
    <w:p>
      <w:pPr>
        <w:pStyle w:val="Heading2"/>
      </w:pPr>
      <w:r>
        <w:t>1.2 Cliente</w:t>
      </w:r>
    </w:p>
    <w:p>
      <w:r>
        <w:t>El área de manufactura del Socio Formador, como usuario final de la celda</w:t>
      </w:r>
    </w:p>
    <w:p>
      <w:r>
        <w:t>automatizada de alimentación del centro de maquinado.</w:t>
      </w:r>
    </w:p>
    <w:p>
      <w:pPr>
        <w:pStyle w:val="Heading2"/>
      </w:pPr>
      <w:r>
        <w:t>1.3 Interesados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Interesado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Interés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Influencia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Estrategia de gestión</w:t>
            </w:r>
          </w:p>
        </w:tc>
      </w:tr>
      <w:tr>
        <w:tc>
          <w:tcPr>
            <w:tcW w:type="dxa" w:w="2160"/>
          </w:tcPr>
          <w:p>
            <w:r>
              <w:t>Socio Formador</w:t>
            </w:r>
          </w:p>
        </w:tc>
        <w:tc>
          <w:tcPr>
            <w:tcW w:type="dxa" w:w="2160"/>
          </w:tcPr>
          <w:p>
            <w:r>
              <w:t>Solución transferible a un entorno industrial real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Gestionar de cerca; preparar entregables con criterio industrial, no escolar</w:t>
            </w:r>
          </w:p>
        </w:tc>
      </w:tr>
      <w:tr>
        <w:tc>
          <w:tcPr>
            <w:tcW w:type="dxa" w:w="2160"/>
          </w:tcPr>
          <w:p>
            <w:r>
              <w:t>Equipo docente (Oscar Carbajal, Abdiel)</w:t>
            </w:r>
          </w:p>
        </w:tc>
        <w:tc>
          <w:tcPr>
            <w:tcW w:type="dxa" w:w="2160"/>
          </w:tcPr>
          <w:p>
            <w:r>
              <w:t>Aprendizaje demostrable y trazabilidad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Reporte por evidencia; consulta ante cualquier cambio de alcance</w:t>
            </w:r>
          </w:p>
        </w:tc>
      </w:tr>
      <w:tr>
        <w:tc>
          <w:tcPr>
            <w:tcW w:type="dxa" w:w="2160"/>
          </w:tcPr>
          <w:p>
            <w:r>
              <w:t>Profesor de Administración de Proyectos (Dani)</w:t>
            </w:r>
          </w:p>
        </w:tc>
        <w:tc>
          <w:tcPr>
            <w:tcW w:type="dxa" w:w="2160"/>
          </w:tcPr>
          <w:p>
            <w:r>
              <w:t>Aplicación correcta del estándar PMBOK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El Reto se usa como caso de estudio en cada entrega del módulo</w:t>
            </w:r>
          </w:p>
        </w:tc>
      </w:tr>
      <w:tr>
        <w:tc>
          <w:tcPr>
            <w:tcW w:type="dxa" w:w="2160"/>
          </w:tcPr>
          <w:p>
            <w:r>
              <w:t>Laboratorio de manufactura</w:t>
            </w:r>
          </w:p>
        </w:tc>
        <w:tc>
          <w:tcPr>
            <w:tcW w:type="dxa" w:w="2160"/>
          </w:tcPr>
          <w:p>
            <w:r>
              <w:t>Uso seguro del CNC y del espacio físico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Reserva anticipada de ventanas de máquina; cumplimiento de protocolos</w:t>
            </w:r>
          </w:p>
        </w:tc>
      </w:tr>
      <w:tr>
        <w:tc>
          <w:tcPr>
            <w:tcW w:type="dxa" w:w="2160"/>
          </w:tcPr>
          <w:p>
            <w:r>
              <w:t>Equipo del proyecto</w:t>
            </w:r>
          </w:p>
        </w:tc>
        <w:tc>
          <w:tcPr>
            <w:tcW w:type="dxa" w:w="2160"/>
          </w:tcPr>
          <w:p>
            <w:r>
              <w:t>Carga equilibrada, aprendizaje, acreditación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Matriz RACI explícita y tablero público en Notion</w:t>
            </w:r>
          </w:p>
        </w:tc>
      </w:tr>
    </w:tbl>
    <w:p/>
    <w:p>
      <w:pPr>
        <w:pStyle w:val="Heading2"/>
      </w:pPr>
      <w:r>
        <w:t>1.4 Proveedores y contratistas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Suministro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NXP</w:t>
            </w:r>
          </w:p>
        </w:tc>
        <w:tc>
          <w:tcPr>
            <w:tcW w:type="dxa" w:w="2880"/>
          </w:tcPr>
          <w:p>
            <w:r>
              <w:t>Microcontroladores S32K312 y kits FRDM-S32K344</w:t>
            </w:r>
          </w:p>
        </w:tc>
        <w:tc>
          <w:tcPr>
            <w:tcW w:type="dxa" w:w="2880"/>
          </w:tcPr>
          <w:p>
            <w:r>
              <w:t>OC-2026-003 emitida</w:t>
            </w:r>
          </w:p>
        </w:tc>
      </w:tr>
      <w:tr>
        <w:tc>
          <w:tcPr>
            <w:tcW w:type="dxa" w:w="2880"/>
          </w:tcPr>
          <w:p>
            <w:r>
              <w:t>Slamtec (distribuidor MX)</w:t>
            </w:r>
          </w:p>
        </w:tc>
        <w:tc>
          <w:tcPr>
            <w:tcW w:type="dxa" w:w="2880"/>
          </w:tcPr>
          <w:p>
            <w:r>
              <w:t>LiDAR 2D 360°</w:t>
            </w:r>
          </w:p>
        </w:tc>
        <w:tc>
          <w:tcPr>
            <w:tcW w:type="dxa" w:w="2880"/>
          </w:tcPr>
          <w:p>
            <w:r>
              <w:t>Cancelada — el equipo docente lo aporta</w:t>
            </w:r>
          </w:p>
        </w:tc>
      </w:tr>
      <w:tr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por definir</w:t>
            </w:r>
          </w:p>
        </w:tc>
        <w:tc>
          <w:tcPr>
            <w:tcW w:type="dxa" w:w="2880"/>
          </w:tcPr>
          <w:p>
            <w:r>
              <w:t>Batería LiFePO4 24 V 20 Ah</w:t>
            </w:r>
          </w:p>
        </w:tc>
        <w:tc>
          <w:tcPr>
            <w:tcW w:type="dxa" w:w="2880"/>
          </w:tcPr>
          <w:p>
            <w:r>
              <w:t xml:space="preserve">Por cotizar · </w:t>
            </w:r>
            <w:r>
              <w:rPr>
                <w:b/>
              </w:rPr>
              <w:t>lead 5 semanas</w:t>
            </w:r>
          </w:p>
        </w:tc>
      </w:tr>
      <w:tr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por definir</w:t>
            </w:r>
          </w:p>
        </w:tc>
        <w:tc>
          <w:tcPr>
            <w:tcW w:type="dxa" w:w="2880"/>
          </w:tcPr>
          <w:p>
            <w:r>
              <w:t>Cómputo supervisor clase Jetson Orin Nano</w:t>
            </w:r>
          </w:p>
        </w:tc>
        <w:tc>
          <w:tcPr>
            <w:tcW w:type="dxa" w:w="2880"/>
          </w:tcPr>
          <w:p>
            <w:r>
              <w:t xml:space="preserve">Por cotizar · </w:t>
            </w:r>
            <w:r>
              <w:rPr>
                <w:b/>
              </w:rPr>
              <w:t>lead 5 semanas</w:t>
            </w:r>
          </w:p>
        </w:tc>
      </w:tr>
      <w:tr>
        <w:tc>
          <w:tcPr>
            <w:tcW w:type="dxa" w:w="2880"/>
          </w:tcPr>
          <w:p>
            <w:r>
              <w:t>Fabricación interna</w:t>
            </w:r>
          </w:p>
        </w:tc>
        <w:tc>
          <w:tcPr>
            <w:tcW w:type="dxa" w:w="2880"/>
          </w:tcPr>
          <w:p>
            <w:r>
              <w:t>Fixture indexado y pallet de 5 posiciones</w:t>
            </w:r>
          </w:p>
        </w:tc>
        <w:tc>
          <w:tcPr>
            <w:tcW w:type="dxa" w:w="2880"/>
          </w:tcPr>
          <w:p>
            <w:r>
              <w:t>Por diseñar</w:t>
            </w:r>
          </w:p>
        </w:tc>
      </w:tr>
    </w:tbl>
    <w:p/>
    <w:p>
      <w:r>
        <w:br w:type="page"/>
      </w:r>
    </w:p>
    <w:p>
      <w:pPr>
        <w:pStyle w:val="Heading1"/>
      </w:pPr>
      <w:r>
        <w:t>2. Equipo del Proyecto y Director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 principal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Director de proyecto</w:t>
            </w:r>
          </w:p>
        </w:tc>
        <w:tc>
          <w:tcPr>
            <w:tcW w:type="dxa" w:w="2880"/>
          </w:tcPr>
          <w:p>
            <w:r>
              <w:t>Rodrigo Herrera Baños (A01738608)</w:t>
            </w:r>
          </w:p>
        </w:tc>
        <w:tc>
          <w:tcPr>
            <w:tcW w:type="dxa" w:w="2880"/>
          </w:tcPr>
          <w:p>
            <w:r>
              <w:t>Planeación, control de alcance, emisión de PO, integración y comunicación con interesados</w:t>
            </w:r>
          </w:p>
        </w:tc>
      </w:tr>
      <w:tr>
        <w:tc>
          <w:tcPr>
            <w:tcW w:type="dxa" w:w="2880"/>
          </w:tcPr>
          <w:p>
            <w:r>
              <w:t>Integrante</w:t>
            </w:r>
          </w:p>
        </w:tc>
        <w:tc>
          <w:tcPr>
            <w:tcW w:type="dxa" w:w="2880"/>
          </w:tcPr>
          <w:p>
            <w:r>
              <w:t>Osmar</w:t>
            </w:r>
          </w:p>
        </w:tc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paquete de trabajo por confirmar</w:t>
            </w:r>
          </w:p>
        </w:tc>
      </w:tr>
      <w:tr>
        <w:tc>
          <w:tcPr>
            <w:tcW w:type="dxa" w:w="2880"/>
          </w:tcPr>
          <w:p>
            <w:r>
              <w:t>Integrante</w:t>
            </w:r>
          </w:p>
        </w:tc>
        <w:tc>
          <w:tcPr>
            <w:tcW w:type="dxa" w:w="2880"/>
          </w:tcPr>
          <w:p>
            <w:r>
              <w:t>Samuel</w:t>
            </w:r>
          </w:p>
        </w:tc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paquete de trabajo por confirmar</w:t>
            </w:r>
          </w:p>
        </w:tc>
      </w:tr>
      <w:tr>
        <w:tc>
          <w:tcPr>
            <w:tcW w:type="dxa" w:w="2880"/>
          </w:tcPr>
          <w:p>
            <w:r>
              <w:t>Integrante</w:t>
            </w:r>
          </w:p>
        </w:tc>
        <w:tc>
          <w:tcPr>
            <w:tcW w:type="dxa" w:w="2880"/>
          </w:tcPr>
          <w:p>
            <w:r>
              <w:t>Giovanni</w:t>
            </w:r>
          </w:p>
        </w:tc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paquete de trabajo por confirmar</w:t>
            </w:r>
          </w:p>
        </w:tc>
      </w:tr>
      <w:tr>
        <w:tc>
          <w:tcPr>
            <w:tcW w:type="dxa" w:w="2880"/>
          </w:tcPr>
          <w:p>
            <w:r>
              <w:t>Integrante</w:t>
            </w:r>
          </w:p>
        </w:tc>
        <w:tc>
          <w:tcPr>
            <w:tcW w:type="dxa" w:w="2880"/>
          </w:tcPr>
          <w:p>
            <w:r>
              <w:t>Perla</w:t>
            </w:r>
          </w:p>
        </w:tc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paquete de trabajo por confirmar</w:t>
            </w:r>
          </w:p>
        </w:tc>
      </w:tr>
    </w:tbl>
    <w:p/>
    <w:p>
      <w:r>
        <w:rPr>
          <w:b/>
        </w:rPr>
        <w:t>Dedicación comprometida:</w:t>
      </w:r>
      <w:r>
        <w:t xml:space="preserve"> mínimo 12 h/semana por integrante.</w:t>
      </w:r>
    </w:p>
    <w:p>
      <w:r>
        <w:rPr>
          <w:b/>
        </w:rPr>
        <w:t>Matriz RACI completa:</w:t>
      </w:r>
      <w:r>
        <w:t xml:space="preserve"> </w:t>
      </w:r>
      <w:r>
        <w:rPr>
          <w:rFonts w:ascii="Consolas" w:hAnsi="Consolas"/>
          <w:sz w:val="19"/>
        </w:rPr>
        <w:t>pmi-plan-direccion-proyecto.md</w:t>
      </w:r>
      <w:r>
        <w:t>, sección 7.</w:t>
      </w:r>
    </w:p>
    <w:p>
      <w:r>
        <w:br w:type="page"/>
      </w:r>
    </w:p>
    <w:p>
      <w:pPr>
        <w:pStyle w:val="Heading1"/>
      </w:pPr>
      <w:r>
        <w:t>3. Descripción del Proyecto</w:t>
      </w:r>
    </w:p>
    <w:p>
      <w:pPr>
        <w:pStyle w:val="Heading2"/>
      </w:pPr>
      <w:r>
        <w:t>3.1 Declaración de la meta</w:t>
      </w:r>
    </w:p>
    <w:p>
      <w:r>
        <w:t>Diseñar, construir y validar una **celda ciberfísica capaz de alimentar de forma</w:t>
      </w:r>
    </w:p>
    <w:p>
      <w:r>
        <w:t>autónoma un centro de maquinado CNC Haas**, integrando un vehículo autoguiado de</w:t>
      </w:r>
    </w:p>
    <w:p>
      <w:r>
        <w:t>ruedas mecanum, un brazo manipulador sobre riel lineal y un sistema de visión</w:t>
      </w:r>
    </w:p>
    <w:p>
      <w:r>
        <w:t>industrial, coordinados mediante comunicación bidireccional con el control de la</w:t>
      </w:r>
    </w:p>
    <w:p>
      <w:r>
        <w:t>máquina — todo ello demostrado en operación continua antes del 6 de diciembre de 2026.</w:t>
      </w:r>
    </w:p>
    <w:p>
      <w:pPr>
        <w:pStyle w:val="Heading2"/>
      </w:pPr>
      <w:r>
        <w:t>3.2 Descripción y antecedentes</w:t>
      </w:r>
    </w:p>
    <w:p>
      <w:r>
        <w:t>La alimentación manual de un centro de maquinado obliga a un operador a</w:t>
      </w:r>
    </w:p>
    <w:p>
      <w:r>
        <w:t>permanecer disponible durante todo el ciclo, aunque el trabajo efectivo de carga</w:t>
      </w:r>
    </w:p>
    <w:p>
      <w:r>
        <w:t>y descarga represente una fracción menor del tiempo. Esto limita la utilización</w:t>
      </w:r>
    </w:p>
    <w:p>
      <w:r>
        <w:t>de la máquina, introduce variabilidad en el posicionamiento de la pieza y expone</w:t>
      </w:r>
    </w:p>
    <w:p>
      <w:r>
        <w:t>al operador a un entorno con viruta, refrigerante y elementos móviles.</w:t>
      </w:r>
    </w:p>
    <w:p>
      <w:r>
        <w:t>El proyecto automatiza ese ciclo mediante tres subsistemas coordinados:</w:t>
      </w:r>
    </w:p>
    <w:p>
      <w:pPr>
        <w:pStyle w:val="ListBullet"/>
      </w:pPr>
      <w:r>
        <w:rPr>
          <w:b/>
        </w:rPr>
        <w:t>AGV de tracción omnidireccional</w:t>
      </w:r>
      <w:r>
        <w:t xml:space="preserve"> que transporta pallets indexados entre el</w:t>
      </w:r>
    </w:p>
    <w:p>
      <w:r>
        <w:t>almacén de materia prima y la estación de transferencia.</w:t>
      </w:r>
    </w:p>
    <w:p>
      <w:pPr>
        <w:pStyle w:val="ListBullet"/>
      </w:pPr>
      <w:r>
        <w:rPr>
          <w:b/>
        </w:rPr>
        <w:t>Manipulador sobre riel lineal de 2.5 m</w:t>
      </w:r>
      <w:r>
        <w:t xml:space="preserve"> que ejecuta la carga y descarga en</w:t>
      </w:r>
    </w:p>
    <w:p>
      <w:r>
        <w:t>el husillo, actuando el riel como séptimo eje externo.</w:t>
      </w:r>
    </w:p>
    <w:p>
      <w:pPr>
        <w:pStyle w:val="ListBullet"/>
      </w:pPr>
      <w:r>
        <w:rPr>
          <w:b/>
        </w:rPr>
        <w:t>Visión industrial</w:t>
      </w:r>
      <w:r>
        <w:t xml:space="preserve"> que verifica el asentamiento de la pieza en el fixture y</w:t>
      </w:r>
    </w:p>
    <w:p>
      <w:r>
        <w:t>emite un dictamen de aceptación o rechazo antes de autorizar el arranque.</w:t>
      </w:r>
    </w:p>
    <w:p>
      <w:r>
        <w:t>La coordinación con el CNC se realiza por tres canales complementarios:</w:t>
      </w:r>
    </w:p>
    <w:p>
      <w:r>
        <w:rPr>
          <w:b/>
        </w:rPr>
        <w:t>MTConnect</w:t>
      </w:r>
      <w:r>
        <w:t xml:space="preserve"> para leer el estado de la máquina, </w:t>
      </w:r>
      <w:r>
        <w:rPr>
          <w:b/>
        </w:rPr>
        <w:t>SMB</w:t>
      </w:r>
      <w:r>
        <w:t xml:space="preserve"> para la transferencia de</w:t>
      </w:r>
    </w:p>
    <w:p>
      <w:r>
        <w:t xml:space="preserve">programas, y una </w:t>
      </w:r>
      <w:r>
        <w:rPr>
          <w:b/>
        </w:rPr>
        <w:t>interfaz discreta de códigos M</w:t>
      </w:r>
      <w:r>
        <w:t xml:space="preserve"> para el enlace determinista</w:t>
      </w:r>
    </w:p>
    <w:p>
      <w:r>
        <w:t>de arranque y paro.</w:t>
      </w:r>
    </w:p>
    <w:p>
      <w:pPr>
        <w:pStyle w:val="Heading2"/>
      </w:pPr>
      <w:r>
        <w:t>3.3 Objetivos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de éxito medible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Navegación autónoma del AGV</w:t>
            </w:r>
          </w:p>
        </w:tc>
        <w:tc>
          <w:tcPr>
            <w:tcW w:type="dxa" w:w="2880"/>
          </w:tcPr>
          <w:p>
            <w:r>
              <w:t>SLAM operativo y llegada a la estación de transferencia sin intervención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Repetibilidad del acoplamiento</w:t>
            </w:r>
          </w:p>
        </w:tc>
        <w:tc>
          <w:tcPr>
            <w:tcW w:type="dxa" w:w="2880"/>
          </w:tcPr>
          <w:p>
            <w:r>
              <w:t xml:space="preserve">Docking por AprilTag con repetibilidad </w:t>
            </w:r>
            <w:r>
              <w:rPr>
                <w:b/>
              </w:rPr>
              <w:t>≤ ±10 mm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Control de lazo cerrado</w:t>
            </w:r>
          </w:p>
        </w:tc>
        <w:tc>
          <w:tcPr>
            <w:tcW w:type="dxa" w:w="2880"/>
          </w:tcPr>
          <w:p>
            <w:r>
              <w:t xml:space="preserve">Lazos </w:t>
            </w:r>
            <w:r>
              <w:rPr>
                <w:b/>
              </w:rPr>
              <w:t>PI, PD y PID</w:t>
            </w:r>
            <w:r>
              <w:t xml:space="preserve"> implementados en el NXP S32K312 con sintonía documentada</w:t>
            </w:r>
          </w:p>
        </w:tc>
      </w:tr>
      <w:tr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Integración con el CNC</w:t>
            </w:r>
          </w:p>
        </w:tc>
        <w:tc>
          <w:tcPr>
            <w:tcW w:type="dxa" w:w="2880"/>
          </w:tcPr>
          <w:p>
            <w:r>
              <w:t>Lectura de estado por MTConnect y handshake discreto por códigos M funcionando</w:t>
            </w:r>
          </w:p>
        </w:tc>
      </w:tr>
      <w:tr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Inspección automática</w:t>
            </w:r>
          </w:p>
        </w:tc>
        <w:tc>
          <w:tcPr>
            <w:tcW w:type="dxa" w:w="2880"/>
          </w:tcPr>
          <w:p>
            <w:r>
              <w:t>Dictamen de aceptación/rechazo por visión con calibración ChArUco documentada</w:t>
            </w:r>
          </w:p>
        </w:tc>
      </w:tr>
      <w:tr>
        <w:tc>
          <w:tcPr>
            <w:tcW w:type="dxa" w:w="2880"/>
          </w:tcPr>
          <w:p>
            <w:r>
              <w:t>O6</w:t>
            </w:r>
          </w:p>
        </w:tc>
        <w:tc>
          <w:tcPr>
            <w:tcW w:type="dxa" w:w="2880"/>
          </w:tcPr>
          <w:p>
            <w:r>
              <w:t>Seguridad operativa</w:t>
            </w:r>
          </w:p>
        </w:tc>
        <w:tc>
          <w:tcPr>
            <w:tcW w:type="dxa" w:w="2880"/>
          </w:tcPr>
          <w:p>
            <w:r>
              <w:t xml:space="preserve">Frenado ante obstáculo a 2 m en </w:t>
            </w:r>
            <w:r>
              <w:rPr>
                <w:b/>
              </w:rPr>
              <w:t>menos de 0.5 s</w:t>
            </w:r>
          </w:p>
        </w:tc>
      </w:tr>
      <w:tr>
        <w:tc>
          <w:tcPr>
            <w:tcW w:type="dxa" w:w="2880"/>
          </w:tcPr>
          <w:p>
            <w:r>
              <w:t>O7</w:t>
            </w:r>
          </w:p>
        </w:tc>
        <w:tc>
          <w:tcPr>
            <w:tcW w:type="dxa" w:w="2880"/>
          </w:tcPr>
          <w:p>
            <w:r>
              <w:t>Trazabilidad documental</w:t>
            </w:r>
          </w:p>
        </w:tc>
        <w:tc>
          <w:tcPr>
            <w:tcW w:type="dxa" w:w="2880"/>
          </w:tcPr>
          <w:p>
            <w:r>
              <w:t>Expediente completo: BOM, órdenes de compra, órdenes de fabricación y hojas viajeras firmadas</w:t>
            </w:r>
          </w:p>
        </w:tc>
      </w:tr>
    </w:tbl>
    <w:p/>
    <w:p>
      <w:pPr>
        <w:pStyle w:val="Heading2"/>
      </w:pPr>
      <w:r>
        <w:t>3.4 Alcance</w:t>
      </w:r>
    </w:p>
    <w:p>
      <w:r>
        <w:rPr>
          <w:b/>
        </w:rPr>
        <w:t>Dentro del alcance</w:t>
      </w:r>
    </w:p>
    <w:p>
      <w:pPr>
        <w:pStyle w:val="ListBullet"/>
      </w:pPr>
      <w:r>
        <w:t>Diseño mecánico, eléctrico y de control del AGV de ruedas mecanum</w:t>
      </w:r>
    </w:p>
    <w:p>
      <w:pPr>
        <w:pStyle w:val="ListBullet"/>
      </w:pPr>
      <w:r>
        <w:t>Firmware de control sobre NXP S32K312 con lazos PI, PD y PID</w:t>
      </w:r>
    </w:p>
    <w:p>
      <w:pPr>
        <w:pStyle w:val="ListBullet"/>
      </w:pPr>
      <w:r>
        <w:t>Cómputo supervisor con ROS 2 Humble, SLAM y navegación autónoma</w:t>
      </w:r>
    </w:p>
    <w:p>
      <w:pPr>
        <w:pStyle w:val="ListBullet"/>
      </w:pPr>
      <w:r>
        <w:t>Integración del manipulador sobre riel lineal</w:t>
      </w:r>
    </w:p>
    <w:p>
      <w:pPr>
        <w:pStyle w:val="ListBullet"/>
      </w:pPr>
      <w:r>
        <w:t>Sistema de visión para verificación de asentamiento de pieza</w:t>
      </w:r>
    </w:p>
    <w:p>
      <w:pPr>
        <w:pStyle w:val="ListBullet"/>
      </w:pPr>
      <w:r>
        <w:t>Cliente MTConnect, transferencia de programas por SMB y handshake por códigos M</w:t>
      </w:r>
    </w:p>
    <w:p>
      <w:pPr>
        <w:pStyle w:val="ListBullet"/>
      </w:pPr>
      <w:r>
        <w:t>Fixture indexado y pallet de cinco posiciones (fabricación interna)</w:t>
      </w:r>
    </w:p>
    <w:p>
      <w:pPr>
        <w:pStyle w:val="ListBullet"/>
      </w:pPr>
      <w:r>
        <w:t>Documentación de ingeniería, expediente de compras y manual de operación</w:t>
      </w:r>
    </w:p>
    <w:p>
      <w:r>
        <w:rPr>
          <w:b/>
        </w:rPr>
        <w:t>Fuera del alcance</w:t>
      </w:r>
    </w:p>
    <w:p>
      <w:pPr>
        <w:pStyle w:val="ListBullet"/>
      </w:pPr>
      <w:r>
        <w:t>Modificación del programa de maquinado o de los parámetros de corte del Haas</w:t>
      </w:r>
    </w:p>
    <w:p>
      <w:pPr>
        <w:pStyle w:val="ListBullet"/>
      </w:pPr>
      <w:r>
        <w:t>Certificación formal de seguridad ante organismo externo</w:t>
      </w:r>
    </w:p>
    <w:p>
      <w:pPr>
        <w:pStyle w:val="ListBullet"/>
      </w:pPr>
      <w:r>
        <w:t>Producción en volumen: el entregable es un prototipo funcional demostrable</w:t>
      </w:r>
    </w:p>
    <w:p>
      <w:pPr>
        <w:pStyle w:val="ListBullet"/>
      </w:pPr>
      <w:r>
        <w:t>Mantenimiento del sistema después del 6 de diciembre de 2026</w:t>
      </w:r>
    </w:p>
    <w:p>
      <w:pPr>
        <w:pStyle w:val="ListBullet"/>
      </w:pPr>
      <w:r>
        <w:t xml:space="preserve">⬜ </w:t>
      </w:r>
      <w:r>
        <w:rPr>
          <w:i/>
        </w:rPr>
        <w:t>Fabricación de brazo propio vs. integración de cobot comercial: **decisión de alcance pendiente**, ver sección 7</w:t>
      </w:r>
    </w:p>
    <w:p>
      <w:pPr>
        <w:pStyle w:val="Heading2"/>
      </w:pPr>
      <w:r>
        <w:t>3.5 Entregables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 comprometida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Anteproyecto (Evidencia 1)</w:t>
            </w:r>
          </w:p>
        </w:tc>
        <w:tc>
          <w:tcPr>
            <w:tcW w:type="dxa" w:w="2880"/>
          </w:tcPr>
          <w:p>
            <w:r>
              <w:t>2026-09-06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Diseño congelado y simulación en FlexSim</w:t>
            </w:r>
          </w:p>
        </w:tc>
        <w:tc>
          <w:tcPr>
            <w:tcW w:type="dxa" w:w="2880"/>
          </w:tcPr>
          <w:p>
            <w:r>
              <w:t>2026-09-27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AGV operativo con control PI/PD/PID</w:t>
            </w:r>
          </w:p>
        </w:tc>
        <w:tc>
          <w:tcPr>
            <w:tcW w:type="dxa" w:w="2880"/>
          </w:tcPr>
          <w:p>
            <w:r>
              <w:t>2026-10-25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Exposición Demostrativa (Evidencia 2) — *evalúa el Socio Formador*</w:t>
            </w:r>
          </w:p>
        </w:tc>
        <w:tc>
          <w:tcPr>
            <w:tcW w:type="dxa" w:w="2880"/>
          </w:tcPr>
          <w:p>
            <w:r>
              <w:t>2026-11-08</w:t>
            </w:r>
          </w:p>
        </w:tc>
      </w:tr>
      <w:tr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Exposición Argumentativa (Evidencia 3)</w:t>
            </w:r>
          </w:p>
        </w:tc>
        <w:tc>
          <w:tcPr>
            <w:tcW w:type="dxa" w:w="2880"/>
          </w:tcPr>
          <w:p>
            <w:r>
              <w:t>2026-11-22</w:t>
            </w:r>
          </w:p>
        </w:tc>
      </w:tr>
      <w:tr>
        <w:tc>
          <w:tcPr>
            <w:tcW w:type="dxa" w:w="2880"/>
          </w:tcPr>
          <w:p>
            <w:r>
              <w:t>E6</w:t>
            </w:r>
          </w:p>
        </w:tc>
        <w:tc>
          <w:tcPr>
            <w:tcW w:type="dxa" w:w="2880"/>
          </w:tcPr>
          <w:p>
            <w:r>
              <w:t>Reporte Integrador (Evidencia 4)</w:t>
            </w:r>
          </w:p>
        </w:tc>
        <w:tc>
          <w:tcPr>
            <w:tcW w:type="dxa" w:w="2880"/>
          </w:tcPr>
          <w:p>
            <w:r>
              <w:t>2026-12-06</w:t>
            </w:r>
          </w:p>
        </w:tc>
      </w:tr>
    </w:tbl>
    <w:p/>
    <w:p>
      <w:r>
        <w:br w:type="page"/>
      </w:r>
    </w:p>
    <w:p>
      <w:pPr>
        <w:pStyle w:val="Heading1"/>
      </w:pPr>
      <w:r>
        <w:t>4. Calendario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Fecha de inicio</w:t>
            </w:r>
          </w:p>
        </w:tc>
        <w:tc>
          <w:tcPr>
            <w:tcW w:type="dxa" w:w="4320"/>
          </w:tcPr>
          <w:p>
            <w:r>
              <w:t>2026-08-10</w:t>
            </w:r>
          </w:p>
        </w:tc>
      </w:tr>
      <w:tr>
        <w:tc>
          <w:tcPr>
            <w:tcW w:type="dxa" w:w="4320"/>
          </w:tcPr>
          <w:p>
            <w:r>
              <w:t>Fecha de cierre</w:t>
            </w:r>
          </w:p>
        </w:tc>
        <w:tc>
          <w:tcPr>
            <w:tcW w:type="dxa" w:w="4320"/>
          </w:tcPr>
          <w:p>
            <w:r>
              <w:t>2026-12-06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16 semanas</w:t>
            </w:r>
          </w:p>
        </w:tc>
      </w:tr>
      <w:tr>
        <w:tc>
          <w:tcPr>
            <w:tcW w:type="dxa" w:w="4320"/>
          </w:tcPr>
          <w:p>
            <w:r>
              <w:t>Reporte de avance</w:t>
            </w:r>
          </w:p>
        </w:tc>
        <w:tc>
          <w:tcPr>
            <w:tcW w:type="dxa" w:w="4320"/>
          </w:tcPr>
          <w:p>
            <w:r>
              <w:t>Semanal al equipo docente; tablero Kanban actualizado de forma continua</w:t>
            </w:r>
          </w:p>
        </w:tc>
      </w:tr>
      <w:tr>
        <w:tc>
          <w:tcPr>
            <w:tcW w:type="dxa" w:w="4320"/>
          </w:tcPr>
          <w:p>
            <w:r>
              <w:t>Revisión con el Socio Formador</w:t>
            </w:r>
          </w:p>
        </w:tc>
        <w:tc>
          <w:tcPr>
            <w:tcW w:type="dxa" w:w="4320"/>
          </w:tcPr>
          <w:p>
            <w:r>
              <w:t xml:space="preserve">⬜ </w:t>
            </w:r>
            <w:r>
              <w:rPr>
                <w:i/>
              </w:rPr>
              <w:t>frecuencia por acordar</w:t>
            </w:r>
          </w:p>
        </w:tc>
      </w:tr>
    </w:tbl>
    <w:p/>
    <w:p>
      <w:pPr>
        <w:pStyle w:val="Heading2"/>
      </w:pPr>
      <w:r>
        <w:t>Fases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Semanas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Hito de cierre</w:t>
            </w:r>
          </w:p>
        </w:tc>
      </w:tr>
      <w:tr>
        <w:tc>
          <w:tcPr>
            <w:tcW w:type="dxa" w:w="2160"/>
          </w:tcPr>
          <w:p>
            <w:r>
              <w:t>F0 · Arranque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10–23 ago</w:t>
            </w:r>
          </w:p>
        </w:tc>
        <w:tc>
          <w:tcPr>
            <w:tcW w:type="dxa" w:w="2160"/>
          </w:tcPr>
          <w:p>
            <w:r>
              <w:t>✅ Cerrada</w:t>
            </w:r>
          </w:p>
        </w:tc>
      </w:tr>
      <w:tr>
        <w:tc>
          <w:tcPr>
            <w:tcW w:type="dxa" w:w="2160"/>
          </w:tcPr>
          <w:p>
            <w:r>
              <w:t>F1 · Definición y anteproyecto</w:t>
            </w:r>
          </w:p>
        </w:tc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24 ago – 6 sep</w:t>
            </w:r>
          </w:p>
        </w:tc>
        <w:tc>
          <w:tcPr>
            <w:tcW w:type="dxa" w:w="2160"/>
          </w:tcPr>
          <w:p>
            <w:r>
              <w:t>H1: Órdenes de compra críticas emitidas</w:t>
            </w:r>
          </w:p>
        </w:tc>
      </w:tr>
      <w:tr>
        <w:tc>
          <w:tcPr>
            <w:tcW w:type="dxa" w:w="2160"/>
          </w:tcPr>
          <w:p>
            <w:r>
              <w:t>F2 · Diseño de detalle</w:t>
            </w:r>
          </w:p>
        </w:tc>
        <w:tc>
          <w:tcPr>
            <w:tcW w:type="dxa" w:w="2160"/>
          </w:tcPr>
          <w:p>
            <w:r>
              <w:t>5–7</w:t>
            </w:r>
          </w:p>
        </w:tc>
        <w:tc>
          <w:tcPr>
            <w:tcW w:type="dxa" w:w="2160"/>
          </w:tcPr>
          <w:p>
            <w:r>
              <w:t>7–27 sep</w:t>
            </w:r>
          </w:p>
        </w:tc>
        <w:tc>
          <w:tcPr>
            <w:tcW w:type="dxa" w:w="2160"/>
          </w:tcPr>
          <w:p>
            <w:r>
              <w:t>H2: Diseño congelado y simulación validada</w:t>
            </w:r>
          </w:p>
        </w:tc>
      </w:tr>
      <w:tr>
        <w:tc>
          <w:tcPr>
            <w:tcW w:type="dxa" w:w="2160"/>
          </w:tcPr>
          <w:p>
            <w:r>
              <w:t>F3 · Fabricación y subensambles</w:t>
            </w:r>
          </w:p>
        </w:tc>
        <w:tc>
          <w:tcPr>
            <w:tcW w:type="dxa" w:w="2160"/>
          </w:tcPr>
          <w:p>
            <w:r>
              <w:t>8–11</w:t>
            </w:r>
          </w:p>
        </w:tc>
        <w:tc>
          <w:tcPr>
            <w:tcW w:type="dxa" w:w="2160"/>
          </w:tcPr>
          <w:p>
            <w:r>
              <w:t>28 sep – 25 oct</w:t>
            </w:r>
          </w:p>
        </w:tc>
        <w:tc>
          <w:tcPr>
            <w:tcW w:type="dxa" w:w="2160"/>
          </w:tcPr>
          <w:p>
            <w:r>
              <w:t>H3: AGV rodando con control cerrado</w:t>
            </w:r>
          </w:p>
        </w:tc>
      </w:tr>
      <w:tr>
        <w:tc>
          <w:tcPr>
            <w:tcW w:type="dxa" w:w="2160"/>
          </w:tcPr>
          <w:p>
            <w:r>
              <w:t>F4 · Navegación e integración</w:t>
            </w:r>
          </w:p>
        </w:tc>
        <w:tc>
          <w:tcPr>
            <w:tcW w:type="dxa" w:w="2160"/>
          </w:tcPr>
          <w:p>
            <w:r>
              <w:t>12–13</w:t>
            </w:r>
          </w:p>
        </w:tc>
        <w:tc>
          <w:tcPr>
            <w:tcW w:type="dxa" w:w="2160"/>
          </w:tcPr>
          <w:p>
            <w:r>
              <w:t>26 oct – 8 nov</w:t>
            </w:r>
          </w:p>
        </w:tc>
        <w:tc>
          <w:tcPr>
            <w:tcW w:type="dxa" w:w="2160"/>
          </w:tcPr>
          <w:p>
            <w:r>
              <w:t>H4: Navegación y acoplamiento validados</w:t>
            </w:r>
          </w:p>
        </w:tc>
      </w:tr>
      <w:tr>
        <w:tc>
          <w:tcPr>
            <w:tcW w:type="dxa" w:w="2160"/>
          </w:tcPr>
          <w:p>
            <w:r>
              <w:t>F5 · Celda completa</w:t>
            </w:r>
          </w:p>
        </w:tc>
        <w:tc>
          <w:tcPr>
            <w:tcW w:type="dxa" w:w="2160"/>
          </w:tcPr>
          <w:p>
            <w:r>
              <w:t>14–15</w:t>
            </w:r>
          </w:p>
        </w:tc>
        <w:tc>
          <w:tcPr>
            <w:tcW w:type="dxa" w:w="2160"/>
          </w:tcPr>
          <w:p>
            <w:r>
              <w:t>9–22 nov</w:t>
            </w:r>
          </w:p>
        </w:tc>
        <w:tc>
          <w:tcPr>
            <w:tcW w:type="dxa" w:w="2160"/>
          </w:tcPr>
          <w:p>
            <w:r>
              <w:t>H5: Ciclo completo coordinado con el Haas</w:t>
            </w:r>
          </w:p>
        </w:tc>
      </w:tr>
      <w:tr>
        <w:tc>
          <w:tcPr>
            <w:tcW w:type="dxa" w:w="2160"/>
          </w:tcPr>
          <w:p>
            <w:r>
              <w:t>F6 · Cierre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23 nov – 6 dic</w:t>
            </w:r>
          </w:p>
        </w:tc>
        <w:tc>
          <w:tcPr>
            <w:tcW w:type="dxa" w:w="2160"/>
          </w:tcPr>
          <w:p>
            <w:r>
              <w:t>H6: Reporte integrador entregado</w:t>
            </w:r>
          </w:p>
        </w:tc>
      </w:tr>
    </w:tbl>
    <w:p/>
    <w:p>
      <w:r>
        <w:br w:type="page"/>
      </w:r>
    </w:p>
    <w:p>
      <w:pPr>
        <w:pStyle w:val="Heading1"/>
      </w:pPr>
      <w:r>
        <w:t>5. Estimación de Costos</w:t>
      </w:r>
    </w:p>
    <w:p>
      <w:r>
        <w:t>Valores en pesos mexicanos, tomados del catálogo de materiales del sistema ERP</w:t>
      </w:r>
    </w:p>
    <w:p>
      <w:r>
        <w:t>del proyecto (</w:t>
      </w:r>
      <w:r>
        <w:rPr>
          <w:rFonts w:ascii="Consolas" w:hAnsi="Consolas"/>
          <w:sz w:val="19"/>
        </w:rPr>
        <w:t>02-proveeduria/catalogo-materiales.csv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(MXN)</w:t>
            </w:r>
          </w:p>
        </w:tc>
      </w:tr>
      <w:tr>
        <w:tc>
          <w:tcPr>
            <w:tcW w:type="dxa" w:w="4320"/>
          </w:tcPr>
          <w:p>
            <w:r>
              <w:t>Material aportado por el equipo docente (préstamo o donación)</w:t>
            </w:r>
          </w:p>
        </w:tc>
        <w:tc>
          <w:tcPr>
            <w:tcW w:type="dxa" w:w="4320"/>
          </w:tcPr>
          <w:p>
            <w:r>
              <w:t>$67,650.00</w:t>
            </w:r>
          </w:p>
        </w:tc>
      </w:tr>
      <w:tr>
        <w:tc>
          <w:tcPr>
            <w:tcW w:type="dxa" w:w="4320"/>
          </w:tcPr>
          <w:p>
            <w:r>
              <w:t>Material por adquirir</w:t>
            </w:r>
          </w:p>
        </w:tc>
        <w:tc>
          <w:tcPr>
            <w:tcW w:type="dxa" w:w="4320"/>
          </w:tcPr>
          <w:p>
            <w:r>
              <w:t>$46,487.15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total del proyecto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$114,137.15</w:t>
            </w:r>
          </w:p>
        </w:tc>
      </w:tr>
    </w:tbl>
    <w:p/>
    <w:p>
      <w:pPr>
        <w:pStyle w:val="Heading2"/>
      </w:pPr>
      <w:r>
        <w:t>Desglose del material por adquirir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Lead time</w:t>
            </w:r>
          </w:p>
        </w:tc>
      </w:tr>
      <w:tr>
        <w:tc>
          <w:tcPr>
            <w:tcW w:type="dxa" w:w="2160"/>
          </w:tcPr>
          <w:p>
            <w:r>
              <w:t>Cómputo supervisor clase Jetson Orin Nano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$12,000.00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 semanas</w:t>
            </w:r>
          </w:p>
        </w:tc>
      </w:tr>
      <w:tr>
        <w:tc>
          <w:tcPr>
            <w:tcW w:type="dxa" w:w="2160"/>
          </w:tcPr>
          <w:p>
            <w:r>
              <w:t>Batería LiFePO4 24 V 20 Ah con BMS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$9,500.00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 semanas</w:t>
            </w:r>
          </w:p>
        </w:tc>
      </w:tr>
      <w:tr>
        <w:tc>
          <w:tcPr>
            <w:tcW w:type="dxa" w:w="2160"/>
          </w:tcPr>
          <w:p>
            <w:r>
              <w:t>Ruedas mecanum 100 mm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$7,200.00</w:t>
            </w:r>
          </w:p>
        </w:tc>
        <w:tc>
          <w:tcPr>
            <w:tcW w:type="dxa" w:w="2160"/>
          </w:tcPr>
          <w:p>
            <w:r>
              <w:t>3 semanas</w:t>
            </w:r>
          </w:p>
        </w:tc>
      </w:tr>
      <w:tr>
        <w:tc>
          <w:tcPr>
            <w:tcW w:type="dxa" w:w="2160"/>
          </w:tcPr>
          <w:p>
            <w:r>
              <w:t>Kits de desarrollo FRDM-S32K344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$5,537.15</w:t>
            </w:r>
          </w:p>
        </w:tc>
        <w:tc>
          <w:tcPr>
            <w:tcW w:type="dxa" w:w="2160"/>
          </w:tcPr>
          <w:p>
            <w:r>
              <w:t>1 semana</w:t>
            </w:r>
          </w:p>
        </w:tc>
      </w:tr>
      <w:tr>
        <w:tc>
          <w:tcPr>
            <w:tcW w:type="dxa" w:w="2160"/>
          </w:tcPr>
          <w:p>
            <w:r>
              <w:t>Perfil estructural de aluminio 40×40</w:t>
            </w:r>
          </w:p>
        </w:tc>
        <w:tc>
          <w:tcPr>
            <w:tcW w:type="dxa" w:w="2160"/>
          </w:tcPr>
          <w:p>
            <w:r>
              <w:t>8 m</w:t>
            </w:r>
          </w:p>
        </w:tc>
        <w:tc>
          <w:tcPr>
            <w:tcW w:type="dxa" w:w="2160"/>
          </w:tcPr>
          <w:p>
            <w:r>
              <w:t>$3,360.00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Sensores inductivos M12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$2,600.00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Cargador de batería 24 V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$2,100.00</w:t>
            </w:r>
          </w:p>
        </w:tc>
        <w:tc>
          <w:tcPr>
            <w:tcW w:type="dxa" w:w="2160"/>
          </w:tcPr>
          <w:p>
            <w:r>
              <w:t>3 semanas</w:t>
            </w:r>
          </w:p>
        </w:tc>
      </w:tr>
      <w:tr>
        <w:tc>
          <w:tcPr>
            <w:tcW w:type="dxa" w:w="2160"/>
          </w:tcPr>
          <w:p>
            <w:r>
              <w:t>Botones de paro de emergencia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$1,780.00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Convertidores DC-DC 24 V → 5 V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$1,560.00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Unidad inercial de 9 GDL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$850.00</w:t>
            </w:r>
          </w:p>
        </w:tc>
        <w:tc>
          <w:tcPr>
            <w:tcW w:type="dxa" w:w="2160"/>
          </w:tcPr>
          <w:p>
            <w:r>
              <w:t>3 semanas</w:t>
            </w:r>
          </w:p>
        </w:tc>
      </w:tr>
    </w:tbl>
    <w:p/>
    <w:p>
      <w:r>
        <w:rPr>
          <w:b/>
        </w:rPr>
        <w:t>Aportación del Socio Formador:</w:t>
      </w:r>
      <w:r>
        <w:t xml:space="preserve"> ⬜ _por confirmar qué partidas cubre y cuál es</w:t>
      </w:r>
    </w:p>
    <w:p>
      <w:r>
        <w:t>el techo presupuestal._</w:t>
      </w:r>
    </w:p>
    <w:p>
      <w:pPr>
        <w:ind w:left="360"/>
      </w:pPr>
      <w:r>
        <w:rPr>
          <w:b/>
          <w:i/>
          <w:color w:val="444A52"/>
        </w:rPr>
        <w:t>Nota de gestión.</w:t>
      </w:r>
      <w:r>
        <w:rPr>
          <w:i/>
          <w:color w:val="444A52"/>
        </w:rPr>
        <w:t xml:space="preserve"> Los dos artículos de mayor lead time —cómputo supervisor y</w:t>
      </w:r>
    </w:p>
    <w:p>
      <w:pPr>
        <w:ind w:left="360"/>
      </w:pPr>
      <w:r>
        <w:rPr>
          <w:i/>
          <w:color w:val="444A52"/>
        </w:rPr>
        <w:t>batería— determinan la ruta crítica del proyecto. Deben cotizarse y emitirse</w:t>
      </w:r>
    </w:p>
    <w:p>
      <w:pPr>
        <w:ind w:left="360"/>
      </w:pPr>
      <w:r>
        <w:rPr>
          <w:b/>
          <w:i/>
          <w:color w:val="444A52"/>
        </w:rPr>
        <w:t>antes del 29 de septiembre de 2026</w:t>
      </w:r>
      <w:r>
        <w:rPr>
          <w:i/>
          <w:color w:val="444A52"/>
        </w:rPr>
        <w:t xml:space="preserve"> para llegar a la fase de integración.</w:t>
      </w:r>
    </w:p>
    <w:p>
      <w:r>
        <w:br w:type="page"/>
      </w:r>
    </w:p>
    <w:p>
      <w:pPr>
        <w:pStyle w:val="Heading1"/>
      </w:pPr>
      <w:r>
        <w:t>6. Hitos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Órdenes de compra de partidas críticas emitidas</w:t>
            </w:r>
          </w:p>
        </w:tc>
        <w:tc>
          <w:tcPr>
            <w:tcW w:type="dxa" w:w="2880"/>
          </w:tcPr>
          <w:p>
            <w:r>
              <w:t>2026-09-06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Diseño de detalle congelado y simulación validada</w:t>
            </w:r>
          </w:p>
        </w:tc>
        <w:tc>
          <w:tcPr>
            <w:tcW w:type="dxa" w:w="2880"/>
          </w:tcPr>
          <w:p>
            <w:r>
              <w:t>2026-09-27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AGV rodando con lazos de control sintonizados</w:t>
            </w:r>
          </w:p>
        </w:tc>
        <w:tc>
          <w:tcPr>
            <w:tcW w:type="dxa" w:w="2880"/>
          </w:tcPr>
          <w:p>
            <w:r>
              <w:t>2026-10-25</w:t>
            </w:r>
          </w:p>
        </w:tc>
      </w:tr>
      <w:tr>
        <w:tc>
          <w:tcPr>
            <w:tcW w:type="dxa" w:w="2880"/>
          </w:tcPr>
          <w:p>
            <w:r>
              <w:t>H4</w:t>
            </w:r>
          </w:p>
        </w:tc>
        <w:tc>
          <w:tcPr>
            <w:tcW w:type="dxa" w:w="2880"/>
          </w:tcPr>
          <w:p>
            <w:r>
              <w:t>Navegación autónoma y acoplamiento con repetibilidad ≤ ±10 mm</w:t>
            </w:r>
          </w:p>
        </w:tc>
        <w:tc>
          <w:tcPr>
            <w:tcW w:type="dxa" w:w="2880"/>
          </w:tcPr>
          <w:p>
            <w:r>
              <w:t>2026-11-08</w:t>
            </w:r>
          </w:p>
        </w:tc>
      </w:tr>
      <w:tr>
        <w:tc>
          <w:tcPr>
            <w:tcW w:type="dxa" w:w="2880"/>
          </w:tcPr>
          <w:p>
            <w:r>
              <w:t>H5</w:t>
            </w:r>
          </w:p>
        </w:tc>
        <w:tc>
          <w:tcPr>
            <w:tcW w:type="dxa" w:w="2880"/>
          </w:tcPr>
          <w:p>
            <w:r>
              <w:t>Ciclo completo de alimentación coordinado con el CNC Haas</w:t>
            </w:r>
          </w:p>
        </w:tc>
        <w:tc>
          <w:tcPr>
            <w:tcW w:type="dxa" w:w="2880"/>
          </w:tcPr>
          <w:p>
            <w:r>
              <w:t>2026-11-22</w:t>
            </w:r>
          </w:p>
        </w:tc>
      </w:tr>
      <w:tr>
        <w:tc>
          <w:tcPr>
            <w:tcW w:type="dxa" w:w="2880"/>
          </w:tcPr>
          <w:p>
            <w:r>
              <w:t>H6</w:t>
            </w:r>
          </w:p>
        </w:tc>
        <w:tc>
          <w:tcPr>
            <w:tcW w:type="dxa" w:w="2880"/>
          </w:tcPr>
          <w:p>
            <w:r>
              <w:t>Reporte integrador y entrega de expediente documental</w:t>
            </w:r>
          </w:p>
        </w:tc>
        <w:tc>
          <w:tcPr>
            <w:tcW w:type="dxa" w:w="2880"/>
          </w:tcPr>
          <w:p>
            <w:r>
              <w:t>2026-12-06</w:t>
            </w:r>
          </w:p>
        </w:tc>
      </w:tr>
    </w:tbl>
    <w:p/>
    <w:p>
      <w:r>
        <w:br w:type="page"/>
      </w:r>
    </w:p>
    <w:p>
      <w:pPr>
        <w:pStyle w:val="Heading1"/>
      </w:pPr>
      <w:r>
        <w:t>7. Supuestos, Restricciones, Dependencias e Impactos</w:t>
      </w:r>
    </w:p>
    <w:p>
      <w:pPr>
        <w:pStyle w:val="Heading2"/>
      </w:pPr>
      <w:r>
        <w:t>7.1 Supuestos</w:t>
      </w:r>
    </w:p>
    <w:p>
      <w:pPr>
        <w:pStyle w:val="ListNumber"/>
      </w:pPr>
      <w:r>
        <w:t>El equipo docente entrega el riel lineal, el LiDAR, el módulo de E/S Ethernet, el balero de rodillos cruzados y el motorreductor en tiempo para la fase de fabricación.</w:t>
      </w:r>
    </w:p>
    <w:p>
      <w:pPr>
        <w:pStyle w:val="ListNumber"/>
      </w:pPr>
      <w:r>
        <w:t>Cada integrante dedica al menos 12 h/semana al proyecto.</w:t>
      </w:r>
    </w:p>
    <w:p>
      <w:pPr>
        <w:pStyle w:val="ListNumber"/>
      </w:pPr>
      <w:r>
        <w:t>El CNC Haas cuenta con la opción de red habilitada y el agente MTConnect operativo.</w:t>
      </w:r>
    </w:p>
    <w:p>
      <w:pPr>
        <w:pStyle w:val="ListNumber"/>
      </w:pPr>
      <w:r>
        <w:t>El área de la celda dispone de piso plano y continuo, apto para tracción omnidireccional.</w:t>
      </w:r>
    </w:p>
    <w:p>
      <w:pPr>
        <w:pStyle w:val="ListNumber"/>
      </w:pPr>
      <w:r>
        <w:t>Los precios del catálogo se mantienen dentro de un margen del 15 % al momento de cotizar.</w:t>
      </w:r>
    </w:p>
    <w:p>
      <w:pPr>
        <w:pStyle w:val="Heading2"/>
      </w:pPr>
      <w:r>
        <w:t>7.2 Restricciones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Restricción</w:t>
            </w:r>
          </w:p>
        </w:tc>
      </w:tr>
      <w:tr>
        <w:tc>
          <w:tcPr>
            <w:tcW w:type="dxa" w:w="4320"/>
          </w:tcPr>
          <w:p>
            <w:r>
              <w:t>Tiempo</w:t>
            </w:r>
          </w:p>
        </w:tc>
        <w:tc>
          <w:tcPr>
            <w:tcW w:type="dxa" w:w="4320"/>
          </w:tcPr>
          <w:p>
            <w:r>
              <w:t>16 semanas improrrogables; el calendario académico no admite extensión</w:t>
            </w:r>
          </w:p>
        </w:tc>
      </w:tr>
      <w:tr>
        <w:tc>
          <w:tcPr>
            <w:tcW w:type="dxa" w:w="4320"/>
          </w:tcPr>
          <w:p>
            <w:r>
              <w:t>Presupuesto</w:t>
            </w:r>
          </w:p>
        </w:tc>
        <w:tc>
          <w:tcPr>
            <w:tcW w:type="dxa" w:w="4320"/>
          </w:tcPr>
          <w:p>
            <w:r>
              <w:t>Limitado a lo aportado por el equipo docente más lo autorizado por el Socio Formador</w:t>
            </w:r>
          </w:p>
        </w:tc>
      </w:tr>
      <w:tr>
        <w:tc>
          <w:tcPr>
            <w:tcW w:type="dxa" w:w="4320"/>
          </w:tcPr>
          <w:p>
            <w:r>
              <w:t>Técnica</w:t>
            </w:r>
          </w:p>
        </w:tc>
        <w:tc>
          <w:tcPr>
            <w:tcW w:type="dxa" w:w="4320"/>
          </w:tcPr>
          <w:p>
            <w:r>
              <w:t xml:space="preserve">El NXP S32K312 </w:t>
            </w:r>
            <w:r>
              <w:rPr>
                <w:b/>
              </w:rPr>
              <w:t>no puede ejecutar ROS 2</w:t>
            </w:r>
            <w:r>
              <w:t>; se requiere una SBC con Linux como cómputo supervisor</w:t>
            </w:r>
          </w:p>
        </w:tc>
      </w:tr>
      <w:tr>
        <w:tc>
          <w:tcPr>
            <w:tcW w:type="dxa" w:w="4320"/>
          </w:tcPr>
          <w:p>
            <w:r>
              <w:t>Acceso</w:t>
            </w:r>
          </w:p>
        </w:tc>
        <w:tc>
          <w:tcPr>
            <w:tcW w:type="dxa" w:w="4320"/>
          </w:tcPr>
          <w:p>
            <w:r>
              <w:t>La disponibilidad del CNC Haas depende de la programación del laboratorio y no es controlada por el equipo</w:t>
            </w:r>
          </w:p>
        </w:tc>
      </w:tr>
      <w:tr>
        <w:tc>
          <w:tcPr>
            <w:tcW w:type="dxa" w:w="4320"/>
          </w:tcPr>
          <w:p>
            <w:r>
              <w:t>Normativa</w:t>
            </w:r>
          </w:p>
        </w:tc>
        <w:tc>
          <w:tcPr>
            <w:tcW w:type="dxa" w:w="4320"/>
          </w:tcPr>
          <w:p>
            <w:r>
              <w:t xml:space="preserve">La operación con personas en proximidad debe cumplir la normativa de seguridad aplicable ⬜ </w:t>
            </w:r>
            <w:r>
              <w:rPr>
                <w:i/>
              </w:rPr>
              <w:t>por confirmar cuál</w:t>
            </w:r>
          </w:p>
        </w:tc>
      </w:tr>
    </w:tbl>
    <w:p/>
    <w:p>
      <w:pPr>
        <w:pStyle w:val="Heading2"/>
      </w:pPr>
      <w:r>
        <w:t>7.3 Dependencias</w:t>
      </w:r>
    </w:p>
    <w:p>
      <w:pPr>
        <w:pStyle w:val="ListBullet"/>
      </w:pPr>
      <w:r>
        <w:t>La fabricación del chasis depende de la recepción del perfil de aluminio y de las ruedas mecanum.</w:t>
      </w:r>
    </w:p>
    <w:p>
      <w:pPr>
        <w:pStyle w:val="ListBullet"/>
      </w:pPr>
      <w:r>
        <w:t>La navegación autónoma depende de la recepción del cómputo supervisor y del LiDAR.</w:t>
      </w:r>
    </w:p>
    <w:p>
      <w:pPr>
        <w:pStyle w:val="ListBullet"/>
      </w:pPr>
      <w:r>
        <w:t>La integración de la celda depende del acceso al CNC Haas y de la disponibilidad de la interfaz de códigos M.</w:t>
      </w:r>
    </w:p>
    <w:p>
      <w:pPr>
        <w:pStyle w:val="ListBullet"/>
      </w:pPr>
      <w:r>
        <w:t xml:space="preserve">El diseño del fixture y del gripper depende de conocer la </w:t>
      </w:r>
      <w:r>
        <w:rPr>
          <w:b/>
        </w:rPr>
        <w:t>pieza real</w:t>
      </w:r>
      <w:r>
        <w:t xml:space="preserve"> a maquinar. ⬜ </w:t>
      </w:r>
      <w:r>
        <w:rPr>
          <w:i/>
        </w:rPr>
        <w:t>por confirmar</w:t>
      </w:r>
    </w:p>
    <w:p>
      <w:pPr>
        <w:pStyle w:val="Heading2"/>
      </w:pPr>
      <w:r>
        <w:t>7.4 Riesgos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Respuesta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La batería LiFePO4 se detiene en aduana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Comprar a distribuidor nacional; alternativa: banco de LiPo con BMS propio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El cómputo supervisor no llega a tiempo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Emitir la orden antes del 29-sep; desarrollar navegación en simulación mientras llega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 acceso al CNC Haas en noviembre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Reservar la ventana de máquina de inmediato; contingencia: agente MTConnect simulado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 CNC no cuenta con tarjeta de interfaz de códigos M</w:t>
            </w:r>
          </w:p>
        </w:tc>
        <w:tc>
          <w:tcPr>
            <w:tcW w:type="dxa" w:w="1728"/>
          </w:tcPr>
          <w:p>
            <w:r>
              <w:t>⬜ por confirmar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Sin ella no existe el enlace discreto; la coordinación se degrada a sondeo por MTConnect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Fabricar un brazo propio consume el semestre completo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Evitar:</w:t>
            </w:r>
            <w:r>
              <w:t xml:space="preserve"> decidir cobot comercial vs. propio con el Socio Formador de inmediato</w:t>
            </w:r>
          </w:p>
        </w:tc>
      </w:tr>
      <w:tr>
        <w:tc>
          <w:tcPr>
            <w:tcW w:type="dxa" w:w="1728"/>
          </w:tcPr>
          <w:p>
            <w:r>
              <w:t>R6</w:t>
            </w:r>
          </w:p>
        </w:tc>
        <w:tc>
          <w:tcPr>
            <w:tcW w:type="dxa" w:w="1728"/>
          </w:tcPr>
          <w:p>
            <w:r>
              <w:t>El S32K312 no sostiene el lazo de los cuatro motores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Validar la frecuencia de lazo en fase temprana; contingencia: segundo MCU dedicado</w:t>
            </w:r>
          </w:p>
        </w:tc>
      </w:tr>
      <w:tr>
        <w:tc>
          <w:tcPr>
            <w:tcW w:type="dxa" w:w="1728"/>
          </w:tcPr>
          <w:p>
            <w:r>
              <w:t>R7</w:t>
            </w:r>
          </w:p>
        </w:tc>
        <w:tc>
          <w:tcPr>
            <w:tcW w:type="dxa" w:w="1728"/>
          </w:tcPr>
          <w:p>
            <w:r>
              <w:t>Carga desigual entre integrantes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Matriz RACI explícita y revisión semanal en el tablero</w:t>
            </w:r>
          </w:p>
        </w:tc>
      </w:tr>
    </w:tbl>
    <w:p/>
    <w:p>
      <w:r>
        <w:br w:type="page"/>
      </w:r>
    </w:p>
    <w:p>
      <w:pPr>
        <w:pStyle w:val="Heading1"/>
      </w:pPr>
      <w:r>
        <w:t>8. Autorización</w:t>
      </w:r>
    </w:p>
    <w:p>
      <w:r>
        <w:t>Los abajo firmantes coinciden en que este es un proyecto viable y autorizan el</w:t>
      </w:r>
    </w:p>
    <w:p>
      <w:r>
        <w:t>inicio de la etapa de planeación detallada.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Director de proyecto</w:t>
            </w:r>
          </w:p>
        </w:tc>
        <w:tc>
          <w:tcPr>
            <w:tcW w:type="dxa" w:w="2160"/>
          </w:tcPr>
          <w:p>
            <w:r>
              <w:t>Rodrigo Herrera Baños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Socio Formador</w:t>
            </w:r>
          </w:p>
        </w:tc>
        <w:tc>
          <w:tcPr>
            <w:tcW w:type="dxa" w:w="2160"/>
          </w:tcPr>
          <w:p>
            <w:r>
              <w:t xml:space="preserve">⬜ </w:t>
            </w:r>
            <w:r>
              <w:rPr>
                <w:i/>
              </w:rPr>
              <w:t>por confirmar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Profesor titular del Reto</w:t>
            </w:r>
          </w:p>
        </w:tc>
        <w:tc>
          <w:tcPr>
            <w:tcW w:type="dxa" w:w="2160"/>
          </w:tcPr>
          <w:p>
            <w:r>
              <w:t>Oscar Carbajal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Profesor de Administración de Proyectos</w:t>
            </w:r>
          </w:p>
        </w:tc>
        <w:tc>
          <w:tcPr>
            <w:tcW w:type="dxa" w:w="2160"/>
          </w:tcPr>
          <w:p>
            <w:r>
              <w:t>Dani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br w:type="page"/>
      </w:r>
    </w:p>
    <w:p>
      <w:pPr>
        <w:pStyle w:val="Heading2"/>
      </w:pPr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Cambio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2026-09-04</w:t>
            </w:r>
          </w:p>
        </w:tc>
        <w:tc>
          <w:tcPr>
            <w:tcW w:type="dxa" w:w="2880"/>
          </w:tcPr>
          <w:p>
            <w:r>
              <w:t>Emisión inicial para la Actividad 5 del Módulo 3</w:t>
            </w:r>
          </w:p>
        </w:tc>
      </w:tr>
    </w:tbl>
    <w:p/>
    <w:p>
      <w:r>
        <w:rPr>
          <w:b/>
        </w:rPr>
        <w:t>Documentos relacionados</w:t>
      </w:r>
    </w:p>
    <w:p>
      <w:r>
        <w:rPr>
          <w:rFonts w:ascii="Consolas" w:hAnsi="Consolas"/>
          <w:sz w:val="19"/>
        </w:rPr>
        <w:t>pmi-plan-direccion-proyecto.md</w:t>
      </w:r>
      <w:r>
        <w:t xml:space="preserve"> · </w:t>
      </w:r>
      <w:r>
        <w:rPr>
          <w:rFonts w:ascii="Consolas" w:hAnsi="Consolas"/>
          <w:sz w:val="19"/>
        </w:rPr>
        <w:t>plan-de-trabajo.md</w:t>
      </w:r>
      <w:r>
        <w:t xml:space="preserve"> · </w:t>
      </w:r>
      <w:r>
        <w:rPr>
          <w:rFonts w:ascii="Consolas" w:hAnsi="Consolas"/>
          <w:sz w:val="19"/>
        </w:rPr>
        <w:t>preguntas-socio-formador.md</w:t>
      </w:r>
      <w:r>
        <w:t xml:space="preserve"> · </w:t>
      </w:r>
      <w:r>
        <w:rPr>
          <w:rFonts w:ascii="Consolas" w:hAnsi="Consolas"/>
          <w:sz w:val="19"/>
        </w:rPr>
        <w:t>02-proveeduria/catalogo-materiales.csv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