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Carta Proyecto</w:t>
      </w:r>
    </w:p>
    <w:p>
      <w:pPr>
        <w:pStyle w:val="Heading2"/>
      </w:pPr>
      <w:r>
        <w:t>Sistema de Automatización para Talleres de CNC</w:t>
      </w:r>
    </w:p>
    <w:p>
      <w:r>
        <w:rPr>
          <w:b/>
        </w:rPr>
        <w:t>Documento:</w:t>
      </w:r>
      <w:r>
        <w:t xml:space="preserve"> Acta de Constitución del Proyecto (Project Charter) · PMBOK 7ª edición</w:t>
      </w:r>
    </w:p>
    <w:p>
      <w:r>
        <w:rPr>
          <w:b/>
        </w:rPr>
        <w:t>Versión:</w:t>
      </w:r>
      <w:r>
        <w:t xml:space="preserve"> 2.0 · </w:t>
      </w:r>
      <w:r>
        <w:rPr>
          <w:b/>
        </w:rPr>
        <w:t>Fecha de emisión:</w:t>
      </w:r>
      <w:r>
        <w:t xml:space="preserve"> 2026-09-04</w:t>
      </w:r>
    </w:p>
    <w:p>
      <w:r>
        <w:rPr>
          <w:b/>
        </w:rPr>
        <w:t>Curso:</w:t>
      </w:r>
      <w:r>
        <w:t xml:space="preserve"> MR3005C.601 — Sistemas Ciber-Físicos · Módulo 3, Administración de Proyectos</w:t>
      </w:r>
    </w:p>
    <w:p>
      <w:r>
        <w:rPr>
          <w:b/>
        </w:rPr>
        <w:t>Institución:</w:t>
      </w:r>
      <w:r>
        <w:t xml:space="preserve"> Tecnológico de Monterrey, Campus Guadalajara</w:t>
      </w:r>
    </w:p>
    <w:p>
      <w:pPr>
        <w:ind w:left="360"/>
      </w:pPr>
      <w:r>
        <w:rPr>
          <w:i/>
          <w:color w:val="444A52"/>
        </w:rPr>
        <w:t xml:space="preserve">⬜ </w:t>
      </w:r>
      <w:r>
        <w:rPr>
          <w:b/>
          <w:i/>
          <w:color w:val="444A52"/>
        </w:rPr>
        <w:t>Campos por confirmar con el Socio Formador.</w:t>
      </w:r>
      <w:r>
        <w:rPr>
          <w:i/>
          <w:color w:val="444A52"/>
        </w:rPr>
        <w:t xml:space="preserve"> Los recuadros marcados así</w:t>
      </w:r>
    </w:p>
    <w:p>
      <w:pPr>
        <w:ind w:left="360"/>
      </w:pPr>
      <w:r>
        <w:rPr>
          <w:i/>
          <w:color w:val="444A52"/>
        </w:rPr>
        <w:t>requieren el dato directo del socio y no deben inventarse. Guion de la reunión</w:t>
      </w:r>
    </w:p>
    <w:p>
      <w:pPr>
        <w:ind w:left="360"/>
      </w:pPr>
      <w:r>
        <w:rPr>
          <w:i/>
          <w:color w:val="444A52"/>
        </w:rPr>
        <w:t xml:space="preserve">en </w:t>
      </w:r>
      <w:r>
        <w:rPr>
          <w:rFonts w:ascii="Consolas" w:hAnsi="Consolas"/>
          <w:i/>
          <w:color w:val="444A52"/>
          <w:sz w:val="19"/>
        </w:rPr>
        <w:t>preguntas-socio-formador.md</w:t>
      </w:r>
      <w:r>
        <w:rPr>
          <w:i/>
          <w:color w:val="444A52"/>
        </w:rPr>
        <w:t>.</w:t>
      </w:r>
    </w:p>
    <w:p>
      <w:r>
        <w:br w:type="page"/>
      </w:r>
    </w:p>
    <w:p>
      <w:pPr>
        <w:pStyle w:val="Heading1"/>
      </w:pPr>
      <w:r>
        <w:t>1. Participantes del Proyecto</w:t>
      </w:r>
    </w:p>
    <w:p>
      <w:pPr>
        <w:pStyle w:val="Heading2"/>
      </w:pPr>
      <w:r>
        <w:t>1.1 Patrocinador / Socio Formador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Dato</w:t>
            </w:r>
          </w:p>
        </w:tc>
      </w:tr>
      <w:tr>
        <w:tc>
          <w:tcPr>
            <w:tcW w:type="dxa" w:w="4320"/>
          </w:tcPr>
          <w:p>
            <w:r>
              <w:t>Organización</w:t>
            </w:r>
          </w:p>
        </w:tc>
        <w:tc>
          <w:tcPr>
            <w:tcW w:type="dxa" w:w="4320"/>
          </w:tcPr>
          <w:p>
            <w:r>
              <w:t xml:space="preserve">⬜ </w:t>
            </w:r>
            <w:r>
              <w:rPr>
                <w:i/>
              </w:rPr>
              <w:t>por confirmar</w:t>
            </w:r>
          </w:p>
        </w:tc>
      </w:tr>
      <w:tr>
        <w:tc>
          <w:tcPr>
            <w:tcW w:type="dxa" w:w="4320"/>
          </w:tcPr>
          <w:p>
            <w:r>
              <w:t>Representante</w:t>
            </w:r>
          </w:p>
        </w:tc>
        <w:tc>
          <w:tcPr>
            <w:tcW w:type="dxa" w:w="4320"/>
          </w:tcPr>
          <w:p>
            <w:r>
              <w:t xml:space="preserve">⬜ </w:t>
            </w:r>
            <w:r>
              <w:rPr>
                <w:i/>
              </w:rPr>
              <w:t>por confirmar</w:t>
            </w:r>
          </w:p>
        </w:tc>
      </w:tr>
      <w:tr>
        <w:tc>
          <w:tcPr>
            <w:tcW w:type="dxa" w:w="4320"/>
          </w:tcPr>
          <w:p>
            <w:r>
              <w:t>Cargo</w:t>
            </w:r>
          </w:p>
        </w:tc>
        <w:tc>
          <w:tcPr>
            <w:tcW w:type="dxa" w:w="4320"/>
          </w:tcPr>
          <w:p>
            <w:r>
              <w:t xml:space="preserve">⬜ </w:t>
            </w:r>
            <w:r>
              <w:rPr>
                <w:i/>
              </w:rPr>
              <w:t>por confirmar</w:t>
            </w:r>
          </w:p>
        </w:tc>
      </w:tr>
      <w:tr>
        <w:tc>
          <w:tcPr>
            <w:tcW w:type="dxa" w:w="4320"/>
          </w:tcPr>
          <w:p>
            <w:r>
              <w:t>Correo / teléfono</w:t>
            </w:r>
          </w:p>
        </w:tc>
        <w:tc>
          <w:tcPr>
            <w:tcW w:type="dxa" w:w="4320"/>
          </w:tcPr>
          <w:p>
            <w:r>
              <w:t xml:space="preserve">⬜ </w:t>
            </w:r>
            <w:r>
              <w:rPr>
                <w:i/>
              </w:rPr>
              <w:t>por confirmar</w:t>
            </w:r>
          </w:p>
        </w:tc>
      </w:tr>
      <w:tr>
        <w:tc>
          <w:tcPr>
            <w:tcW w:type="dxa" w:w="4320"/>
          </w:tcPr>
          <w:p>
            <w:r>
              <w:t>Rol</w:t>
            </w:r>
          </w:p>
        </w:tc>
        <w:tc>
          <w:tcPr>
            <w:tcW w:type="dxa" w:w="4320"/>
          </w:tcPr>
          <w:p>
            <w:r>
              <w:t xml:space="preserve">Define los requisitos industriales, facilita el acceso al taller y a la máquina CNC, y </w:t>
            </w:r>
            <w:r>
              <w:rPr>
                <w:b/>
              </w:rPr>
              <w:t>evalúa la Evidencia 2 — Exposición Demostrativa</w:t>
            </w:r>
          </w:p>
        </w:tc>
      </w:tr>
    </w:tbl>
    <w:p/>
    <w:p>
      <w:pPr>
        <w:pStyle w:val="Heading2"/>
      </w:pPr>
      <w:r>
        <w:t>1.2 Cliente</w:t>
      </w:r>
    </w:p>
    <w:p>
      <w:r>
        <w:t>Talleres de manufactura con máquinas CNC que hoy dependen de un operador para la</w:t>
      </w:r>
    </w:p>
    <w:p>
      <w:r>
        <w:t>carga y descarga de piezas, y para los que las soluciones comerciales de</w:t>
      </w:r>
    </w:p>
    <w:p>
      <w:r>
        <w:t>automatización resultan económicamente inaccesibles.</w:t>
      </w:r>
    </w:p>
    <w:p>
      <w:pPr>
        <w:pStyle w:val="Heading2"/>
      </w:pPr>
      <w:r>
        <w:t>1.3 Interesados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Interesado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Interés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Influencia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Estrategia de gestión</w:t>
            </w:r>
          </w:p>
        </w:tc>
      </w:tr>
      <w:tr>
        <w:tc>
          <w:tcPr>
            <w:tcW w:type="dxa" w:w="2160"/>
          </w:tcPr>
          <w:p>
            <w:r>
              <w:t>Socio Formador</w:t>
            </w:r>
          </w:p>
        </w:tc>
        <w:tc>
          <w:tcPr>
            <w:tcW w:type="dxa" w:w="2160"/>
          </w:tcPr>
          <w:p>
            <w:r>
              <w:t>Solución transferible y de bajo costo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Gestionar de cerca; entregables con criterio industrial, no escolar</w:t>
            </w:r>
          </w:p>
        </w:tc>
      </w:tr>
      <w:tr>
        <w:tc>
          <w:tcPr>
            <w:tcW w:type="dxa" w:w="2160"/>
          </w:tcPr>
          <w:p>
            <w:r>
              <w:t>Equipo docente (Oscar Carbajal, Abdiel)</w:t>
            </w:r>
          </w:p>
        </w:tc>
        <w:tc>
          <w:tcPr>
            <w:tcW w:type="dxa" w:w="2160"/>
          </w:tcPr>
          <w:p>
            <w:r>
              <w:t>Aprendizaje demostrable y trazabilidad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Reporte por evidencia; consulta ante cambios de alcance</w:t>
            </w:r>
          </w:p>
        </w:tc>
      </w:tr>
      <w:tr>
        <w:tc>
          <w:tcPr>
            <w:tcW w:type="dxa" w:w="2160"/>
          </w:tcPr>
          <w:p>
            <w:r>
              <w:t>Profesor de Administración de Proyectos (Dani)</w:t>
            </w:r>
          </w:p>
        </w:tc>
        <w:tc>
          <w:tcPr>
            <w:tcW w:type="dxa" w:w="2160"/>
          </w:tcPr>
          <w:p>
            <w:r>
              <w:t>Aplicación correcta del estándar PMBOK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El Reto se usa como caso de estudio en cada entrega del módulo</w:t>
            </w:r>
          </w:p>
        </w:tc>
      </w:tr>
      <w:tr>
        <w:tc>
          <w:tcPr>
            <w:tcW w:type="dxa" w:w="2160"/>
          </w:tcPr>
          <w:p>
            <w:r>
              <w:t>Laboratorio de manufactura</w:t>
            </w:r>
          </w:p>
        </w:tc>
        <w:tc>
          <w:tcPr>
            <w:tcW w:type="dxa" w:w="2160"/>
          </w:tcPr>
          <w:p>
            <w:r>
              <w:t>Uso seguro de la máquina y del espacio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Reserva anticipada de ventanas; cumplimiento de protocolos</w:t>
            </w:r>
          </w:p>
        </w:tc>
      </w:tr>
      <w:tr>
        <w:tc>
          <w:tcPr>
            <w:tcW w:type="dxa" w:w="2160"/>
          </w:tcPr>
          <w:p>
            <w:r>
              <w:t>Equipo del proyecto</w:t>
            </w:r>
          </w:p>
        </w:tc>
        <w:tc>
          <w:tcPr>
            <w:tcW w:type="dxa" w:w="2160"/>
          </w:tcPr>
          <w:p>
            <w:r>
              <w:t>Carga equilibrada, aprendizaje, acreditación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Matriz RACI explícita y tablero Kanban público</w:t>
            </w:r>
          </w:p>
        </w:tc>
      </w:tr>
    </w:tbl>
    <w:p/>
    <w:p>
      <w:pPr>
        <w:pStyle w:val="Heading2"/>
      </w:pPr>
      <w:r>
        <w:t>1.4 Proveedores y contratistas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Proveedor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Suministro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2880"/>
          </w:tcPr>
          <w:p>
            <w:r>
              <w:t>NXP</w:t>
            </w:r>
          </w:p>
        </w:tc>
        <w:tc>
          <w:tcPr>
            <w:tcW w:type="dxa" w:w="2880"/>
          </w:tcPr>
          <w:p>
            <w:r>
              <w:t>Microcontroladores S32K312 y kits FRDM-S32K344</w:t>
            </w:r>
          </w:p>
        </w:tc>
        <w:tc>
          <w:tcPr>
            <w:tcW w:type="dxa" w:w="2880"/>
          </w:tcPr>
          <w:p>
            <w:r>
              <w:t>OC-2026-003 emitida</w:t>
            </w:r>
          </w:p>
        </w:tc>
      </w:tr>
      <w:tr>
        <w:tc>
          <w:tcPr>
            <w:tcW w:type="dxa" w:w="2880"/>
          </w:tcPr>
          <w:p>
            <w:r>
              <w:t>Equipo docente</w:t>
            </w:r>
          </w:p>
        </w:tc>
        <w:tc>
          <w:tcPr>
            <w:tcW w:type="dxa" w:w="2880"/>
          </w:tcPr>
          <w:p>
            <w:r>
              <w:t>Riel lineal, LiDAR, módulo E/S Ethernet, balero de rodillos cruzados, motorreductor</w:t>
            </w:r>
          </w:p>
        </w:tc>
        <w:tc>
          <w:tcPr>
            <w:tcW w:type="dxa" w:w="2880"/>
          </w:tcPr>
          <w:p>
            <w:r>
              <w:t>Préstamo o donación comprometida</w:t>
            </w:r>
          </w:p>
        </w:tc>
      </w:tr>
      <w:tr>
        <w:tc>
          <w:tcPr>
            <w:tcW w:type="dxa" w:w="2880"/>
          </w:tcPr>
          <w:p>
            <w:r>
              <w:t xml:space="preserve">⬜ </w:t>
            </w:r>
            <w:r>
              <w:rPr>
                <w:i/>
              </w:rPr>
              <w:t>por definir</w:t>
            </w:r>
          </w:p>
        </w:tc>
        <w:tc>
          <w:tcPr>
            <w:tcW w:type="dxa" w:w="2880"/>
          </w:tcPr>
          <w:p>
            <w:r>
              <w:t>Batería LiFePO4 24 V 20 Ah</w:t>
            </w:r>
          </w:p>
        </w:tc>
        <w:tc>
          <w:tcPr>
            <w:tcW w:type="dxa" w:w="2880"/>
          </w:tcPr>
          <w:p>
            <w:r>
              <w:t xml:space="preserve">Por cotizar · </w:t>
            </w:r>
            <w:r>
              <w:rPr>
                <w:b/>
              </w:rPr>
              <w:t>lead 5 semanas</w:t>
            </w:r>
          </w:p>
        </w:tc>
      </w:tr>
      <w:tr>
        <w:tc>
          <w:tcPr>
            <w:tcW w:type="dxa" w:w="2880"/>
          </w:tcPr>
          <w:p>
            <w:r>
              <w:t xml:space="preserve">⬜ </w:t>
            </w:r>
            <w:r>
              <w:rPr>
                <w:i/>
              </w:rPr>
              <w:t>por definir</w:t>
            </w:r>
          </w:p>
        </w:tc>
        <w:tc>
          <w:tcPr>
            <w:tcW w:type="dxa" w:w="2880"/>
          </w:tcPr>
          <w:p>
            <w:r>
              <w:t>Cómputo supervisor clase Jetson Orin Nano</w:t>
            </w:r>
          </w:p>
        </w:tc>
        <w:tc>
          <w:tcPr>
            <w:tcW w:type="dxa" w:w="2880"/>
          </w:tcPr>
          <w:p>
            <w:r>
              <w:t xml:space="preserve">Por cotizar · </w:t>
            </w:r>
            <w:r>
              <w:rPr>
                <w:b/>
              </w:rPr>
              <w:t>lead 5 semanas</w:t>
            </w:r>
          </w:p>
        </w:tc>
      </w:tr>
      <w:tr>
        <w:tc>
          <w:tcPr>
            <w:tcW w:type="dxa" w:w="2880"/>
          </w:tcPr>
          <w:p>
            <w:r>
              <w:t xml:space="preserve">⬜ </w:t>
            </w:r>
            <w:r>
              <w:rPr>
                <w:i/>
              </w:rPr>
              <w:t>por definir</w:t>
            </w:r>
          </w:p>
        </w:tc>
        <w:tc>
          <w:tcPr>
            <w:tcW w:type="dxa" w:w="2880"/>
          </w:tcPr>
          <w:p>
            <w:r>
              <w:t>Cobot industrial para el riel lineal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Disponibilidad y modelo por confirmar</w:t>
            </w:r>
          </w:p>
        </w:tc>
      </w:tr>
      <w:tr>
        <w:tc>
          <w:tcPr>
            <w:tcW w:type="dxa" w:w="2880"/>
          </w:tcPr>
          <w:p>
            <w:r>
              <w:t>Fabricación interna</w:t>
            </w:r>
          </w:p>
        </w:tc>
        <w:tc>
          <w:tcPr>
            <w:tcW w:type="dxa" w:w="2880"/>
          </w:tcPr>
          <w:p>
            <w:r>
              <w:t>Chasis del AGV, manipulador de 4 GDL, estación de entrega, fixture y pallet</w:t>
            </w:r>
          </w:p>
        </w:tc>
        <w:tc>
          <w:tcPr>
            <w:tcW w:type="dxa" w:w="2880"/>
          </w:tcPr>
          <w:p>
            <w:r>
              <w:t>Por diseñar</w:t>
            </w:r>
          </w:p>
        </w:tc>
      </w:tr>
    </w:tbl>
    <w:p/>
    <w:p>
      <w:r>
        <w:br w:type="page"/>
      </w:r>
    </w:p>
    <w:p>
      <w:pPr>
        <w:pStyle w:val="Heading1"/>
      </w:pPr>
      <w:r>
        <w:t>2. Equipo del Proyecto y Director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Responsabilidad principal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Director de proyecto</w:t>
            </w:r>
          </w:p>
        </w:tc>
        <w:tc>
          <w:tcPr>
            <w:tcW w:type="dxa" w:w="2880"/>
          </w:tcPr>
          <w:p>
            <w:r>
              <w:t>Rodrigo Herrera Baños (A01738608)</w:t>
            </w:r>
          </w:p>
        </w:tc>
        <w:tc>
          <w:tcPr>
            <w:tcW w:type="dxa" w:w="2880"/>
          </w:tcPr>
          <w:p>
            <w:r>
              <w:t>Planeación, control de alcance, emisión de PO, integración y comunicación con interesados</w:t>
            </w:r>
          </w:p>
        </w:tc>
      </w:tr>
      <w:tr>
        <w:tc>
          <w:tcPr>
            <w:tcW w:type="dxa" w:w="2880"/>
          </w:tcPr>
          <w:p>
            <w:r>
              <w:t>Integrante</w:t>
            </w:r>
          </w:p>
        </w:tc>
        <w:tc>
          <w:tcPr>
            <w:tcW w:type="dxa" w:w="2880"/>
          </w:tcPr>
          <w:p>
            <w:r>
              <w:t>Osmar</w:t>
            </w:r>
          </w:p>
        </w:tc>
        <w:tc>
          <w:tcPr>
            <w:tcW w:type="dxa" w:w="2880"/>
          </w:tcPr>
          <w:p>
            <w:r>
              <w:t xml:space="preserve">⬜ </w:t>
            </w:r>
            <w:r>
              <w:rPr>
                <w:i/>
              </w:rPr>
              <w:t>paquete de trabajo por confirmar</w:t>
            </w:r>
          </w:p>
        </w:tc>
      </w:tr>
      <w:tr>
        <w:tc>
          <w:tcPr>
            <w:tcW w:type="dxa" w:w="2880"/>
          </w:tcPr>
          <w:p>
            <w:r>
              <w:t>Integrante</w:t>
            </w:r>
          </w:p>
        </w:tc>
        <w:tc>
          <w:tcPr>
            <w:tcW w:type="dxa" w:w="2880"/>
          </w:tcPr>
          <w:p>
            <w:r>
              <w:t>Samuel</w:t>
            </w:r>
          </w:p>
        </w:tc>
        <w:tc>
          <w:tcPr>
            <w:tcW w:type="dxa" w:w="2880"/>
          </w:tcPr>
          <w:p>
            <w:r>
              <w:t xml:space="preserve">⬜ </w:t>
            </w:r>
            <w:r>
              <w:rPr>
                <w:i/>
              </w:rPr>
              <w:t>paquete de trabajo por confirmar</w:t>
            </w:r>
          </w:p>
        </w:tc>
      </w:tr>
      <w:tr>
        <w:tc>
          <w:tcPr>
            <w:tcW w:type="dxa" w:w="2880"/>
          </w:tcPr>
          <w:p>
            <w:r>
              <w:t>Integrante</w:t>
            </w:r>
          </w:p>
        </w:tc>
        <w:tc>
          <w:tcPr>
            <w:tcW w:type="dxa" w:w="2880"/>
          </w:tcPr>
          <w:p>
            <w:r>
              <w:t>Giovanni</w:t>
            </w:r>
          </w:p>
        </w:tc>
        <w:tc>
          <w:tcPr>
            <w:tcW w:type="dxa" w:w="2880"/>
          </w:tcPr>
          <w:p>
            <w:r>
              <w:t xml:space="preserve">⬜ </w:t>
            </w:r>
            <w:r>
              <w:rPr>
                <w:i/>
              </w:rPr>
              <w:t>paquete de trabajo por confirmar</w:t>
            </w:r>
          </w:p>
        </w:tc>
      </w:tr>
      <w:tr>
        <w:tc>
          <w:tcPr>
            <w:tcW w:type="dxa" w:w="2880"/>
          </w:tcPr>
          <w:p>
            <w:r>
              <w:t>Integrante</w:t>
            </w:r>
          </w:p>
        </w:tc>
        <w:tc>
          <w:tcPr>
            <w:tcW w:type="dxa" w:w="2880"/>
          </w:tcPr>
          <w:p>
            <w:r>
              <w:t>Perla</w:t>
            </w:r>
          </w:p>
        </w:tc>
        <w:tc>
          <w:tcPr>
            <w:tcW w:type="dxa" w:w="2880"/>
          </w:tcPr>
          <w:p>
            <w:r>
              <w:t xml:space="preserve">⬜ </w:t>
            </w:r>
            <w:r>
              <w:rPr>
                <w:i/>
              </w:rPr>
              <w:t>paquete de trabajo por confirmar</w:t>
            </w:r>
          </w:p>
        </w:tc>
      </w:tr>
    </w:tbl>
    <w:p/>
    <w:p>
      <w:r>
        <w:rPr>
          <w:b/>
        </w:rPr>
        <w:t>Dedicación comprometida:</w:t>
      </w:r>
      <w:r>
        <w:t xml:space="preserve"> mínimo 12 h/semana por integrante.</w:t>
      </w:r>
    </w:p>
    <w:p>
      <w:r>
        <w:rPr>
          <w:b/>
        </w:rPr>
        <w:t>Matriz RACI completa:</w:t>
      </w:r>
      <w:r>
        <w:t xml:space="preserve"> </w:t>
      </w:r>
      <w:r>
        <w:rPr>
          <w:rFonts w:ascii="Consolas" w:hAnsi="Consolas"/>
          <w:sz w:val="19"/>
        </w:rPr>
        <w:t>pmi-plan-direccion-proyecto.md</w:t>
      </w:r>
      <w:r>
        <w:t>, sección 7.</w:t>
      </w:r>
    </w:p>
    <w:p>
      <w:r>
        <w:br w:type="page"/>
      </w:r>
    </w:p>
    <w:p>
      <w:pPr>
        <w:pStyle w:val="Heading1"/>
      </w:pPr>
      <w:r>
        <w:t>3. Descripción del Proyecto</w:t>
      </w:r>
    </w:p>
    <w:p>
      <w:pPr>
        <w:pStyle w:val="Heading2"/>
      </w:pPr>
      <w:r>
        <w:t>3.1 Problemática</w:t>
      </w:r>
    </w:p>
    <w:p>
      <w:r>
        <w:t>En los talleres de manufactura, la carga y descarga de piezas en máquinas CNC</w:t>
      </w:r>
    </w:p>
    <w:p>
      <w:r>
        <w:t>requiere normalmente la intervención de un operador. Esto genera tiempos</w:t>
      </w:r>
    </w:p>
    <w:p>
      <w:r>
        <w:t>improductivos, aumenta la dependencia del trabajo manual y limita la</w:t>
      </w:r>
    </w:p>
    <w:p>
      <w:r>
        <w:t>automatización del proceso.</w:t>
      </w:r>
    </w:p>
    <w:p>
      <w:r>
        <w:t>Las soluciones comerciales basadas en AGV y robots industriales existen, pero su</w:t>
      </w:r>
    </w:p>
    <w:p>
      <w:r>
        <w:t>costo las vuelve inaccesibles para el taller promedio. **El proyecto ataca ese</w:t>
      </w:r>
    </w:p>
    <w:p>
      <w:r>
        <w:t>hueco:** una celda automatizada de bajo costo capaz de transportar, cargar,</w:t>
      </w:r>
    </w:p>
    <w:p>
      <w:r>
        <w:t>verificar y retirar piezas de una posición determinada.</w:t>
      </w:r>
    </w:p>
    <w:p>
      <w:pPr>
        <w:pStyle w:val="Heading2"/>
      </w:pPr>
      <w:r>
        <w:t>3.2 Objetivo general</w:t>
      </w:r>
    </w:p>
    <w:p>
      <w:r>
        <w:t xml:space="preserve">Diseñar, integrar y validar una </w:t>
      </w:r>
      <w:r>
        <w:rPr>
          <w:b/>
        </w:rPr>
        <w:t>celda ciberfísica de manufactura</w:t>
      </w:r>
      <w:r>
        <w:t xml:space="preserve"> que</w:t>
      </w:r>
    </w:p>
    <w:p>
      <w:r>
        <w:t>automatice el traslado, la manipulación y la inspección de material previamente</w:t>
      </w:r>
    </w:p>
    <w:p>
      <w:r>
        <w:t>cortado, desde el área de preparación hasta una máquina CNC, mediante un **MoMa</w:t>
      </w:r>
    </w:p>
    <w:p>
      <w:r>
        <w:t>con manipulador de 4 grados de libertad</w:t>
      </w:r>
      <w:r>
        <w:rPr>
          <w:b/>
        </w:rPr>
        <w:t xml:space="preserve">, un </w:t>
      </w:r>
      <w:r>
        <w:t>cobot industrial sobre riel</w:t>
      </w:r>
    </w:p>
    <w:p>
      <w:r>
        <w:t>lineal**, sistemas de visión e integración digital.</w:t>
      </w:r>
    </w:p>
    <w:p>
      <w:pPr>
        <w:pStyle w:val="Heading2"/>
      </w:pPr>
      <w:r>
        <w:t>3.3 Objetivos específicos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Criterio de éxito medible</w:t>
            </w:r>
          </w:p>
        </w:tc>
      </w:tr>
      <w:tr>
        <w:tc>
          <w:tcPr>
            <w:tcW w:type="dxa" w:w="2880"/>
          </w:tcPr>
          <w:p>
            <w:r>
              <w:t>OE1</w:t>
            </w:r>
          </w:p>
        </w:tc>
        <w:tc>
          <w:tcPr>
            <w:tcW w:type="dxa" w:w="2880"/>
          </w:tcPr>
          <w:p>
            <w:r>
              <w:t>Diseñar y fabricar un AGV capaz de transportar las piezas dentro del taller o laboratorio</w:t>
            </w:r>
          </w:p>
        </w:tc>
        <w:tc>
          <w:tcPr>
            <w:tcW w:type="dxa" w:w="2880"/>
          </w:tcPr>
          <w:p>
            <w:r>
              <w:t xml:space="preserve">AGV desplazándose con carga nominal ⬜ </w:t>
            </w:r>
            <w:r>
              <w:rPr>
                <w:i/>
              </w:rPr>
              <w:t>kg por definir</w:t>
            </w:r>
          </w:p>
        </w:tc>
      </w:tr>
      <w:tr>
        <w:tc>
          <w:tcPr>
            <w:tcW w:type="dxa" w:w="2880"/>
          </w:tcPr>
          <w:p>
            <w:r>
              <w:t>OE2</w:t>
            </w:r>
          </w:p>
        </w:tc>
        <w:tc>
          <w:tcPr>
            <w:tcW w:type="dxa" w:w="2880"/>
          </w:tcPr>
          <w:p>
            <w:r>
              <w:t>Implementar navegación autónoma utilizando LiDAR</w:t>
            </w:r>
          </w:p>
        </w:tc>
        <w:tc>
          <w:tcPr>
            <w:tcW w:type="dxa" w:w="2880"/>
          </w:tcPr>
          <w:p>
            <w:r>
              <w:t>Recorrido completo del trayecto sin intervención del operador</w:t>
            </w:r>
          </w:p>
        </w:tc>
      </w:tr>
      <w:tr>
        <w:tc>
          <w:tcPr>
            <w:tcW w:type="dxa" w:w="2880"/>
          </w:tcPr>
          <w:p>
            <w:r>
              <w:t>OE3</w:t>
            </w:r>
          </w:p>
        </w:tc>
        <w:tc>
          <w:tcPr>
            <w:tcW w:type="dxa" w:w="2880"/>
          </w:tcPr>
          <w:p>
            <w:r>
              <w:t>Integrar un manipulador de 4 GDL sobre el chasis del AGV, constituyendo el MoMa</w:t>
            </w:r>
          </w:p>
        </w:tc>
        <w:tc>
          <w:tcPr>
            <w:tcW w:type="dxa" w:w="2880"/>
          </w:tcPr>
          <w:p>
            <w:r>
              <w:t>Ciclo de toma y colocación ejecutado desde la plataforma móvil</w:t>
            </w:r>
          </w:p>
        </w:tc>
      </w:tr>
      <w:tr>
        <w:tc>
          <w:tcPr>
            <w:tcW w:type="dxa" w:w="2880"/>
          </w:tcPr>
          <w:p>
            <w:r>
              <w:t>OE4</w:t>
            </w:r>
          </w:p>
        </w:tc>
        <w:tc>
          <w:tcPr>
            <w:tcW w:type="dxa" w:w="2880"/>
          </w:tcPr>
          <w:p>
            <w:r>
              <w:t>Implementar un sistema de visión que determine si la pieza está correctamente colocada</w:t>
            </w:r>
          </w:p>
        </w:tc>
        <w:tc>
          <w:tcPr>
            <w:tcW w:type="dxa" w:w="2880"/>
          </w:tcPr>
          <w:p>
            <w:r>
              <w:t>Dictamen de aceptación o rechazo emitido antes de autorizar el maquinado</w:t>
            </w:r>
          </w:p>
        </w:tc>
      </w:tr>
      <w:tr>
        <w:tc>
          <w:tcPr>
            <w:tcW w:type="dxa" w:w="2880"/>
          </w:tcPr>
          <w:p>
            <w:r>
              <w:t>OE5</w:t>
            </w:r>
          </w:p>
        </w:tc>
        <w:tc>
          <w:tcPr>
            <w:tcW w:type="dxa" w:w="2880"/>
          </w:tcPr>
          <w:p>
            <w:r>
              <w:t>Validar el funcionamiento completo de la celda</w:t>
            </w:r>
          </w:p>
        </w:tc>
        <w:tc>
          <w:tcPr>
            <w:tcW w:type="dxa" w:w="2880"/>
          </w:tcPr>
          <w:p>
            <w:r>
              <w:t>Pruebas de carga, descarga y validación documentadas y repetibles</w:t>
            </w:r>
          </w:p>
        </w:tc>
      </w:tr>
    </w:tbl>
    <w:p/>
    <w:p>
      <w:pPr>
        <w:pStyle w:val="Heading2"/>
      </w:pPr>
      <w:r>
        <w:t>3.4 Alcance</w:t>
      </w:r>
    </w:p>
    <w:p>
      <w:r>
        <w:rPr>
          <w:b/>
        </w:rPr>
        <w:t>Dentro del alcance</w:t>
      </w:r>
    </w:p>
    <w:p>
      <w:pPr>
        <w:pStyle w:val="ListBullet"/>
      </w:pPr>
      <w:r>
        <w:t xml:space="preserve">Diseño e integración de un </w:t>
      </w:r>
      <w:r>
        <w:rPr>
          <w:b/>
        </w:rPr>
        <w:t>MoMa</w:t>
      </w:r>
      <w:r>
        <w:t>: plataforma móvil con navegación inteligente y manipulador robótico a bordo</w:t>
      </w:r>
    </w:p>
    <w:p>
      <w:pPr>
        <w:pStyle w:val="ListBullet"/>
      </w:pPr>
      <w:r>
        <w:t xml:space="preserve">Diseño e implementación de un </w:t>
      </w:r>
      <w:r>
        <w:rPr>
          <w:b/>
        </w:rPr>
        <w:t>manipulador robótico de 4 GDL</w:t>
      </w:r>
      <w:r>
        <w:t xml:space="preserve"> integrado en la plataforma móvil</w:t>
      </w:r>
    </w:p>
    <w:p>
      <w:pPr>
        <w:pStyle w:val="ListBullet"/>
      </w:pPr>
      <w:r>
        <w:t>Transporte del material desde el área de preparación hasta la zona de la CNC</w:t>
      </w:r>
    </w:p>
    <w:p>
      <w:pPr>
        <w:pStyle w:val="ListBullet"/>
      </w:pPr>
      <w:r>
        <w:t xml:space="preserve">Integración de un </w:t>
      </w:r>
      <w:r>
        <w:rPr>
          <w:b/>
        </w:rPr>
        <w:t>cobot industrial sobre riel lineal</w:t>
      </w:r>
      <w:r>
        <w:t xml:space="preserve"> para transferir piezas entre el MoMa y la CNC</w:t>
      </w:r>
    </w:p>
    <w:p>
      <w:pPr>
        <w:pStyle w:val="ListBullet"/>
      </w:pPr>
      <w:r>
        <w:t>Sistema de visión e instrumentación para inspección, localización o verificación de piezas</w:t>
      </w:r>
    </w:p>
    <w:p>
      <w:pPr>
        <w:pStyle w:val="ListBullet"/>
      </w:pPr>
      <w:r>
        <w:t>Comunicación digital entre los elementos de la celda</w:t>
      </w:r>
    </w:p>
    <w:p>
      <w:pPr>
        <w:pStyle w:val="ListBullet"/>
      </w:pPr>
      <w:r>
        <w:t>Adquisición y procesamiento de datos del sistema</w:t>
      </w:r>
    </w:p>
    <w:p>
      <w:pPr>
        <w:pStyle w:val="ListBullet"/>
      </w:pPr>
      <w:r>
        <w:rPr>
          <w:b/>
        </w:rPr>
        <w:t>Seguridad industrial y ciberseguridad</w:t>
      </w:r>
    </w:p>
    <w:p>
      <w:pPr>
        <w:pStyle w:val="ListBullet"/>
      </w:pPr>
      <w:r>
        <w:t>Documentación de arquitectura, diseño, integración, administración, pruebas y resultados</w:t>
      </w:r>
    </w:p>
    <w:p>
      <w:r>
        <w:rPr>
          <w:b/>
        </w:rPr>
        <w:t>Fuera del alcance</w:t>
      </w:r>
    </w:p>
    <w:p>
      <w:pPr>
        <w:pStyle w:val="ListBullet"/>
      </w:pPr>
      <w:r>
        <w:t>Modificación del programa de maquinado o de los parámetros de corte de la CNC</w:t>
      </w:r>
    </w:p>
    <w:p>
      <w:pPr>
        <w:pStyle w:val="ListBullet"/>
      </w:pPr>
      <w:r>
        <w:t>Certificación formal de seguridad ante organismo externo</w:t>
      </w:r>
    </w:p>
    <w:p>
      <w:pPr>
        <w:pStyle w:val="ListBullet"/>
      </w:pPr>
      <w:r>
        <w:t>Producción en volumen: el entregable es un prototipo funcional demostrable</w:t>
      </w:r>
    </w:p>
    <w:p>
      <w:pPr>
        <w:pStyle w:val="ListBullet"/>
      </w:pPr>
      <w:r>
        <w:t>Mantenimiento del sistema después de la fecha de cierre</w:t>
      </w:r>
    </w:p>
    <w:p>
      <w:pPr>
        <w:pStyle w:val="ListBullet"/>
      </w:pPr>
      <w:r>
        <w:t>Operación desatendida sin supervisión humana presente</w:t>
      </w:r>
    </w:p>
    <w:p>
      <w:pPr>
        <w:ind w:left="360"/>
      </w:pPr>
      <w:r>
        <w:rPr>
          <w:b/>
          <w:i/>
          <w:color w:val="444A52"/>
        </w:rPr>
        <w:t>Nota de alcance — dos manipuladores.</w:t>
      </w:r>
      <w:r>
        <w:rPr>
          <w:i/>
          <w:color w:val="444A52"/>
        </w:rPr>
        <w:t xml:space="preserve"> El proyecto contempla un manipulador</w:t>
      </w:r>
    </w:p>
    <w:p>
      <w:pPr>
        <w:ind w:left="360"/>
      </w:pPr>
      <w:r>
        <w:rPr>
          <w:i/>
          <w:color w:val="444A52"/>
        </w:rPr>
        <w:t xml:space="preserve">de 4 GDL de fabricación propia montado sobre el AGV, </w:t>
      </w:r>
      <w:r>
        <w:rPr>
          <w:b/>
          <w:i/>
          <w:color w:val="444A52"/>
        </w:rPr>
        <w:t>y además</w:t>
      </w:r>
      <w:r>
        <w:rPr>
          <w:i/>
          <w:color w:val="444A52"/>
        </w:rPr>
        <w:t xml:space="preserve"> un cobot</w:t>
      </w:r>
    </w:p>
    <w:p>
      <w:pPr>
        <w:ind w:left="360"/>
      </w:pPr>
      <w:r>
        <w:rPr>
          <w:i/>
          <w:color w:val="444A52"/>
        </w:rPr>
        <w:t>industrial comercial sobre el riel lineal. Son elementos distintos con</w:t>
      </w:r>
    </w:p>
    <w:p>
      <w:pPr>
        <w:ind w:left="360"/>
      </w:pPr>
      <w:r>
        <w:rPr>
          <w:i/>
          <w:color w:val="444A52"/>
        </w:rPr>
        <w:t>proveeduría, control y calendario distintos. Confirmar esta lectura antes de</w:t>
      </w:r>
    </w:p>
    <w:p>
      <w:pPr>
        <w:ind w:left="360"/>
      </w:pPr>
      <w:r>
        <w:rPr>
          <w:i/>
          <w:color w:val="444A52"/>
        </w:rPr>
        <w:t>congelar el diseño: si se trata de un solo manipulador, el alcance y el</w:t>
      </w:r>
    </w:p>
    <w:p>
      <w:pPr>
        <w:ind w:left="360"/>
      </w:pPr>
      <w:r>
        <w:rPr>
          <w:i/>
          <w:color w:val="444A52"/>
        </w:rPr>
        <w:t>presupuesto cambian de manera sustancial.</w:t>
      </w:r>
    </w:p>
    <w:p>
      <w:pPr>
        <w:pStyle w:val="Heading2"/>
      </w:pPr>
      <w:r>
        <w:t>3.5 Entregables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Entregable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</w:tr>
      <w:tr>
        <w:tc>
          <w:tcPr>
            <w:tcW w:type="dxa" w:w="2880"/>
          </w:tcPr>
          <w:p>
            <w:r>
              <w:t>E1</w:t>
            </w:r>
          </w:p>
        </w:tc>
        <w:tc>
          <w:tcPr>
            <w:tcW w:type="dxa" w:w="2880"/>
          </w:tcPr>
          <w:p>
            <w:r>
              <w:t>AGV funcional</w:t>
            </w:r>
          </w:p>
        </w:tc>
        <w:tc>
          <w:tcPr>
            <w:tcW w:type="dxa" w:w="2880"/>
          </w:tcPr>
          <w:p>
            <w:r>
              <w:t>F3</w:t>
            </w:r>
          </w:p>
        </w:tc>
      </w:tr>
      <w:tr>
        <w:tc>
          <w:tcPr>
            <w:tcW w:type="dxa" w:w="2880"/>
          </w:tcPr>
          <w:p>
            <w:r>
              <w:t>E2</w:t>
            </w:r>
          </w:p>
        </w:tc>
        <w:tc>
          <w:tcPr>
            <w:tcW w:type="dxa" w:w="2880"/>
          </w:tcPr>
          <w:p>
            <w:r>
              <w:t>Sistema de navegación autónoma</w:t>
            </w:r>
          </w:p>
        </w:tc>
        <w:tc>
          <w:tcPr>
            <w:tcW w:type="dxa" w:w="2880"/>
          </w:tcPr>
          <w:p>
            <w:r>
              <w:t>F4</w:t>
            </w:r>
          </w:p>
        </w:tc>
      </w:tr>
      <w:tr>
        <w:tc>
          <w:tcPr>
            <w:tcW w:type="dxa" w:w="2880"/>
          </w:tcPr>
          <w:p>
            <w:r>
              <w:t>E3</w:t>
            </w:r>
          </w:p>
        </w:tc>
        <w:tc>
          <w:tcPr>
            <w:tcW w:type="dxa" w:w="2880"/>
          </w:tcPr>
          <w:p>
            <w:r>
              <w:t>Estación de entrega de piezas</w:t>
            </w:r>
          </w:p>
        </w:tc>
        <w:tc>
          <w:tcPr>
            <w:tcW w:type="dxa" w:w="2880"/>
          </w:tcPr>
          <w:p>
            <w:r>
              <w:t>F3</w:t>
            </w:r>
          </w:p>
        </w:tc>
      </w:tr>
      <w:tr>
        <w:tc>
          <w:tcPr>
            <w:tcW w:type="dxa" w:w="2880"/>
          </w:tcPr>
          <w:p>
            <w:r>
              <w:t>E4</w:t>
            </w:r>
          </w:p>
        </w:tc>
        <w:tc>
          <w:tcPr>
            <w:tcW w:type="dxa" w:w="2880"/>
          </w:tcPr>
          <w:p>
            <w:r>
              <w:t>Manipulador de 4 GDL integrado al AGV (MoMa)</w:t>
            </w:r>
          </w:p>
        </w:tc>
        <w:tc>
          <w:tcPr>
            <w:tcW w:type="dxa" w:w="2880"/>
          </w:tcPr>
          <w:p>
            <w:r>
              <w:t>F4</w:t>
            </w:r>
          </w:p>
        </w:tc>
      </w:tr>
      <w:tr>
        <w:tc>
          <w:tcPr>
            <w:tcW w:type="dxa" w:w="2880"/>
          </w:tcPr>
          <w:p>
            <w:r>
              <w:t>E5</w:t>
            </w:r>
          </w:p>
        </w:tc>
        <w:tc>
          <w:tcPr>
            <w:tcW w:type="dxa" w:w="2880"/>
          </w:tcPr>
          <w:p>
            <w:r>
              <w:t>Cobot integrado sobre el riel lineal</w:t>
            </w:r>
          </w:p>
        </w:tc>
        <w:tc>
          <w:tcPr>
            <w:tcW w:type="dxa" w:w="2880"/>
          </w:tcPr>
          <w:p>
            <w:r>
              <w:t>F5</w:t>
            </w:r>
          </w:p>
        </w:tc>
      </w:tr>
      <w:tr>
        <w:tc>
          <w:tcPr>
            <w:tcW w:type="dxa" w:w="2880"/>
          </w:tcPr>
          <w:p>
            <w:r>
              <w:t>E6</w:t>
            </w:r>
          </w:p>
        </w:tc>
        <w:tc>
          <w:tcPr>
            <w:tcW w:type="dxa" w:w="2880"/>
          </w:tcPr>
          <w:p>
            <w:r>
              <w:t>Comunicación entre el supervisor y las máquinas</w:t>
            </w:r>
          </w:p>
        </w:tc>
        <w:tc>
          <w:tcPr>
            <w:tcW w:type="dxa" w:w="2880"/>
          </w:tcPr>
          <w:p>
            <w:r>
              <w:t>F5</w:t>
            </w:r>
          </w:p>
        </w:tc>
      </w:tr>
      <w:tr>
        <w:tc>
          <w:tcPr>
            <w:tcW w:type="dxa" w:w="2880"/>
          </w:tcPr>
          <w:p>
            <w:r>
              <w:t>E7</w:t>
            </w:r>
          </w:p>
        </w:tc>
        <w:tc>
          <w:tcPr>
            <w:tcW w:type="dxa" w:w="2880"/>
          </w:tcPr>
          <w:p>
            <w:r>
              <w:t>Sistema de visión</w:t>
            </w:r>
          </w:p>
        </w:tc>
        <w:tc>
          <w:tcPr>
            <w:tcW w:type="dxa" w:w="2880"/>
          </w:tcPr>
          <w:p>
            <w:r>
              <w:t>F5</w:t>
            </w:r>
          </w:p>
        </w:tc>
      </w:tr>
      <w:tr>
        <w:tc>
          <w:tcPr>
            <w:tcW w:type="dxa" w:w="2880"/>
          </w:tcPr>
          <w:p>
            <w:r>
              <w:t>E8</w:t>
            </w:r>
          </w:p>
        </w:tc>
        <w:tc>
          <w:tcPr>
            <w:tcW w:type="dxa" w:w="2880"/>
          </w:tcPr>
          <w:p>
            <w:r>
              <w:t>Integración de la celda completa</w:t>
            </w:r>
          </w:p>
        </w:tc>
        <w:tc>
          <w:tcPr>
            <w:tcW w:type="dxa" w:w="2880"/>
          </w:tcPr>
          <w:p>
            <w:r>
              <w:t>F5</w:t>
            </w:r>
          </w:p>
        </w:tc>
      </w:tr>
      <w:tr>
        <w:tc>
          <w:tcPr>
            <w:tcW w:type="dxa" w:w="2880"/>
          </w:tcPr>
          <w:p>
            <w:r>
              <w:t>E9</w:t>
            </w:r>
          </w:p>
        </w:tc>
        <w:tc>
          <w:tcPr>
            <w:tcW w:type="dxa" w:w="2880"/>
          </w:tcPr>
          <w:p>
            <w:r>
              <w:t>Pruebas de funcionamiento</w:t>
            </w:r>
          </w:p>
        </w:tc>
        <w:tc>
          <w:tcPr>
            <w:tcW w:type="dxa" w:w="2880"/>
          </w:tcPr>
          <w:p>
            <w:r>
              <w:t>F6</w:t>
            </w:r>
          </w:p>
        </w:tc>
      </w:tr>
      <w:tr>
        <w:tc>
          <w:tcPr>
            <w:tcW w:type="dxa" w:w="2880"/>
          </w:tcPr>
          <w:p>
            <w:r>
              <w:t>E10</w:t>
            </w:r>
          </w:p>
        </w:tc>
        <w:tc>
          <w:tcPr>
            <w:tcW w:type="dxa" w:w="2880"/>
          </w:tcPr>
          <w:p>
            <w:r>
              <w:t>Documentación técnica del proyecto</w:t>
            </w:r>
          </w:p>
        </w:tc>
        <w:tc>
          <w:tcPr>
            <w:tcW w:type="dxa" w:w="2880"/>
          </w:tcPr>
          <w:p>
            <w:r>
              <w:t>F6</w:t>
            </w:r>
          </w:p>
        </w:tc>
      </w:tr>
      <w:tr>
        <w:tc>
          <w:tcPr>
            <w:tcW w:type="dxa" w:w="2880"/>
          </w:tcPr>
          <w:p>
            <w:r>
              <w:t>E11</w:t>
            </w:r>
          </w:p>
        </w:tc>
        <w:tc>
          <w:tcPr>
            <w:tcW w:type="dxa" w:w="2880"/>
          </w:tcPr>
          <w:p>
            <w:r>
              <w:t>Demostración final</w:t>
            </w:r>
          </w:p>
        </w:tc>
        <w:tc>
          <w:tcPr>
            <w:tcW w:type="dxa" w:w="2880"/>
          </w:tcPr>
          <w:p>
            <w:r>
              <w:t>F6</w:t>
            </w:r>
          </w:p>
        </w:tc>
      </w:tr>
    </w:tbl>
    <w:p/>
    <w:p>
      <w:r>
        <w:br w:type="page"/>
      </w:r>
    </w:p>
    <w:p>
      <w:pPr>
        <w:pStyle w:val="Heading1"/>
      </w:pPr>
      <w:r>
        <w:t>4. Calendario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Concepto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Fecha de inicio</w:t>
            </w:r>
          </w:p>
        </w:tc>
        <w:tc>
          <w:tcPr>
            <w:tcW w:type="dxa" w:w="4320"/>
          </w:tcPr>
          <w:p>
            <w:r>
              <w:t>2026-08-10</w:t>
            </w:r>
          </w:p>
        </w:tc>
      </w:tr>
      <w:tr>
        <w:tc>
          <w:tcPr>
            <w:tcW w:type="dxa" w:w="4320"/>
          </w:tcPr>
          <w:p>
            <w:r>
              <w:t>Fecha de cierre</w:t>
            </w:r>
          </w:p>
        </w:tc>
        <w:tc>
          <w:tcPr>
            <w:tcW w:type="dxa" w:w="4320"/>
          </w:tcPr>
          <w:p>
            <w:r>
              <w:t>2026-12-06</w:t>
            </w:r>
          </w:p>
        </w:tc>
      </w:tr>
      <w:tr>
        <w:tc>
          <w:tcPr>
            <w:tcW w:type="dxa" w:w="4320"/>
          </w:tcPr>
          <w:p>
            <w:r>
              <w:t>Duración</w:t>
            </w:r>
          </w:p>
        </w:tc>
        <w:tc>
          <w:tcPr>
            <w:tcW w:type="dxa" w:w="4320"/>
          </w:tcPr>
          <w:p>
            <w:r>
              <w:t>18 semanas</w:t>
            </w:r>
          </w:p>
        </w:tc>
      </w:tr>
      <w:tr>
        <w:tc>
          <w:tcPr>
            <w:tcW w:type="dxa" w:w="4320"/>
          </w:tcPr>
          <w:p>
            <w:r>
              <w:t>Reporte de avance</w:t>
            </w:r>
          </w:p>
        </w:tc>
        <w:tc>
          <w:tcPr>
            <w:tcW w:type="dxa" w:w="4320"/>
          </w:tcPr>
          <w:p>
            <w:r>
              <w:t>Semanal al equipo docente; tablero Kanban de actualización continua</w:t>
            </w:r>
          </w:p>
        </w:tc>
      </w:tr>
      <w:tr>
        <w:tc>
          <w:tcPr>
            <w:tcW w:type="dxa" w:w="4320"/>
          </w:tcPr>
          <w:p>
            <w:r>
              <w:t>Revisión con el Socio Formador</w:t>
            </w:r>
          </w:p>
        </w:tc>
        <w:tc>
          <w:tcPr>
            <w:tcW w:type="dxa" w:w="4320"/>
          </w:tcPr>
          <w:p>
            <w:r>
              <w:t xml:space="preserve">⬜ </w:t>
            </w:r>
            <w:r>
              <w:rPr>
                <w:i/>
              </w:rPr>
              <w:t>frecuencia por acordar</w:t>
            </w:r>
          </w:p>
        </w:tc>
      </w:tr>
    </w:tbl>
    <w:p/>
    <w:p>
      <w:pPr>
        <w:ind w:left="360"/>
      </w:pPr>
      <w:r>
        <w:rPr>
          <w:b/>
          <w:i/>
          <w:color w:val="444A52"/>
        </w:rPr>
        <w:t>Ajuste de calendario.</w:t>
      </w:r>
      <w:r>
        <w:rPr>
          <w:i/>
          <w:color w:val="444A52"/>
        </w:rPr>
        <w:t xml:space="preserve"> Dieciocho semanas contadas desde el 10 de agosto</w:t>
      </w:r>
    </w:p>
    <w:p>
      <w:pPr>
        <w:ind w:left="360"/>
      </w:pPr>
      <w:r>
        <w:rPr>
          <w:i/>
          <w:color w:val="444A52"/>
        </w:rPr>
        <w:t>terminan el 14 de diciembre, después de la entrega del Reporte Integrador del</w:t>
      </w:r>
    </w:p>
    <w:p>
      <w:pPr>
        <w:ind w:left="360"/>
      </w:pPr>
      <w:r>
        <w:rPr>
          <w:i/>
          <w:color w:val="444A52"/>
        </w:rPr>
        <w:t>6 de diciembre. El cronograma siguiente comprime las últimas semanas para</w:t>
      </w:r>
    </w:p>
    <w:p>
      <w:pPr>
        <w:ind w:left="360"/>
      </w:pPr>
      <w:r>
        <w:rPr>
          <w:i/>
          <w:color w:val="444A52"/>
        </w:rPr>
        <w:t>cerrar el 6 de diciembre. Si el proyecto arrancó antes del 10 de agosto,</w:t>
      </w:r>
    </w:p>
    <w:p>
      <w:pPr>
        <w:ind w:left="360"/>
      </w:pPr>
      <w:r>
        <w:rPr>
          <w:i/>
          <w:color w:val="444A52"/>
        </w:rPr>
        <w:t>corregir la fecha de inicio.</w:t>
      </w:r>
    </w:p>
    <w:p>
      <w:pPr>
        <w:pStyle w:val="Heading2"/>
      </w:pPr>
      <w:r>
        <w:t>Cronograma por semana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Sem.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Periodo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Actividad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Entregable de la semana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10–16 ago</w:t>
            </w:r>
          </w:p>
        </w:tc>
        <w:tc>
          <w:tcPr>
            <w:tcW w:type="dxa" w:w="2160"/>
          </w:tcPr>
          <w:p>
            <w:r>
              <w:t>Análisis del proceso actual de carga y descarga</w:t>
            </w:r>
          </w:p>
        </w:tc>
        <w:tc>
          <w:tcPr>
            <w:tcW w:type="dxa" w:w="2160"/>
          </w:tcPr>
          <w:p>
            <w:r>
              <w:t>Diagrama SIPOC y de causa-efecto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17–23 ago</w:t>
            </w:r>
          </w:p>
        </w:tc>
        <w:tc>
          <w:tcPr>
            <w:tcW w:type="dxa" w:w="2160"/>
          </w:tcPr>
          <w:p>
            <w:r>
              <w:t>Levantamiento de requisitos y trazabilidad</w:t>
            </w:r>
          </w:p>
        </w:tc>
        <w:tc>
          <w:tcPr>
            <w:tcW w:type="dxa" w:w="2160"/>
          </w:tcPr>
          <w:p>
            <w:r>
              <w:t>Matriz de trazabilidad de requisitos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24–30 ago</w:t>
            </w:r>
          </w:p>
        </w:tc>
        <w:tc>
          <w:tcPr>
            <w:tcW w:type="dxa" w:w="2160"/>
          </w:tcPr>
          <w:p>
            <w:r>
              <w:t>Arquitectura de la celda y desglose del trabajo</w:t>
            </w:r>
          </w:p>
        </w:tc>
        <w:tc>
          <w:tcPr>
            <w:tcW w:type="dxa" w:w="2160"/>
          </w:tcPr>
          <w:p>
            <w:r>
              <w:t>WBS y matriz RACI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31 ago–6 sep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Selección de sensores y cierre del BOM</w:t>
            </w:r>
          </w:p>
        </w:tc>
        <w:tc>
          <w:tcPr>
            <w:tcW w:type="dxa" w:w="2160"/>
          </w:tcPr>
          <w:p>
            <w:r>
              <w:t xml:space="preserve">BOM congelado · </w:t>
            </w:r>
            <w:r>
              <w:rPr>
                <w:b/>
              </w:rPr>
              <w:t>PO críticas emitidas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7–13 sep</w:t>
            </w:r>
          </w:p>
        </w:tc>
        <w:tc>
          <w:tcPr>
            <w:tcW w:type="dxa" w:w="2160"/>
          </w:tcPr>
          <w:p>
            <w:r>
              <w:t>Diseño mecánico del chasis y del manipulador de 4 GDL</w:t>
            </w:r>
          </w:p>
        </w:tc>
        <w:tc>
          <w:tcPr>
            <w:tcW w:type="dxa" w:w="2160"/>
          </w:tcPr>
          <w:p>
            <w:r>
              <w:t>Cinemática directa e inversa resueltas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14–20 sep</w:t>
            </w:r>
          </w:p>
        </w:tc>
        <w:tc>
          <w:tcPr>
            <w:tcW w:type="dxa" w:w="2160"/>
          </w:tcPr>
          <w:p>
            <w:r>
              <w:t>Diseño eléctrico, potencia y arnés</w:t>
            </w:r>
          </w:p>
        </w:tc>
        <w:tc>
          <w:tcPr>
            <w:tcW w:type="dxa" w:w="2160"/>
          </w:tcPr>
          <w:p>
            <w:r>
              <w:t>Diagrama unifilar y de conexiones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21–27 sep</w:t>
            </w:r>
          </w:p>
        </w:tc>
        <w:tc>
          <w:tcPr>
            <w:tcW w:type="dxa" w:w="2160"/>
          </w:tcPr>
          <w:p>
            <w:r>
              <w:t>Arquitectura de software y simulación del proceso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Diseño congelado</w:t>
            </w:r>
            <w:r>
              <w:t xml:space="preserve"> · simulación validada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28 sep–4 oct</w:t>
            </w:r>
          </w:p>
        </w:tc>
        <w:tc>
          <w:tcPr>
            <w:tcW w:type="dxa" w:w="2160"/>
          </w:tcPr>
          <w:p>
            <w:r>
              <w:t>Fabricación del chasis y montaje de tracción</w:t>
            </w:r>
          </w:p>
        </w:tc>
        <w:tc>
          <w:tcPr>
            <w:tcW w:type="dxa" w:w="2160"/>
          </w:tcPr>
          <w:p>
            <w:r>
              <w:t>Chasis ensamblado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5–11 oct</w:t>
            </w:r>
          </w:p>
        </w:tc>
        <w:tc>
          <w:tcPr>
            <w:tcW w:type="dxa" w:w="2160"/>
          </w:tcPr>
          <w:p>
            <w:r>
              <w:t>Fabricación y ensamble del manipulador de 4 GDL</w:t>
            </w:r>
          </w:p>
        </w:tc>
        <w:tc>
          <w:tcPr>
            <w:tcW w:type="dxa" w:w="2160"/>
          </w:tcPr>
          <w:p>
            <w:r>
              <w:t>Manipulador armado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12–18 oct</w:t>
            </w:r>
          </w:p>
        </w:tc>
        <w:tc>
          <w:tcPr>
            <w:tcW w:type="dxa" w:w="2160"/>
          </w:tcPr>
          <w:p>
            <w:r>
              <w:t>Firmware de control: lazos PI, PD y PID</w:t>
            </w:r>
          </w:p>
        </w:tc>
        <w:tc>
          <w:tcPr>
            <w:tcW w:type="dxa" w:w="2160"/>
          </w:tcPr>
          <w:p>
            <w:r>
              <w:t>Sintonía documentada con gráficas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19–25 oct</w:t>
            </w:r>
          </w:p>
        </w:tc>
        <w:tc>
          <w:tcPr>
            <w:tcW w:type="dxa" w:w="2160"/>
          </w:tcPr>
          <w:p>
            <w:r>
              <w:t>Estación de entrega, fixture y pallet indexado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AGV rodando con control cerrado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26 oct–1 nov</w:t>
            </w:r>
          </w:p>
        </w:tc>
        <w:tc>
          <w:tcPr>
            <w:tcW w:type="dxa" w:w="2160"/>
          </w:tcPr>
          <w:p>
            <w:r>
              <w:t>Navegación autónoma con LiDAR</w:t>
            </w:r>
          </w:p>
        </w:tc>
        <w:tc>
          <w:tcPr>
            <w:tcW w:type="dxa" w:w="2160"/>
          </w:tcPr>
          <w:p>
            <w:r>
              <w:t>SLAM y planeación operativos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2–8 nov</w:t>
            </w:r>
          </w:p>
        </w:tc>
        <w:tc>
          <w:tcPr>
            <w:tcW w:type="dxa" w:w="2160"/>
          </w:tcPr>
          <w:p>
            <w:r>
              <w:t>Integración del manipulador al AGV — MoMa completo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Navegación y toma de pieza validadas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9–15 nov</w:t>
            </w:r>
          </w:p>
        </w:tc>
        <w:tc>
          <w:tcPr>
            <w:tcW w:type="dxa" w:w="2160"/>
          </w:tcPr>
          <w:p>
            <w:r>
              <w:t>Integración del cobot sobre el riel lineal</w:t>
            </w:r>
          </w:p>
        </w:tc>
        <w:tc>
          <w:tcPr>
            <w:tcW w:type="dxa" w:w="2160"/>
          </w:tcPr>
          <w:p>
            <w:r>
              <w:t>Transferencia MoMa ↔ CNC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16–22 nov</w:t>
            </w:r>
          </w:p>
        </w:tc>
        <w:tc>
          <w:tcPr>
            <w:tcW w:type="dxa" w:w="2160"/>
          </w:tcPr>
          <w:p>
            <w:r>
              <w:t>Sistema de visión y comunicación con el supervisor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Ciclo completo de la celda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23–29 nov</w:t>
            </w:r>
          </w:p>
        </w:tc>
        <w:tc>
          <w:tcPr>
            <w:tcW w:type="dxa" w:w="2160"/>
          </w:tcPr>
          <w:p>
            <w:r>
              <w:t>Pruebas de carga, descarga y validación</w:t>
            </w:r>
          </w:p>
        </w:tc>
        <w:tc>
          <w:tcPr>
            <w:tcW w:type="dxa" w:w="2160"/>
          </w:tcPr>
          <w:p>
            <w:r>
              <w:t>Protocolo de pruebas ejecutado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30 nov–6 dic</w:t>
            </w:r>
          </w:p>
        </w:tc>
        <w:tc>
          <w:tcPr>
            <w:tcW w:type="dxa" w:w="2160"/>
          </w:tcPr>
          <w:p>
            <w:r>
              <w:t>Seguridad industrial y ciberseguridad · documentación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Documentación técnica entregada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7–13 dic</w:t>
            </w:r>
          </w:p>
        </w:tc>
        <w:tc>
          <w:tcPr>
            <w:tcW w:type="dxa" w:w="2160"/>
          </w:tcPr>
          <w:p>
            <w:r>
              <w:t>Demostración final y cierre</w:t>
            </w:r>
          </w:p>
        </w:tc>
        <w:tc>
          <w:tcPr>
            <w:tcW w:type="dxa" w:w="2160"/>
          </w:tcPr>
          <w:p>
            <w:r>
              <w:t>Demostración ante el Socio Formador</w:t>
            </w:r>
          </w:p>
        </w:tc>
      </w:tr>
    </w:tbl>
    <w:p/>
    <w:p>
      <w:r>
        <w:br w:type="page"/>
      </w:r>
    </w:p>
    <w:p>
      <w:pPr>
        <w:pStyle w:val="Heading1"/>
      </w:pPr>
      <w:r>
        <w:t>5. Estimación de Costos</w:t>
      </w:r>
    </w:p>
    <w:p>
      <w:r>
        <w:t>Valores en pesos mexicanos, del catálogo del sistema ERP del proyecto</w:t>
      </w:r>
    </w:p>
    <w:p>
      <w:r>
        <w:t>(</w:t>
      </w:r>
      <w:r>
        <w:rPr>
          <w:rFonts w:ascii="Consolas" w:hAnsi="Consolas"/>
          <w:sz w:val="19"/>
        </w:rPr>
        <w:t>02-proveeduria/catalogo-materiales.csv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Concepto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Monto (MXN)</w:t>
            </w:r>
          </w:p>
        </w:tc>
      </w:tr>
      <w:tr>
        <w:tc>
          <w:tcPr>
            <w:tcW w:type="dxa" w:w="4320"/>
          </w:tcPr>
          <w:p>
            <w:r>
              <w:t>Material aportado por el equipo docente (préstamo o donación)</w:t>
            </w:r>
          </w:p>
        </w:tc>
        <w:tc>
          <w:tcPr>
            <w:tcW w:type="dxa" w:w="4320"/>
          </w:tcPr>
          <w:p>
            <w:r>
              <w:t>$67,650.00</w:t>
            </w:r>
          </w:p>
        </w:tc>
      </w:tr>
      <w:tr>
        <w:tc>
          <w:tcPr>
            <w:tcW w:type="dxa" w:w="4320"/>
          </w:tcPr>
          <w:p>
            <w:r>
              <w:t>Material por adquirir</w:t>
            </w:r>
          </w:p>
        </w:tc>
        <w:tc>
          <w:tcPr>
            <w:tcW w:type="dxa" w:w="4320"/>
          </w:tcPr>
          <w:p>
            <w:r>
              <w:t>$46,487.15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Subtotal cubierto por el BOM vigente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$114,137.15</w:t>
            </w:r>
          </w:p>
        </w:tc>
      </w:tr>
      <w:tr>
        <w:tc>
          <w:tcPr>
            <w:tcW w:type="dxa" w:w="4320"/>
          </w:tcPr>
          <w:p>
            <w:r>
              <w:t>Manipulador de 4 GDL (actuadores, reductores, estructura)</w:t>
            </w:r>
          </w:p>
        </w:tc>
        <w:tc>
          <w:tcPr>
            <w:tcW w:type="dxa" w:w="4320"/>
          </w:tcPr>
          <w:p>
            <w:r>
              <w:t xml:space="preserve">⬜ </w:t>
            </w:r>
            <w:r>
              <w:rPr>
                <w:i/>
              </w:rPr>
              <w:t>por cotizar</w:t>
            </w:r>
          </w:p>
        </w:tc>
      </w:tr>
      <w:tr>
        <w:tc>
          <w:tcPr>
            <w:tcW w:type="dxa" w:w="4320"/>
          </w:tcPr>
          <w:p>
            <w:r>
              <w:t>Cobot industrial para el riel lineal</w:t>
            </w:r>
          </w:p>
        </w:tc>
        <w:tc>
          <w:tcPr>
            <w:tcW w:type="dxa" w:w="4320"/>
          </w:tcPr>
          <w:p>
            <w:r>
              <w:t xml:space="preserve">⬜ </w:t>
            </w:r>
            <w:r>
              <w:rPr>
                <w:i/>
              </w:rPr>
              <w:t>por confirmar si se presta o se adquiere</w:t>
            </w:r>
          </w:p>
        </w:tc>
      </w:tr>
    </w:tbl>
    <w:p/>
    <w:p>
      <w:pPr>
        <w:pStyle w:val="Heading2"/>
      </w:pPr>
      <w:r>
        <w:t>Partidas por adquirir con mayor impacto en calendario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Concepto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Cant.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Monto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</w:t>
            </w:r>
          </w:p>
        </w:tc>
      </w:tr>
      <w:tr>
        <w:tc>
          <w:tcPr>
            <w:tcW w:type="dxa" w:w="2160"/>
          </w:tcPr>
          <w:p>
            <w:r>
              <w:t>Cómputo supervisor clase Jetson Orin Nano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$12,000.00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semanas</w:t>
            </w:r>
          </w:p>
        </w:tc>
      </w:tr>
      <w:tr>
        <w:tc>
          <w:tcPr>
            <w:tcW w:type="dxa" w:w="2160"/>
          </w:tcPr>
          <w:p>
            <w:r>
              <w:t>Batería LiFePO4 24 V 20 Ah con BMS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$9,500.00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semanas</w:t>
            </w:r>
          </w:p>
        </w:tc>
      </w:tr>
      <w:tr>
        <w:tc>
          <w:tcPr>
            <w:tcW w:type="dxa" w:w="2160"/>
          </w:tcPr>
          <w:p>
            <w:r>
              <w:t>Ruedas de tracción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$7,200.00</w:t>
            </w:r>
          </w:p>
        </w:tc>
        <w:tc>
          <w:tcPr>
            <w:tcW w:type="dxa" w:w="2160"/>
          </w:tcPr>
          <w:p>
            <w:r>
              <w:t>3 semanas</w:t>
            </w:r>
          </w:p>
        </w:tc>
      </w:tr>
      <w:tr>
        <w:tc>
          <w:tcPr>
            <w:tcW w:type="dxa" w:w="2160"/>
          </w:tcPr>
          <w:p>
            <w:r>
              <w:t>Kits de desarrollo FRDM-S32K344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$5,537.15</w:t>
            </w:r>
          </w:p>
        </w:tc>
        <w:tc>
          <w:tcPr>
            <w:tcW w:type="dxa" w:w="2160"/>
          </w:tcPr>
          <w:p>
            <w:r>
              <w:t>1 semana</w:t>
            </w:r>
          </w:p>
        </w:tc>
      </w:tr>
      <w:tr>
        <w:tc>
          <w:tcPr>
            <w:tcW w:type="dxa" w:w="2160"/>
          </w:tcPr>
          <w:p>
            <w:r>
              <w:t>Perfil estructural de aluminio 40×40</w:t>
            </w:r>
          </w:p>
        </w:tc>
        <w:tc>
          <w:tcPr>
            <w:tcW w:type="dxa" w:w="2160"/>
          </w:tcPr>
          <w:p>
            <w:r>
              <w:t>8 m</w:t>
            </w:r>
          </w:p>
        </w:tc>
        <w:tc>
          <w:tcPr>
            <w:tcW w:type="dxa" w:w="2160"/>
          </w:tcPr>
          <w:p>
            <w:r>
              <w:t>$3,360.00</w:t>
            </w:r>
          </w:p>
        </w:tc>
        <w:tc>
          <w:tcPr>
            <w:tcW w:type="dxa" w:w="2160"/>
          </w:tcPr>
          <w:p>
            <w:r>
              <w:t>2 semanas</w:t>
            </w:r>
          </w:p>
        </w:tc>
      </w:tr>
      <w:tr>
        <w:tc>
          <w:tcPr>
            <w:tcW w:type="dxa" w:w="2160"/>
          </w:tcPr>
          <w:p>
            <w:r>
              <w:t>Sensores inductivos M12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$2,600.00</w:t>
            </w:r>
          </w:p>
        </w:tc>
        <w:tc>
          <w:tcPr>
            <w:tcW w:type="dxa" w:w="2160"/>
          </w:tcPr>
          <w:p>
            <w:r>
              <w:t>2 semanas</w:t>
            </w:r>
          </w:p>
        </w:tc>
      </w:tr>
      <w:tr>
        <w:tc>
          <w:tcPr>
            <w:tcW w:type="dxa" w:w="2160"/>
          </w:tcPr>
          <w:p>
            <w:r>
              <w:t>Cargador de batería 24 V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$2,100.00</w:t>
            </w:r>
          </w:p>
        </w:tc>
        <w:tc>
          <w:tcPr>
            <w:tcW w:type="dxa" w:w="2160"/>
          </w:tcPr>
          <w:p>
            <w:r>
              <w:t>3 semanas</w:t>
            </w:r>
          </w:p>
        </w:tc>
      </w:tr>
      <w:tr>
        <w:tc>
          <w:tcPr>
            <w:tcW w:type="dxa" w:w="2160"/>
          </w:tcPr>
          <w:p>
            <w:r>
              <w:t>Botones de paro de emergencia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$1,780.00</w:t>
            </w:r>
          </w:p>
        </w:tc>
        <w:tc>
          <w:tcPr>
            <w:tcW w:type="dxa" w:w="2160"/>
          </w:tcPr>
          <w:p>
            <w:r>
              <w:t>2 semanas</w:t>
            </w:r>
          </w:p>
        </w:tc>
      </w:tr>
      <w:tr>
        <w:tc>
          <w:tcPr>
            <w:tcW w:type="dxa" w:w="2160"/>
          </w:tcPr>
          <w:p>
            <w:r>
              <w:t>Convertidores DC-DC 24 V → 5 V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$1,560.00</w:t>
            </w:r>
          </w:p>
        </w:tc>
        <w:tc>
          <w:tcPr>
            <w:tcW w:type="dxa" w:w="2160"/>
          </w:tcPr>
          <w:p>
            <w:r>
              <w:t>2 semanas</w:t>
            </w:r>
          </w:p>
        </w:tc>
      </w:tr>
      <w:tr>
        <w:tc>
          <w:tcPr>
            <w:tcW w:type="dxa" w:w="2160"/>
          </w:tcPr>
          <w:p>
            <w:r>
              <w:t>Unidad inercial de 9 GDL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$850.00</w:t>
            </w:r>
          </w:p>
        </w:tc>
        <w:tc>
          <w:tcPr>
            <w:tcW w:type="dxa" w:w="2160"/>
          </w:tcPr>
          <w:p>
            <w:r>
              <w:t>3 semanas</w:t>
            </w:r>
          </w:p>
        </w:tc>
      </w:tr>
    </w:tbl>
    <w:p/>
    <w:p>
      <w:pPr>
        <w:ind w:left="360"/>
      </w:pPr>
      <w:r>
        <w:rPr>
          <w:b/>
          <w:i/>
          <w:color w:val="444A52"/>
        </w:rPr>
        <w:t>Nota de gestión.</w:t>
      </w:r>
      <w:r>
        <w:rPr>
          <w:i/>
          <w:color w:val="444A52"/>
        </w:rPr>
        <w:t xml:space="preserve"> La restricción de bajo costo es un requisito del proyecto,</w:t>
      </w:r>
    </w:p>
    <w:p>
      <w:pPr>
        <w:ind w:left="360"/>
      </w:pPr>
      <w:r>
        <w:rPr>
          <w:i/>
          <w:color w:val="444A52"/>
        </w:rPr>
        <w:t>no una consecuencia. Cada selección de material debe justificarse contra una</w:t>
      </w:r>
    </w:p>
    <w:p>
      <w:pPr>
        <w:ind w:left="360"/>
      </w:pPr>
      <w:r>
        <w:rPr>
          <w:i/>
          <w:color w:val="444A52"/>
        </w:rPr>
        <w:t>alternativa comercial más cara, y esa comparación es parte de la documentación</w:t>
      </w:r>
    </w:p>
    <w:p>
      <w:pPr>
        <w:ind w:left="360"/>
      </w:pPr>
      <w:r>
        <w:rPr>
          <w:i/>
          <w:color w:val="444A52"/>
        </w:rPr>
        <w:t>técnica.</w:t>
      </w:r>
    </w:p>
    <w:p>
      <w:pPr>
        <w:ind w:left="360"/>
      </w:pPr>
    </w:p>
    <w:p>
      <w:pPr>
        <w:ind w:left="360"/>
      </w:pPr>
      <w:r>
        <w:rPr>
          <w:b/>
          <w:i/>
          <w:color w:val="444A52"/>
        </w:rPr>
        <w:t>Los dos artículos de lead time más largo determinan la ruta crítica.</w:t>
      </w:r>
      <w:r>
        <w:rPr>
          <w:i/>
          <w:color w:val="444A52"/>
        </w:rPr>
        <w:t xml:space="preserve"> Deben</w:t>
      </w:r>
    </w:p>
    <w:p>
      <w:pPr>
        <w:ind w:left="360"/>
      </w:pPr>
      <w:r>
        <w:rPr>
          <w:i/>
          <w:color w:val="444A52"/>
        </w:rPr>
        <w:t xml:space="preserve">cotizarse y emitirse </w:t>
      </w:r>
      <w:r>
        <w:rPr>
          <w:b/>
          <w:i/>
          <w:color w:val="444A52"/>
        </w:rPr>
        <w:t>antes del 29 de septiembre de 2026</w:t>
      </w:r>
      <w:r>
        <w:rPr>
          <w:i/>
          <w:color w:val="444A52"/>
        </w:rPr>
        <w:t>.</w:t>
      </w:r>
    </w:p>
    <w:p>
      <w:r>
        <w:br w:type="page"/>
      </w:r>
    </w:p>
    <w:p>
      <w:pPr>
        <w:pStyle w:val="Heading1"/>
      </w:pPr>
      <w:r>
        <w:t>6. Hitos del Proyecto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Hito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Descripción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Semana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Fecha</w:t>
            </w:r>
          </w:p>
        </w:tc>
      </w:tr>
      <w:tr>
        <w:tc>
          <w:tcPr>
            <w:tcW w:type="dxa" w:w="2160"/>
          </w:tcPr>
          <w:p>
            <w:r>
              <w:t>H1</w:t>
            </w:r>
          </w:p>
        </w:tc>
        <w:tc>
          <w:tcPr>
            <w:tcW w:type="dxa" w:w="2160"/>
          </w:tcPr>
          <w:p>
            <w:r>
              <w:t>BOM congelado y órdenes de compra críticas emitidas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2026-09-06</w:t>
            </w:r>
          </w:p>
        </w:tc>
      </w:tr>
      <w:tr>
        <w:tc>
          <w:tcPr>
            <w:tcW w:type="dxa" w:w="2160"/>
          </w:tcPr>
          <w:p>
            <w:r>
              <w:t>H2</w:t>
            </w:r>
          </w:p>
        </w:tc>
        <w:tc>
          <w:tcPr>
            <w:tcW w:type="dxa" w:w="2160"/>
          </w:tcPr>
          <w:p>
            <w:r>
              <w:t>Diseño de detalle congelado y simulación validada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2026-09-27</w:t>
            </w:r>
          </w:p>
        </w:tc>
      </w:tr>
      <w:tr>
        <w:tc>
          <w:tcPr>
            <w:tcW w:type="dxa" w:w="2160"/>
          </w:tcPr>
          <w:p>
            <w:r>
              <w:t>H3</w:t>
            </w:r>
          </w:p>
        </w:tc>
        <w:tc>
          <w:tcPr>
            <w:tcW w:type="dxa" w:w="2160"/>
          </w:tcPr>
          <w:p>
            <w:r>
              <w:t>AGV rodando con lazos de control sintonizados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2026-10-25</w:t>
            </w:r>
          </w:p>
        </w:tc>
      </w:tr>
      <w:tr>
        <w:tc>
          <w:tcPr>
            <w:tcW w:type="dxa" w:w="2160"/>
          </w:tcPr>
          <w:p>
            <w:r>
              <w:t>H4</w:t>
            </w:r>
          </w:p>
        </w:tc>
        <w:tc>
          <w:tcPr>
            <w:tcW w:type="dxa" w:w="2160"/>
          </w:tcPr>
          <w:p>
            <w:r>
              <w:t>MoMa completo: navegación autónoma y manipulación validadas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2026-11-08</w:t>
            </w:r>
          </w:p>
        </w:tc>
      </w:tr>
      <w:tr>
        <w:tc>
          <w:tcPr>
            <w:tcW w:type="dxa" w:w="2160"/>
          </w:tcPr>
          <w:p>
            <w:r>
              <w:t>H5</w:t>
            </w:r>
          </w:p>
        </w:tc>
        <w:tc>
          <w:tcPr>
            <w:tcW w:type="dxa" w:w="2160"/>
          </w:tcPr>
          <w:p>
            <w:r>
              <w:t>Celda integrada: cobot, visión y comunicación operando en ciclo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2026-11-22</w:t>
            </w:r>
          </w:p>
        </w:tc>
      </w:tr>
      <w:tr>
        <w:tc>
          <w:tcPr>
            <w:tcW w:type="dxa" w:w="2160"/>
          </w:tcPr>
          <w:p>
            <w:r>
              <w:t>H6</w:t>
            </w:r>
          </w:p>
        </w:tc>
        <w:tc>
          <w:tcPr>
            <w:tcW w:type="dxa" w:w="2160"/>
          </w:tcPr>
          <w:p>
            <w:r>
              <w:t>Pruebas de validación concluidas y documentación entregada</w:t>
            </w:r>
          </w:p>
        </w:tc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2026-12-06</w:t>
            </w:r>
          </w:p>
        </w:tc>
      </w:tr>
    </w:tbl>
    <w:p/>
    <w:p>
      <w:r>
        <w:br w:type="page"/>
      </w:r>
    </w:p>
    <w:p>
      <w:pPr>
        <w:pStyle w:val="Heading1"/>
      </w:pPr>
      <w:r>
        <w:t>7. Restricciones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Restricción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Implicación</w:t>
            </w:r>
          </w:p>
        </w:tc>
      </w:tr>
      <w:tr>
        <w:tc>
          <w:tcPr>
            <w:tcW w:type="dxa" w:w="2880"/>
          </w:tcPr>
          <w:p>
            <w:r>
              <w:t>RE1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Costo de manufactura bajo</w:t>
            </w:r>
          </w:p>
        </w:tc>
        <w:tc>
          <w:tcPr>
            <w:tcW w:type="dxa" w:w="2880"/>
          </w:tcPr>
          <w:p>
            <w:r>
              <w:t>Materiales y procesos funcionales y accesibles; cada selección se justifica contra la alternativa comercial</w:t>
            </w:r>
          </w:p>
        </w:tc>
      </w:tr>
      <w:tr>
        <w:tc>
          <w:tcPr>
            <w:tcW w:type="dxa" w:w="2880"/>
          </w:tcPr>
          <w:p>
            <w:r>
              <w:t>RE2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Precisión de posicionamiento del AGV</w:t>
            </w:r>
            <w:r>
              <w:t xml:space="preserve"> en la estación final</w:t>
            </w:r>
          </w:p>
        </w:tc>
        <w:tc>
          <w:tcPr>
            <w:tcW w:type="dxa" w:w="2880"/>
          </w:tcPr>
          <w:p>
            <w:r>
              <w:t xml:space="preserve">⬜ </w:t>
            </w:r>
            <w:r>
              <w:rPr>
                <w:i/>
              </w:rPr>
              <w:t>tolerancia por definir</w:t>
            </w:r>
            <w:r>
              <w:t xml:space="preserve"> — determina si basta la odometría o se requiere referencia visual en el acoplamiento</w:t>
            </w:r>
          </w:p>
        </w:tc>
      </w:tr>
      <w:tr>
        <w:tc>
          <w:tcPr>
            <w:tcW w:type="dxa" w:w="2880"/>
          </w:tcPr>
          <w:p>
            <w:r>
              <w:t>RE3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Verificación por visión antes del maquinado</w:t>
            </w:r>
          </w:p>
        </w:tc>
        <w:tc>
          <w:tcPr>
            <w:tcW w:type="dxa" w:w="2880"/>
          </w:tcPr>
          <w:p>
            <w:r>
              <w:t>Ninguna pieza avanza sin dictamen de colocación correcta</w:t>
            </w:r>
          </w:p>
        </w:tc>
      </w:tr>
      <w:tr>
        <w:tc>
          <w:tcPr>
            <w:tcW w:type="dxa" w:w="2880"/>
          </w:tcPr>
          <w:p>
            <w:r>
              <w:t>RE4</w:t>
            </w:r>
          </w:p>
        </w:tc>
        <w:tc>
          <w:tcPr>
            <w:tcW w:type="dxa" w:w="2880"/>
          </w:tcPr>
          <w:p>
            <w:r>
              <w:t>Duración de 18 semanas improrrogables</w:t>
            </w:r>
          </w:p>
        </w:tc>
        <w:tc>
          <w:tcPr>
            <w:tcW w:type="dxa" w:w="2880"/>
          </w:tcPr>
          <w:p>
            <w:r>
              <w:t>El calendario académico no admite extensión</w:t>
            </w:r>
          </w:p>
        </w:tc>
      </w:tr>
      <w:tr>
        <w:tc>
          <w:tcPr>
            <w:tcW w:type="dxa" w:w="2880"/>
          </w:tcPr>
          <w:p>
            <w:r>
              <w:t>RE5</w:t>
            </w:r>
          </w:p>
        </w:tc>
        <w:tc>
          <w:tcPr>
            <w:tcW w:type="dxa" w:w="2880"/>
          </w:tcPr>
          <w:p>
            <w:r>
              <w:t>El NXP S32K312 no ejecuta ROS 2</w:t>
            </w:r>
          </w:p>
        </w:tc>
        <w:tc>
          <w:tcPr>
            <w:tcW w:type="dxa" w:w="2880"/>
          </w:tcPr>
          <w:p>
            <w:r>
              <w:t>Se requiere una SBC con Linux como cómputo supervisor</w:t>
            </w:r>
          </w:p>
        </w:tc>
      </w:tr>
      <w:tr>
        <w:tc>
          <w:tcPr>
            <w:tcW w:type="dxa" w:w="2880"/>
          </w:tcPr>
          <w:p>
            <w:r>
              <w:t>RE6</w:t>
            </w:r>
          </w:p>
        </w:tc>
        <w:tc>
          <w:tcPr>
            <w:tcW w:type="dxa" w:w="2880"/>
          </w:tcPr>
          <w:p>
            <w:r>
              <w:t>Acceso a la máquina CNC sujeto a la programación del laboratorio</w:t>
            </w:r>
          </w:p>
        </w:tc>
        <w:tc>
          <w:tcPr>
            <w:tcW w:type="dxa" w:w="2880"/>
          </w:tcPr>
          <w:p>
            <w:r>
              <w:t>No está bajo control del equipo</w:t>
            </w:r>
          </w:p>
        </w:tc>
      </w:tr>
      <w:tr>
        <w:tc>
          <w:tcPr>
            <w:tcW w:type="dxa" w:w="2880"/>
          </w:tcPr>
          <w:p>
            <w:r>
              <w:t>RE7</w:t>
            </w:r>
          </w:p>
        </w:tc>
        <w:tc>
          <w:tcPr>
            <w:tcW w:type="dxa" w:w="2880"/>
          </w:tcPr>
          <w:p>
            <w:r>
              <w:t>Normativa de seguridad aplicable</w:t>
            </w:r>
          </w:p>
        </w:tc>
        <w:tc>
          <w:tcPr>
            <w:tcW w:type="dxa" w:w="2880"/>
          </w:tcPr>
          <w:p>
            <w:r>
              <w:t xml:space="preserve">⬜ </w:t>
            </w:r>
            <w:r>
              <w:rPr>
                <w:i/>
              </w:rPr>
              <w:t>por confirmar cuál</w:t>
            </w:r>
          </w:p>
        </w:tc>
      </w:tr>
    </w:tbl>
    <w:p/>
    <w:p>
      <w:r>
        <w:br w:type="page"/>
      </w:r>
    </w:p>
    <w:p>
      <w:pPr>
        <w:pStyle w:val="Heading1"/>
      </w:pPr>
      <w:r>
        <w:t>8. Supuestos y Dependencias</w:t>
      </w:r>
    </w:p>
    <w:p>
      <w:pPr>
        <w:pStyle w:val="Heading2"/>
      </w:pPr>
      <w:r>
        <w:t>8.1 Supuestos</w:t>
      </w:r>
    </w:p>
    <w:p>
      <w:pPr>
        <w:pStyle w:val="ListNumber"/>
      </w:pPr>
      <w:r>
        <w:t>El equipo docente entrega el riel lineal, el LiDAR, el módulo de E/S Ethernet, el balero de rodillos cruzados y el motorreductor en tiempo para la fase de fabricación.</w:t>
      </w:r>
    </w:p>
    <w:p>
      <w:pPr>
        <w:pStyle w:val="ListNumber"/>
      </w:pPr>
      <w:r>
        <w:t>Cada integrante dedica al menos 12 h/semana al proyecto.</w:t>
      </w:r>
    </w:p>
    <w:p>
      <w:pPr>
        <w:pStyle w:val="ListNumber"/>
      </w:pPr>
      <w:r>
        <w:t>Se dispone de un cobot industrial para montar sobre el riel lineal, ya sea en préstamo o por adquisición.</w:t>
      </w:r>
    </w:p>
    <w:p>
      <w:pPr>
        <w:pStyle w:val="ListNumber"/>
      </w:pPr>
      <w:r>
        <w:t>El área de operación tiene piso plano y continuo, apto para la tracción del AGV.</w:t>
      </w:r>
    </w:p>
    <w:p>
      <w:pPr>
        <w:pStyle w:val="ListNumber"/>
      </w:pPr>
      <w:r>
        <w:t>Los precios del catálogo se mantienen dentro de un margen del 15 % al cotizar.</w:t>
      </w:r>
    </w:p>
    <w:p>
      <w:pPr>
        <w:pStyle w:val="ListNumber"/>
      </w:pPr>
      <w:r>
        <w:t>Existe acceso a taller y herramienta para fabricar el chasis y el manipulador de 4 GDL.</w:t>
      </w:r>
    </w:p>
    <w:p>
      <w:pPr>
        <w:pStyle w:val="Heading2"/>
      </w:pPr>
      <w:r>
        <w:t>8.2 Dependencias</w:t>
      </w:r>
    </w:p>
    <w:p>
      <w:pPr>
        <w:pStyle w:val="ListBullet"/>
      </w:pPr>
      <w:r>
        <w:t>La fabricación del chasis depende de la recepción del perfil de aluminio y de las ruedas.</w:t>
      </w:r>
    </w:p>
    <w:p>
      <w:pPr>
        <w:pStyle w:val="ListBullet"/>
      </w:pPr>
      <w:r>
        <w:t>La navegación autónoma depende del cómputo supervisor y del LiDAR.</w:t>
      </w:r>
    </w:p>
    <w:p>
      <w:pPr>
        <w:pStyle w:val="ListBullet"/>
      </w:pPr>
      <w:r>
        <w:t xml:space="preserve">El diseño del efector y del fixture depende de conocer la </w:t>
      </w:r>
      <w:r>
        <w:rPr>
          <w:b/>
        </w:rPr>
        <w:t>pieza real</w:t>
      </w:r>
      <w:r>
        <w:t xml:space="preserve"> a manipular. ⬜ </w:t>
      </w:r>
      <w:r>
        <w:rPr>
          <w:i/>
        </w:rPr>
        <w:t>por confirmar</w:t>
      </w:r>
    </w:p>
    <w:p>
      <w:pPr>
        <w:pStyle w:val="ListBullet"/>
      </w:pPr>
      <w:r>
        <w:t>La integración de la celda depende del acceso a la máquina CNC y del cobot sobre el riel.</w:t>
      </w:r>
    </w:p>
    <w:p>
      <w:pPr>
        <w:pStyle w:val="ListBullet"/>
      </w:pPr>
      <w:r>
        <w:t>El manipulador de 4 GDL depende del presupuesto de actuadores, todavía sin cotizar.</w:t>
      </w:r>
    </w:p>
    <w:p>
      <w:r>
        <w:br w:type="page"/>
      </w:r>
    </w:p>
    <w:p>
      <w:pPr>
        <w:pStyle w:val="Heading1"/>
      </w:pPr>
      <w:r>
        <w:t>9. Riesgos</w:t>
      </w:r>
    </w:p>
    <w:p>
      <w:r>
        <w:t>Escala de probabilidad e impacto: Baja / Media / Alta.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Riesgo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Prob.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Impacto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Exposición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Respuesta</w:t>
            </w:r>
          </w:p>
        </w:tc>
      </w:tr>
      <w:tr>
        <w:tc>
          <w:tcPr>
            <w:tcW w:type="dxa" w:w="1440"/>
          </w:tcPr>
          <w:p>
            <w:r>
              <w:t>R1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Fabricar el manipulador de 4 GDL consume el semestre.</w:t>
            </w:r>
            <w:r>
              <w:t xml:space="preserve"> Diseñar, maquinar, ensamblar y controlar un brazo propio es un proyecto completo por sí mismo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t>Crítico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Muy alta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Mitigar:</w:t>
            </w:r>
            <w:r>
              <w:t xml:space="preserve"> congelar el diseño del brazo en la semana 7 sin excepción. </w:t>
            </w:r>
            <w:r>
              <w:rPr>
                <w:b/>
              </w:rPr>
              <w:t>Contingencia:</w:t>
            </w:r>
            <w:r>
              <w:t xml:space="preserve"> reducir a 3 GDL o adquirir un brazo educativo comercial</w:t>
            </w:r>
          </w:p>
        </w:tc>
      </w:tr>
      <w:tr>
        <w:tc>
          <w:tcPr>
            <w:tcW w:type="dxa" w:w="1440"/>
          </w:tcPr>
          <w:p>
            <w:r>
              <w:t>R2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El cobot del riel no está disponible</w:t>
            </w:r>
            <w:r>
              <w:t xml:space="preserve"> cuando toca la fase 5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t>Crítico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Mitigar:</w:t>
            </w:r>
            <w:r>
              <w:t xml:space="preserve"> confirmar modelo y fecha con el Socio Formador de inmediato. </w:t>
            </w:r>
            <w:r>
              <w:rPr>
                <w:b/>
              </w:rPr>
              <w:t>Contingencia:</w:t>
            </w:r>
            <w:r>
              <w:t xml:space="preserve"> demostrar la transferencia con el manipulador del MoMa</w:t>
            </w:r>
          </w:p>
        </w:tc>
      </w:tr>
      <w:tr>
        <w:tc>
          <w:tcPr>
            <w:tcW w:type="dxa" w:w="1440"/>
          </w:tcPr>
          <w:p>
            <w:r>
              <w:t>R3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El cómputo supervisor o la batería no llegan</w:t>
            </w:r>
            <w:r>
              <w:t xml:space="preserve"> — 5 semanas de lead time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t>Crítico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Mitigar:</w:t>
            </w:r>
            <w:r>
              <w:t xml:space="preserve"> emitir órdenes antes del 29-sep. </w:t>
            </w:r>
            <w:r>
              <w:rPr>
                <w:b/>
              </w:rPr>
              <w:t>Contingencia:</w:t>
            </w:r>
            <w:r>
              <w:t xml:space="preserve"> desarrollar navegación en simulación mientras llegan</w:t>
            </w:r>
          </w:p>
        </w:tc>
      </w:tr>
      <w:tr>
        <w:tc>
          <w:tcPr>
            <w:tcW w:type="dxa" w:w="1440"/>
          </w:tcPr>
          <w:p>
            <w:r>
              <w:t>R4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Sin acceso a la máquina CNC</w:t>
            </w:r>
            <w:r>
              <w:t xml:space="preserve"> en la ventana de integración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t>Alto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Mitigar:</w:t>
            </w:r>
            <w:r>
              <w:t xml:space="preserve"> reservar la ventana desde ahora. </w:t>
            </w:r>
            <w:r>
              <w:rPr>
                <w:b/>
              </w:rPr>
              <w:t>Contingencia:</w:t>
            </w:r>
            <w:r>
              <w:t xml:space="preserve"> integrar contra una máquina simulada</w:t>
            </w:r>
          </w:p>
        </w:tc>
      </w:tr>
      <w:tr>
        <w:tc>
          <w:tcPr>
            <w:tcW w:type="dxa" w:w="1440"/>
          </w:tcPr>
          <w:p>
            <w:r>
              <w:t>R5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El peso del manipulador desestabiliza el AGV.</w:t>
            </w:r>
            <w:r>
              <w:t xml:space="preserve"> Montar un brazo sobre la plataforma sube el centro de gravedad y el par de vuelco al extender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t>Alto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Mitigar:</w:t>
            </w:r>
            <w:r>
              <w:t xml:space="preserve"> análisis de estabilidad antes de fabricar; limitar velocidad con el brazo extendido. </w:t>
            </w:r>
            <w:r>
              <w:rPr>
                <w:b/>
              </w:rPr>
              <w:t>Contingencia:</w:t>
            </w:r>
            <w:r>
              <w:t xml:space="preserve"> contrapeso o ampliación de la base</w:t>
            </w:r>
          </w:p>
        </w:tc>
      </w:tr>
      <w:tr>
        <w:tc>
          <w:tcPr>
            <w:tcW w:type="dxa" w:w="1440"/>
          </w:tcPr>
          <w:p>
            <w:r>
              <w:t>R6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 precisión de posicionamiento del AGV no basta</w:t>
            </w:r>
            <w:r>
              <w:t xml:space="preserve"> para que el manipulador tome la pieza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t>Alto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Mitigar:</w:t>
            </w:r>
            <w:r>
              <w:t xml:space="preserve"> definir la tolerancia en la semana 2 y diseñar hacia ella. </w:t>
            </w:r>
            <w:r>
              <w:rPr>
                <w:b/>
              </w:rPr>
              <w:t>Contingencia:</w:t>
            </w:r>
            <w:r>
              <w:t xml:space="preserve"> corrección fina por visión en el acoplamiento</w:t>
            </w:r>
          </w:p>
        </w:tc>
      </w:tr>
      <w:tr>
        <w:tc>
          <w:tcPr>
            <w:tcW w:type="dxa" w:w="1440"/>
          </w:tcPr>
          <w:p>
            <w:r>
              <w:t>R7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 restricción de bajo costo choca con la precisión requerida.</w:t>
            </w:r>
            <w:r>
              <w:t xml:space="preserve"> Los componentes accesibles tienen más juego mecánico y menos repetibilidad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t>Alto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Mitigar:</w:t>
            </w:r>
            <w:r>
              <w:t xml:space="preserve"> compensar en software con realimentación visual antes que con hardware más caro</w:t>
            </w:r>
          </w:p>
        </w:tc>
      </w:tr>
      <w:tr>
        <w:tc>
          <w:tcPr>
            <w:tcW w:type="dxa" w:w="1440"/>
          </w:tcPr>
          <w:p>
            <w:r>
              <w:t>R8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El consumo del manipulador reduce la autonomía</w:t>
            </w:r>
            <w:r>
              <w:t xml:space="preserve"> del AGV por debajo de lo necesario para un ciclo completo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t>Medio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Mitigar:</w:t>
            </w:r>
            <w:r>
              <w:t xml:space="preserve"> presupuesto energético en el diseño eléctrico. </w:t>
            </w:r>
            <w:r>
              <w:rPr>
                <w:b/>
              </w:rPr>
              <w:t>Contingencia:</w:t>
            </w:r>
            <w:r>
              <w:t xml:space="preserve"> ciclo con recarga intermedia</w:t>
            </w:r>
          </w:p>
        </w:tc>
      </w:tr>
      <w:tr>
        <w:tc>
          <w:tcPr>
            <w:tcW w:type="dxa" w:w="1440"/>
          </w:tcPr>
          <w:p>
            <w:r>
              <w:t>R9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El S32K312 no sostiene el lazo</w:t>
            </w:r>
            <w:r>
              <w:t xml:space="preserve"> de tracción y del manipulador a la vez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t>Medio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Mitigar:</w:t>
            </w:r>
            <w:r>
              <w:t xml:space="preserve"> medir la frecuencia de lazo en fase temprana. </w:t>
            </w:r>
            <w:r>
              <w:rPr>
                <w:b/>
              </w:rPr>
              <w:t>Contingencia:</w:t>
            </w:r>
            <w:r>
              <w:t xml:space="preserve"> segundo MCU dedicado al brazo</w:t>
            </w:r>
          </w:p>
        </w:tc>
      </w:tr>
      <w:tr>
        <w:tc>
          <w:tcPr>
            <w:tcW w:type="dxa" w:w="1440"/>
          </w:tcPr>
          <w:p>
            <w:r>
              <w:t>R10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Ciberseguridad tratada como accesorio</w:t>
            </w:r>
            <w:r>
              <w:t xml:space="preserve"> y descubierta en la última semana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t>Medio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Mitigar:</w:t>
            </w:r>
            <w:r>
              <w:t xml:space="preserve"> incluirla desde el diseño de la arquitectura de comunicación, no al final</w:t>
            </w:r>
          </w:p>
        </w:tc>
      </w:tr>
      <w:tr>
        <w:tc>
          <w:tcPr>
            <w:tcW w:type="dxa" w:w="1440"/>
          </w:tcPr>
          <w:p>
            <w:r>
              <w:t>R11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 iluminación del taller degrada el sistema de visión</w:t>
            </w:r>
            <w:r>
              <w:t xml:space="preserve"> — viruta, refrigerante y sombras cambiantes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t>Medio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Mitigar:</w:t>
            </w:r>
            <w:r>
              <w:t xml:space="preserve"> iluminación propia controlada en la estación de inspección</w:t>
            </w:r>
          </w:p>
        </w:tc>
      </w:tr>
      <w:tr>
        <w:tc>
          <w:tcPr>
            <w:tcW w:type="dxa" w:w="1440"/>
          </w:tcPr>
          <w:p>
            <w:r>
              <w:t>R12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Carga desigual entre integrantes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t>Medio</w:t>
            </w:r>
          </w:p>
        </w:tc>
        <w:tc>
          <w:tcPr>
            <w:tcW w:type="dxa" w:w="1440"/>
          </w:tcPr>
          <w:p>
            <w:r>
              <w:t>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Mitigar:</w:t>
            </w:r>
            <w:r>
              <w:t xml:space="preserve"> matriz RACI explícita y revisión semanal en el tablero Kanban</w:t>
            </w:r>
          </w:p>
        </w:tc>
      </w:tr>
      <w:tr>
        <w:tc>
          <w:tcPr>
            <w:tcW w:type="dxa" w:w="1440"/>
          </w:tcPr>
          <w:p>
            <w:r>
              <w:t>R13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El alcance del manipulador se malinterpreta</w:t>
            </w:r>
            <w:r>
              <w:t xml:space="preserve"> — uno o dos brazos, según la sección del documento que se lea</w:t>
            </w:r>
          </w:p>
        </w:tc>
        <w:tc>
          <w:tcPr>
            <w:tcW w:type="dxa" w:w="1440"/>
          </w:tcPr>
          <w:p>
            <w:r>
              <w:t>Alta</w:t>
            </w:r>
          </w:p>
        </w:tc>
        <w:tc>
          <w:tcPr>
            <w:tcW w:type="dxa" w:w="1440"/>
          </w:tcPr>
          <w:p>
            <w:r>
              <w:t>Crítico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Muy alta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Evitar:</w:t>
            </w:r>
            <w:r>
              <w:t xml:space="preserve"> cerrarlo por escrito con el Socio Formador antes de la semana 5</w:t>
            </w:r>
          </w:p>
        </w:tc>
      </w:tr>
    </w:tbl>
    <w:p/>
    <w:p>
      <w:pPr>
        <w:ind w:left="360"/>
      </w:pPr>
      <w:r>
        <w:rPr>
          <w:i/>
          <w:color w:val="444A52"/>
        </w:rPr>
        <w:t>**Los tres riesgos de exposición muy alta —R1, R13 y el par R2/R3— comparten</w:t>
      </w:r>
    </w:p>
    <w:p>
      <w:pPr>
        <w:ind w:left="360"/>
      </w:pPr>
      <w:r>
        <w:rPr>
          <w:i/>
          <w:color w:val="444A52"/>
        </w:rPr>
        <w:t>una causa: decisiones de alcance y de compra que siguen abiertas.** Ninguno se</w:t>
      </w:r>
    </w:p>
    <w:p>
      <w:pPr>
        <w:ind w:left="360"/>
      </w:pPr>
      <w:r>
        <w:rPr>
          <w:i/>
          <w:color w:val="444A52"/>
        </w:rPr>
        <w:t>resuelve con más trabajo técnico; se resuelven con una decisión y una firma.</w:t>
      </w:r>
    </w:p>
    <w:p>
      <w:r>
        <w:br w:type="page"/>
      </w:r>
    </w:p>
    <w:p>
      <w:pPr>
        <w:pStyle w:val="Heading1"/>
      </w:pPr>
      <w:r>
        <w:t>10. Autorización</w:t>
      </w:r>
    </w:p>
    <w:p>
      <w:r>
        <w:t>Los abajo firmantes coinciden en que este es un proyecto viable y autorizan el</w:t>
      </w:r>
    </w:p>
    <w:p>
      <w:r>
        <w:t>inicio de la etapa de planeación detallada.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Rol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Fecha</w:t>
            </w:r>
          </w:p>
        </w:tc>
      </w:tr>
      <w:tr>
        <w:tc>
          <w:tcPr>
            <w:tcW w:type="dxa" w:w="2160"/>
          </w:tcPr>
          <w:p>
            <w:r>
              <w:t>Director de proyecto</w:t>
            </w:r>
          </w:p>
        </w:tc>
        <w:tc>
          <w:tcPr>
            <w:tcW w:type="dxa" w:w="2160"/>
          </w:tcPr>
          <w:p>
            <w:r>
              <w:t>Rodrigo Herrera Baños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Socio Formador</w:t>
            </w:r>
          </w:p>
        </w:tc>
        <w:tc>
          <w:tcPr>
            <w:tcW w:type="dxa" w:w="2160"/>
          </w:tcPr>
          <w:p>
            <w:r>
              <w:t xml:space="preserve">⬜ </w:t>
            </w:r>
            <w:r>
              <w:rPr>
                <w:i/>
              </w:rPr>
              <w:t>por confirmar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Profesor titular del Reto</w:t>
            </w:r>
          </w:p>
        </w:tc>
        <w:tc>
          <w:tcPr>
            <w:tcW w:type="dxa" w:w="2160"/>
          </w:tcPr>
          <w:p>
            <w:r>
              <w:t>Oscar Carbajal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Profesor de Administración de Proyectos</w:t>
            </w:r>
          </w:p>
        </w:tc>
        <w:tc>
          <w:tcPr>
            <w:tcW w:type="dxa" w:w="2160"/>
          </w:tcPr>
          <w:p>
            <w:r>
              <w:t>Dani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br w:type="page"/>
      </w:r>
    </w:p>
    <w:p>
      <w:pPr>
        <w:pStyle w:val="Heading2"/>
      </w:pPr>
      <w: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Cambio</w:t>
            </w:r>
          </w:p>
        </w:tc>
      </w:tr>
      <w:tr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2026-09-04</w:t>
            </w:r>
          </w:p>
        </w:tc>
        <w:tc>
          <w:tcPr>
            <w:tcW w:type="dxa" w:w="2880"/>
          </w:tcPr>
          <w:p>
            <w:r>
              <w:t>Emisión inicial</w:t>
            </w:r>
          </w:p>
        </w:tc>
      </w:tr>
      <w:tr>
        <w:tc>
          <w:tcPr>
            <w:tcW w:type="dxa" w:w="2880"/>
          </w:tcPr>
          <w:p>
            <w:r>
              <w:t>2.0</w:t>
            </w:r>
          </w:p>
        </w:tc>
        <w:tc>
          <w:tcPr>
            <w:tcW w:type="dxa" w:w="2880"/>
          </w:tcPr>
          <w:p>
            <w:r>
              <w:t>2026-09-04</w:t>
            </w:r>
          </w:p>
        </w:tc>
        <w:tc>
          <w:tcPr>
            <w:tcW w:type="dxa" w:w="2880"/>
          </w:tcPr>
          <w:p>
            <w:r>
              <w:t>Se adopta la definición oficial del proyecto: nombre, problemática, objetivos, alcance de MoMa con manipulador de 4 GDL más cobot sobre riel, entregables y restricciones. Se desarrolla el cronograma a 18 semanas y se agrega la matriz de riesgos</w:t>
            </w:r>
          </w:p>
        </w:tc>
      </w:tr>
    </w:tbl>
    <w:p/>
    <w:p>
      <w:r>
        <w:rPr>
          <w:b/>
        </w:rPr>
        <w:t>Documentos relacionados</w:t>
      </w:r>
    </w:p>
    <w:p>
      <w:r>
        <w:rPr>
          <w:rFonts w:ascii="Consolas" w:hAnsi="Consolas"/>
          <w:sz w:val="19"/>
        </w:rPr>
        <w:t>pmi-plan-direccion-proyecto.md</w:t>
      </w:r>
      <w:r>
        <w:t xml:space="preserve"> · </w:t>
      </w:r>
      <w:r>
        <w:rPr>
          <w:rFonts w:ascii="Consolas" w:hAnsi="Consolas"/>
          <w:sz w:val="19"/>
        </w:rPr>
        <w:t>plan-de-trabajo.md</w:t>
      </w:r>
      <w:r>
        <w:t xml:space="preserve"> · </w:t>
      </w:r>
      <w:r>
        <w:rPr>
          <w:rFonts w:ascii="Consolas" w:hAnsi="Consolas"/>
          <w:sz w:val="19"/>
        </w:rPr>
        <w:t>preguntas-socio-formador.md</w:t>
      </w:r>
      <w:r>
        <w:t xml:space="preserve"> · </w:t>
      </w:r>
      <w:r>
        <w:rPr>
          <w:rFonts w:ascii="Consolas" w:hAnsi="Consolas"/>
          <w:sz w:val="19"/>
        </w:rPr>
        <w:t>02-proveeduria/catalogo-materiales.csv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