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CD315" w14:textId="77777777" w:rsidR="00E677FB" w:rsidRDefault="00000000">
      <w:pPr>
        <w:pStyle w:val="MdHeading1"/>
      </w:pPr>
      <w:r>
        <w:t>Proposta de conteúdo programático</w:t>
      </w:r>
    </w:p>
    <w:p w14:paraId="01EB0A59" w14:textId="5C474E47" w:rsidR="00E677FB" w:rsidRDefault="00000000" w:rsidP="00BF0864">
      <w:pPr>
        <w:pStyle w:val="MdHeading3"/>
      </w:pPr>
      <w:r w:rsidRPr="00BF0864">
        <w:rPr>
          <w:sz w:val="24"/>
          <w:szCs w:val="24"/>
        </w:rPr>
        <w:t>Inteligência Artificial, Plataformização e Prova Digital no Mundo do Trabalho</w:t>
      </w:r>
      <w:r w:rsidR="00BF0864">
        <w:rPr>
          <w:sz w:val="24"/>
          <w:szCs w:val="24"/>
        </w:rPr>
        <w:t>: f</w:t>
      </w:r>
      <w:r>
        <w:rPr>
          <w:rStyle w:val="MdStrong"/>
          <w:b/>
          <w:bCs/>
        </w:rPr>
        <w:t>undamentos, riscos, semiótica das redes e aplicações práticas para a atuação pericial no MPT</w:t>
      </w:r>
    </w:p>
    <w:p w14:paraId="30F8A165" w14:textId="77777777" w:rsidR="00E677FB" w:rsidRDefault="00E677FB">
      <w:pPr>
        <w:pStyle w:val="MdSpace"/>
        <w:spacing w:after="60"/>
      </w:pPr>
    </w:p>
    <w:p w14:paraId="4D5467D9" w14:textId="77777777" w:rsidR="00E677FB" w:rsidRDefault="00000000">
      <w:pPr>
        <w:pStyle w:val="MdHeading2"/>
      </w:pPr>
      <w:r>
        <w:t>Apresentação</w:t>
      </w:r>
    </w:p>
    <w:p w14:paraId="3A20DD9A" w14:textId="77777777" w:rsidR="00E677FB" w:rsidRDefault="00000000" w:rsidP="00B11FED">
      <w:pPr>
        <w:pStyle w:val="MdParagraph"/>
        <w:jc w:val="both"/>
      </w:pPr>
      <w:r>
        <w:t xml:space="preserve">Esta proposta foi elaborada para atender à demanda de formação de </w:t>
      </w:r>
      <w:r w:rsidRPr="00B11FED">
        <w:rPr>
          <w:rStyle w:val="MdStrong"/>
          <w:b w:val="0"/>
          <w:bCs w:val="0"/>
        </w:rPr>
        <w:t>peritos do Ministério Público do Trabalho</w:t>
      </w:r>
      <w:r>
        <w:t xml:space="preserve"> em torno dos impactos contemporâneos da inteligência artificial sobre a organização do trabalho, a produção de dados, a gestão algorítmica, a circulação de signos em plataformas digitais e os novos desafios de prova, fiscalização e proteção de direitos fundamentais. O desenho do curso busca dialogar com o estilo institucional de ofertas formativas da ESMPU/MPT, adotando linguagem objetiva, finalidades profissionais claras e articulação entre fundamentação conceitual, leitura crítica de casos e laboratórios práticos.</w:t>
      </w:r>
    </w:p>
    <w:p w14:paraId="16F4E7D7" w14:textId="67444456" w:rsidR="00E677FB" w:rsidRDefault="00000000" w:rsidP="00B11FED">
      <w:pPr>
        <w:pStyle w:val="MdParagraph"/>
        <w:jc w:val="both"/>
      </w:pPr>
      <w:r>
        <w:t>A proposta parte do entendimento de que a IA não pode ser estudada apenas como tecnologia isolada</w:t>
      </w:r>
      <w:r w:rsidR="00B11FED">
        <w:t xml:space="preserve"> em um mundo com tantas transformações através das plataformas e dos algoritmos</w:t>
      </w:r>
      <w:r>
        <w:t xml:space="preserve">. </w:t>
      </w:r>
      <w:r w:rsidR="00B11FED">
        <w:t xml:space="preserve">Precisamos entender o glossário, as plataformas onde diferentes gerações se comunicam e a semiótica do digital, tudo como parte de </w:t>
      </w:r>
      <w:r>
        <w:t xml:space="preserve">uma </w:t>
      </w:r>
      <w:r>
        <w:rPr>
          <w:rStyle w:val="MdStrong"/>
        </w:rPr>
        <w:t>infraestrutura sociotécnica</w:t>
      </w:r>
      <w:r>
        <w:t xml:space="preserve"> mais ampla, em que plataformas, bases de dados, interfaces, automações, métricas, signos de engajamento e regimes de visibilidade moldam formas de trabalhar, vigiar, consumir e produzir valor. Nessa perspectiva, o curso articula três planos complementares: o plano técnico, voltado à compreensão de conceitos como </w:t>
      </w:r>
      <w:r w:rsidRPr="00B11FED">
        <w:rPr>
          <w:rStyle w:val="MdStrong"/>
          <w:b w:val="0"/>
          <w:bCs w:val="0"/>
        </w:rPr>
        <w:t xml:space="preserve">IA preditiva, IA generativa, </w:t>
      </w:r>
      <w:r w:rsidR="00B11FED">
        <w:rPr>
          <w:rStyle w:val="MdStrong"/>
          <w:b w:val="0"/>
          <w:bCs w:val="0"/>
        </w:rPr>
        <w:t xml:space="preserve">machine learning, </w:t>
      </w:r>
      <w:r w:rsidRPr="00B11FED">
        <w:rPr>
          <w:rStyle w:val="MdStrong"/>
          <w:b w:val="0"/>
          <w:bCs w:val="0"/>
        </w:rPr>
        <w:t>RAG</w:t>
      </w:r>
      <w:r w:rsidR="00B11FED">
        <w:rPr>
          <w:rStyle w:val="MdStrong"/>
          <w:b w:val="0"/>
          <w:bCs w:val="0"/>
        </w:rPr>
        <w:t xml:space="preserve">, </w:t>
      </w:r>
      <w:r w:rsidRPr="00B11FED">
        <w:rPr>
          <w:rStyle w:val="MdStrong"/>
          <w:b w:val="0"/>
          <w:bCs w:val="0"/>
          <w:i/>
          <w:iCs/>
        </w:rPr>
        <w:t>fine-tuning</w:t>
      </w:r>
      <w:r w:rsidR="00B11FED" w:rsidRPr="00B11FED">
        <w:rPr>
          <w:rStyle w:val="MdStrong"/>
          <w:b w:val="0"/>
          <w:bCs w:val="0"/>
          <w:i/>
          <w:iCs/>
        </w:rPr>
        <w:t xml:space="preserve"> </w:t>
      </w:r>
      <w:r w:rsidR="00B11FED">
        <w:rPr>
          <w:rStyle w:val="MdStrong"/>
          <w:b w:val="0"/>
          <w:bCs w:val="0"/>
        </w:rPr>
        <w:t>e ia agêntica</w:t>
      </w:r>
      <w:r w:rsidRPr="00B11FED">
        <w:rPr>
          <w:b/>
          <w:bCs/>
        </w:rPr>
        <w:t xml:space="preserve">; </w:t>
      </w:r>
      <w:r w:rsidRPr="00B11FED">
        <w:t>o plano sociolaboral, voltado à</w:t>
      </w:r>
      <w:r w:rsidRPr="00B11FED">
        <w:rPr>
          <w:b/>
          <w:bCs/>
        </w:rPr>
        <w:t xml:space="preserve"> </w:t>
      </w:r>
      <w:r w:rsidRPr="00B11FED">
        <w:rPr>
          <w:rStyle w:val="MdStrong"/>
          <w:b w:val="0"/>
          <w:bCs w:val="0"/>
        </w:rPr>
        <w:t>plataformização do trabalho, fazendas de cliques, live commerce, UGC e coleta egocêntrica de dados</w:t>
      </w:r>
      <w:r w:rsidRPr="00B11FED">
        <w:t>; e o plano aplicado, voltado a</w:t>
      </w:r>
      <w:r w:rsidRPr="00B11FED">
        <w:rPr>
          <w:b/>
          <w:bCs/>
        </w:rPr>
        <w:t xml:space="preserve"> </w:t>
      </w:r>
      <w:r w:rsidRPr="00B11FED">
        <w:rPr>
          <w:rStyle w:val="MdStrong"/>
          <w:b w:val="0"/>
          <w:bCs w:val="0"/>
          <w:i/>
          <w:iCs/>
        </w:rPr>
        <w:t>hands-on</w:t>
      </w:r>
      <w:r w:rsidRPr="00B11FED">
        <w:rPr>
          <w:rStyle w:val="MdStrong"/>
          <w:b w:val="0"/>
          <w:bCs w:val="0"/>
        </w:rPr>
        <w:t xml:space="preserve"> com automação, análise semântica e agentes de IA</w:t>
      </w:r>
      <w:r w:rsidR="00B11FED" w:rsidRPr="00B11FED">
        <w:rPr>
          <w:b/>
          <w:bCs/>
        </w:rPr>
        <w:t>.</w:t>
      </w:r>
    </w:p>
    <w:p w14:paraId="4C6EE1E5" w14:textId="77777777" w:rsidR="00E677FB" w:rsidRDefault="00E677FB">
      <w:pPr>
        <w:pStyle w:val="MdSpace"/>
        <w:spacing w:after="60"/>
      </w:pPr>
    </w:p>
    <w:p w14:paraId="54DCF046" w14:textId="77777777" w:rsidR="00E677FB" w:rsidRDefault="00000000">
      <w:pPr>
        <w:pStyle w:val="MdHeading2"/>
      </w:pPr>
      <w:r>
        <w:t>Caracterização da atividade</w:t>
      </w:r>
    </w:p>
    <w:tbl>
      <w:tblPr>
        <w:tblStyle w:val="Tabelacomgrade"/>
        <w:tblW w:w="5000" w:type="pct"/>
        <w:tblLook w:val="04A0" w:firstRow="1" w:lastRow="0" w:firstColumn="1" w:lastColumn="0" w:noHBand="0" w:noVBand="1"/>
      </w:tblPr>
      <w:tblGrid>
        <w:gridCol w:w="1924"/>
        <w:gridCol w:w="7092"/>
      </w:tblGrid>
      <w:tr w:rsidR="00E677FB" w14:paraId="1D267A10" w14:textId="77777777" w:rsidTr="00BF0864">
        <w:trPr>
          <w:trHeight w:val="720"/>
        </w:trPr>
        <w:tc>
          <w:tcPr>
            <w:tcW w:w="0" w:type="auto"/>
          </w:tcPr>
          <w:p w14:paraId="3AFA7E5A" w14:textId="77777777" w:rsidR="00E677FB" w:rsidRDefault="00000000" w:rsidP="00B11FED">
            <w:pPr>
              <w:pStyle w:val="MdTableHeader"/>
              <w:spacing w:before="0" w:after="0"/>
            </w:pPr>
            <w:r>
              <w:t>Campo</w:t>
            </w:r>
          </w:p>
        </w:tc>
        <w:tc>
          <w:tcPr>
            <w:tcW w:w="0" w:type="auto"/>
          </w:tcPr>
          <w:p w14:paraId="36CE2321" w14:textId="77777777" w:rsidR="00E677FB" w:rsidRDefault="00000000" w:rsidP="00B11FED">
            <w:pPr>
              <w:pStyle w:val="MdTableHeader"/>
              <w:spacing w:before="0" w:after="0"/>
            </w:pPr>
            <w:r>
              <w:t>Proposta</w:t>
            </w:r>
          </w:p>
        </w:tc>
      </w:tr>
      <w:tr w:rsidR="00E677FB" w14:paraId="40FEC204" w14:textId="77777777" w:rsidTr="00BF0864">
        <w:trPr>
          <w:trHeight w:val="576"/>
        </w:trPr>
        <w:tc>
          <w:tcPr>
            <w:tcW w:w="0" w:type="auto"/>
          </w:tcPr>
          <w:p w14:paraId="68257FD1" w14:textId="77777777" w:rsidR="00E677FB" w:rsidRDefault="00000000" w:rsidP="00B11FED">
            <w:pPr>
              <w:pStyle w:val="MdTableCell"/>
              <w:spacing w:before="0" w:after="0"/>
            </w:pPr>
            <w:r>
              <w:rPr>
                <w:rStyle w:val="MdStrong"/>
              </w:rPr>
              <w:t>Tipo</w:t>
            </w:r>
          </w:p>
        </w:tc>
        <w:tc>
          <w:tcPr>
            <w:tcW w:w="0" w:type="auto"/>
          </w:tcPr>
          <w:p w14:paraId="01A56420" w14:textId="77777777" w:rsidR="00E677FB" w:rsidRDefault="00000000" w:rsidP="00B11FED">
            <w:pPr>
              <w:pStyle w:val="MdTableCell"/>
              <w:spacing w:before="0" w:after="0"/>
            </w:pPr>
            <w:r>
              <w:t>Aperfeiçoamento</w:t>
            </w:r>
          </w:p>
        </w:tc>
      </w:tr>
      <w:tr w:rsidR="00E677FB" w14:paraId="78420916" w14:textId="77777777" w:rsidTr="00BF0864">
        <w:trPr>
          <w:trHeight w:val="576"/>
        </w:trPr>
        <w:tc>
          <w:tcPr>
            <w:tcW w:w="0" w:type="auto"/>
          </w:tcPr>
          <w:p w14:paraId="0865FB9C" w14:textId="77777777" w:rsidR="00E677FB" w:rsidRDefault="00000000" w:rsidP="00B11FED">
            <w:pPr>
              <w:pStyle w:val="MdTableCell"/>
              <w:spacing w:before="0" w:after="0"/>
            </w:pPr>
            <w:r>
              <w:rPr>
                <w:rStyle w:val="MdStrong"/>
              </w:rPr>
              <w:t>Modalidade sugerida</w:t>
            </w:r>
          </w:p>
        </w:tc>
        <w:tc>
          <w:tcPr>
            <w:tcW w:w="0" w:type="auto"/>
          </w:tcPr>
          <w:p w14:paraId="4B723AAE" w14:textId="77777777" w:rsidR="00E677FB" w:rsidRDefault="00000000" w:rsidP="00B11FED">
            <w:pPr>
              <w:pStyle w:val="MdTableCell"/>
              <w:spacing w:before="0" w:after="0"/>
            </w:pPr>
            <w:r>
              <w:t>Híbrida ou presencial com laboratório</w:t>
            </w:r>
          </w:p>
        </w:tc>
      </w:tr>
      <w:tr w:rsidR="00E677FB" w14:paraId="4C625A06" w14:textId="77777777" w:rsidTr="00BF0864">
        <w:trPr>
          <w:trHeight w:val="576"/>
        </w:trPr>
        <w:tc>
          <w:tcPr>
            <w:tcW w:w="0" w:type="auto"/>
          </w:tcPr>
          <w:p w14:paraId="18639611" w14:textId="77777777" w:rsidR="00E677FB" w:rsidRDefault="00000000" w:rsidP="00B11FED">
            <w:pPr>
              <w:pStyle w:val="MdTableCell"/>
              <w:spacing w:before="0" w:after="0"/>
            </w:pPr>
            <w:r>
              <w:rPr>
                <w:rStyle w:val="MdStrong"/>
              </w:rPr>
              <w:t>Carga horária sugerida</w:t>
            </w:r>
          </w:p>
        </w:tc>
        <w:tc>
          <w:tcPr>
            <w:tcW w:w="0" w:type="auto"/>
          </w:tcPr>
          <w:p w14:paraId="3F80D46E" w14:textId="77777777" w:rsidR="00E677FB" w:rsidRDefault="00000000" w:rsidP="00B11FED">
            <w:pPr>
              <w:pStyle w:val="MdTableCell"/>
              <w:spacing w:before="0" w:after="0"/>
            </w:pPr>
            <w:r>
              <w:t>24 horas-aula</w:t>
            </w:r>
          </w:p>
        </w:tc>
      </w:tr>
      <w:tr w:rsidR="00E677FB" w14:paraId="541D1536" w14:textId="77777777" w:rsidTr="00BF0864">
        <w:trPr>
          <w:trHeight w:val="576"/>
        </w:trPr>
        <w:tc>
          <w:tcPr>
            <w:tcW w:w="0" w:type="auto"/>
          </w:tcPr>
          <w:p w14:paraId="74247EC1" w14:textId="77777777" w:rsidR="00E677FB" w:rsidRDefault="00000000" w:rsidP="00B11FED">
            <w:pPr>
              <w:pStyle w:val="MdTableCell"/>
              <w:spacing w:before="0" w:after="0"/>
            </w:pPr>
            <w:r>
              <w:rPr>
                <w:rStyle w:val="MdStrong"/>
              </w:rPr>
              <w:t>Público-alvo</w:t>
            </w:r>
          </w:p>
        </w:tc>
        <w:tc>
          <w:tcPr>
            <w:tcW w:w="0" w:type="auto"/>
          </w:tcPr>
          <w:p w14:paraId="371FA581" w14:textId="77777777" w:rsidR="00E677FB" w:rsidRDefault="00000000" w:rsidP="00B11FED">
            <w:pPr>
              <w:pStyle w:val="MdTableCell"/>
              <w:spacing w:before="0" w:after="0"/>
            </w:pPr>
            <w:r>
              <w:t>Peritos do MPT e servidores com atuação técnica relacionada a prova digital, análise de processos de trabalho, fiscalização, SST, ergonomia, dados e tecnologias emergentes</w:t>
            </w:r>
          </w:p>
        </w:tc>
      </w:tr>
      <w:tr w:rsidR="00E677FB" w14:paraId="7F239DCD" w14:textId="77777777" w:rsidTr="00BF0864">
        <w:trPr>
          <w:trHeight w:val="576"/>
        </w:trPr>
        <w:tc>
          <w:tcPr>
            <w:tcW w:w="0" w:type="auto"/>
          </w:tcPr>
          <w:p w14:paraId="7AC3A02A" w14:textId="77777777" w:rsidR="00E677FB" w:rsidRDefault="00000000" w:rsidP="00B11FED">
            <w:pPr>
              <w:pStyle w:val="MdTableCell"/>
              <w:spacing w:before="0" w:after="0"/>
            </w:pPr>
            <w:r>
              <w:rPr>
                <w:rStyle w:val="MdStrong"/>
              </w:rPr>
              <w:t>Número sugerido de módulos</w:t>
            </w:r>
          </w:p>
        </w:tc>
        <w:tc>
          <w:tcPr>
            <w:tcW w:w="0" w:type="auto"/>
          </w:tcPr>
          <w:p w14:paraId="3DE46C82" w14:textId="77777777" w:rsidR="00E677FB" w:rsidRDefault="00000000" w:rsidP="00B11FED">
            <w:pPr>
              <w:pStyle w:val="MdTableCell"/>
              <w:spacing w:before="0" w:after="0"/>
            </w:pPr>
            <w:r>
              <w:t>6 módulos temáticos integrados</w:t>
            </w:r>
          </w:p>
        </w:tc>
      </w:tr>
      <w:tr w:rsidR="00E677FB" w14:paraId="28E49B67" w14:textId="77777777" w:rsidTr="00BF0864">
        <w:trPr>
          <w:trHeight w:val="576"/>
        </w:trPr>
        <w:tc>
          <w:tcPr>
            <w:tcW w:w="0" w:type="auto"/>
          </w:tcPr>
          <w:p w14:paraId="1469B4DD" w14:textId="77777777" w:rsidR="00E677FB" w:rsidRDefault="00000000" w:rsidP="00B11FED">
            <w:pPr>
              <w:pStyle w:val="MdTableCell"/>
              <w:spacing w:before="0" w:after="0"/>
            </w:pPr>
            <w:r>
              <w:rPr>
                <w:rStyle w:val="MdStrong"/>
              </w:rPr>
              <w:lastRenderedPageBreak/>
              <w:t>Metodologia central</w:t>
            </w:r>
          </w:p>
        </w:tc>
        <w:tc>
          <w:tcPr>
            <w:tcW w:w="0" w:type="auto"/>
          </w:tcPr>
          <w:p w14:paraId="364C51A3" w14:textId="77777777" w:rsidR="00E677FB" w:rsidRDefault="00000000" w:rsidP="00B11FED">
            <w:pPr>
              <w:pStyle w:val="MdTableCell"/>
              <w:spacing w:before="0" w:after="0"/>
            </w:pPr>
            <w:r>
              <w:t>Exposição dialogada, análise de casos, leitura orientada, demonstrações técnicas e oficinas práticas</w:t>
            </w:r>
          </w:p>
        </w:tc>
      </w:tr>
      <w:tr w:rsidR="00E677FB" w14:paraId="21C69D2A" w14:textId="77777777" w:rsidTr="00BF0864">
        <w:trPr>
          <w:trHeight w:val="576"/>
        </w:trPr>
        <w:tc>
          <w:tcPr>
            <w:tcW w:w="0" w:type="auto"/>
          </w:tcPr>
          <w:p w14:paraId="652A994E" w14:textId="77777777" w:rsidR="00E677FB" w:rsidRDefault="00000000" w:rsidP="00B11FED">
            <w:pPr>
              <w:pStyle w:val="MdTableCell"/>
              <w:spacing w:before="0" w:after="0"/>
            </w:pPr>
            <w:r>
              <w:rPr>
                <w:rStyle w:val="MdStrong"/>
              </w:rPr>
              <w:t>Produto pedagógico esperado</w:t>
            </w:r>
          </w:p>
        </w:tc>
        <w:tc>
          <w:tcPr>
            <w:tcW w:w="0" w:type="auto"/>
          </w:tcPr>
          <w:p w14:paraId="2E482BD7" w14:textId="77777777" w:rsidR="00E677FB" w:rsidRDefault="00000000" w:rsidP="00B11FED">
            <w:pPr>
              <w:pStyle w:val="MdTableCell"/>
              <w:spacing w:before="0" w:after="0"/>
            </w:pPr>
            <w:r>
              <w:t>Matriz analítica para atuação pericial diante de sistemas de IA e plataformas digitais</w:t>
            </w:r>
          </w:p>
        </w:tc>
      </w:tr>
    </w:tbl>
    <w:p w14:paraId="5B8827BA" w14:textId="77777777" w:rsidR="00E677FB" w:rsidRDefault="00000000">
      <w:pPr>
        <w:pStyle w:val="MdHeading2"/>
      </w:pPr>
      <w:r>
        <w:t>Justificativa</w:t>
      </w:r>
    </w:p>
    <w:p w14:paraId="1168F1C0" w14:textId="2A101E70" w:rsidR="00E677FB" w:rsidRDefault="00000000" w:rsidP="00B11FED">
      <w:pPr>
        <w:pStyle w:val="MdParagraph"/>
        <w:jc w:val="both"/>
      </w:pPr>
      <w:r>
        <w:t xml:space="preserve">A crescente incorporação de sistemas de IA em organizações públicas e privadas alterou os modos de produzir, registrar, supervisionar e avaliar o trabalho. Em paralelo, a expansão das plataformas digitais consolidou um ambiente em que dados, recomendações algorítmicas, interfaces e mecanismos de engajamento passam a estruturar relações de trabalho, consumo e circulação informacional. A literatura recente sobre plataformização destaca que plataformas operam por meio de </w:t>
      </w:r>
      <w:r w:rsidRPr="00B11FED">
        <w:rPr>
          <w:rStyle w:val="MdStrong"/>
          <w:b w:val="0"/>
          <w:bCs w:val="0"/>
        </w:rPr>
        <w:t>coleta sistemática, processamento algorítmico, monetização e circulação de dados</w:t>
      </w:r>
      <w:r>
        <w:t>, com efeitos concretos sobre a economia, a cultura, a política e o trabalho</w:t>
      </w:r>
      <w:r w:rsidR="00B11FED">
        <w:t>, com perda do cuidado genuíno e aumento dos riscos psicossociais</w:t>
      </w:r>
      <w:r>
        <w:t>.</w:t>
      </w:r>
    </w:p>
    <w:p w14:paraId="161E08DB" w14:textId="025603FD" w:rsidR="00E677FB" w:rsidRDefault="00000000" w:rsidP="00B11FED">
      <w:pPr>
        <w:pStyle w:val="MdParagraph"/>
        <w:jc w:val="both"/>
      </w:pPr>
      <w:r>
        <w:t xml:space="preserve">No campo laboral, isso se expressa tanto nas formas mais visíveis de trabalho por plataformas quanto em formas menos evidentes, mas altamente relevantes para a atuação pericial, como o </w:t>
      </w:r>
      <w:r w:rsidRPr="00B11FED">
        <w:rPr>
          <w:rStyle w:val="MdStrong"/>
          <w:b w:val="0"/>
          <w:bCs w:val="0"/>
        </w:rPr>
        <w:t>microtrabalho</w:t>
      </w:r>
      <w:r>
        <w:t>, a moderação, o treinamento de sistemas, a produção de sinais comportamentais para recomendação e a manipulação artificial de métricas em redes sociai</w:t>
      </w:r>
      <w:r w:rsidR="00B11FED">
        <w:t>s</w:t>
      </w:r>
      <w:r>
        <w:t xml:space="preserve">. O caso das </w:t>
      </w:r>
      <w:r w:rsidRPr="00B11FED">
        <w:rPr>
          <w:rStyle w:val="MdStrong"/>
          <w:b w:val="0"/>
          <w:bCs w:val="0"/>
        </w:rPr>
        <w:t>fazendas de cliques</w:t>
      </w:r>
      <w:r>
        <w:t>, por exemplo, evidencia que pessoas são pagas para curtir, comentar e seguir perfis, em uma engrenagem de trabalho digital invisível que combina informalidade, extração de dados, fraude de engajamento e opacidade organizacional.</w:t>
      </w:r>
    </w:p>
    <w:p w14:paraId="4052DE1B" w14:textId="0CCD492E" w:rsidR="00E677FB" w:rsidRDefault="00000000" w:rsidP="00B11FED">
      <w:pPr>
        <w:pStyle w:val="MdParagraph"/>
        <w:jc w:val="both"/>
      </w:pPr>
      <w:r>
        <w:t xml:space="preserve">Ao mesmo tempo, a inteligência artificial generativa introduz novos desafios. A distinção entre </w:t>
      </w:r>
      <w:r w:rsidRPr="00B11FED">
        <w:rPr>
          <w:rStyle w:val="MdStrong"/>
          <w:b w:val="0"/>
          <w:bCs w:val="0"/>
        </w:rPr>
        <w:t>IA preditiva</w:t>
      </w:r>
      <w:r w:rsidRPr="00B11FED">
        <w:rPr>
          <w:b/>
          <w:bCs/>
        </w:rPr>
        <w:t xml:space="preserve"> </w:t>
      </w:r>
      <w:r w:rsidRPr="00B11FED">
        <w:t>e</w:t>
      </w:r>
      <w:r w:rsidRPr="00B11FED">
        <w:rPr>
          <w:b/>
          <w:bCs/>
        </w:rPr>
        <w:t xml:space="preserve"> </w:t>
      </w:r>
      <w:r w:rsidRPr="00B11FED">
        <w:rPr>
          <w:rStyle w:val="MdStrong"/>
          <w:b w:val="0"/>
          <w:bCs w:val="0"/>
        </w:rPr>
        <w:t>IA generativa</w:t>
      </w:r>
      <w:r>
        <w:t xml:space="preserve"> tornou-se indispensável para qualquer abordagem do tema: enquanto a primeira opera principalmente sobre padrões históricos para prever resultados, classificar eventos ou recomendar ações, a segunda se orienta à geração de novos conteúdos, como texto, imagem, áudio e outros formatos. Essa distinção terminológica</w:t>
      </w:r>
      <w:r w:rsidR="00B11FED">
        <w:t xml:space="preserve"> impacta</w:t>
      </w:r>
      <w:r>
        <w:t xml:space="preserve"> diretamente </w:t>
      </w:r>
      <w:r w:rsidR="00B11FED">
        <w:t>n</w:t>
      </w:r>
      <w:r>
        <w:t>os problemas de governança, prova, responsabilidade, viés, segurança da informação e uso institucional.</w:t>
      </w:r>
    </w:p>
    <w:p w14:paraId="42123E6D" w14:textId="3A7D28E0" w:rsidR="00E677FB" w:rsidRDefault="00000000" w:rsidP="00B11FED">
      <w:pPr>
        <w:pStyle w:val="MdParagraph"/>
        <w:jc w:val="both"/>
      </w:pPr>
      <w:r>
        <w:t xml:space="preserve">Também emergem novas formas de coleta de dados sobre o corpo e a atividade laboral. O material indicado pelo usuário sobre </w:t>
      </w:r>
      <w:r w:rsidRPr="00B11FED">
        <w:rPr>
          <w:rStyle w:val="MdStrong"/>
          <w:b w:val="0"/>
          <w:bCs w:val="0"/>
          <w:i/>
          <w:iCs/>
        </w:rPr>
        <w:t>egocentric data collection</w:t>
      </w:r>
      <w:r w:rsidRPr="00B11FED">
        <w:rPr>
          <w:b/>
          <w:bCs/>
          <w:i/>
          <w:iCs/>
        </w:rPr>
        <w:t xml:space="preserve"> </w:t>
      </w:r>
      <w:r>
        <w:t xml:space="preserve">exemplifica uma lógica em que a perspectiva visual e motora do trabalhador é capturada em primeira pessoa para treinamento de sistemas automatizados, intensificando simultaneamente vigilância, produção de bases de dados e possibilidades de prova digital. Para peritos do MPT, isso amplia a necessidade de compreender não apenas documentos e </w:t>
      </w:r>
      <w:r w:rsidRPr="00B11FED">
        <w:rPr>
          <w:i/>
          <w:iCs/>
        </w:rPr>
        <w:t>logs</w:t>
      </w:r>
      <w:r>
        <w:t xml:space="preserve"> tradicionais, mas também vídeos, fluxos de interação, registros comportamentais, pipelines de dados e sistemas de inferência algorítmica.</w:t>
      </w:r>
    </w:p>
    <w:p w14:paraId="37AD9CD9" w14:textId="6E168759" w:rsidR="00E677FB" w:rsidRDefault="00000000" w:rsidP="00B11FED">
      <w:pPr>
        <w:pStyle w:val="MdParagraph"/>
        <w:jc w:val="both"/>
      </w:pPr>
      <w:r w:rsidRPr="00B11FED">
        <w:t xml:space="preserve">Diante desse cenário, justifica-se uma formação que integre repertório conceitual sólido, leitura crítica do mundo do trabalho digital e experimentação prática controlada, apta a fortalecer a atuação pericial em temas como </w:t>
      </w:r>
      <w:r w:rsidRPr="00B11FED">
        <w:rPr>
          <w:rStyle w:val="MdStrong"/>
          <w:b w:val="0"/>
          <w:bCs w:val="0"/>
        </w:rPr>
        <w:t>subordinação algorítmica, extração de dados, privacidade, ergonomia digital, discriminação, autenticidade de métricas, segurança informacional e prova técnica em ambientes mediados por IA</w:t>
      </w:r>
      <w:r w:rsidR="00B11FED" w:rsidRPr="00B11FED">
        <w:t>.</w:t>
      </w:r>
    </w:p>
    <w:p w14:paraId="1A66F76B" w14:textId="77777777" w:rsidR="00E677FB" w:rsidRDefault="00000000">
      <w:pPr>
        <w:pStyle w:val="MdHeading2"/>
      </w:pPr>
      <w:r>
        <w:t>Objetivo geral</w:t>
      </w:r>
    </w:p>
    <w:p w14:paraId="41409C05" w14:textId="71534668" w:rsidR="00E677FB" w:rsidRDefault="00000000" w:rsidP="00B11FED">
      <w:pPr>
        <w:pStyle w:val="MdParagraph"/>
        <w:jc w:val="both"/>
      </w:pPr>
      <w:r>
        <w:t xml:space="preserve">Capacitar peritos do MPT para compreender, analisar criticamente e utilizar referenciais técnicos sobre inteligência artificial, plataformização e automação, com foco na identificação </w:t>
      </w:r>
      <w:r>
        <w:lastRenderedPageBreak/>
        <w:t>de riscos, produção e interpretação de prova digital, proteção de dados e avaliação de impactos sobre as relações e condições de trabalho.</w:t>
      </w:r>
    </w:p>
    <w:p w14:paraId="66AE4CD9" w14:textId="77777777" w:rsidR="00E677FB" w:rsidRDefault="00000000">
      <w:pPr>
        <w:pStyle w:val="MdHeading2"/>
      </w:pPr>
      <w:r>
        <w:t>Objetivos específicos</w:t>
      </w:r>
    </w:p>
    <w:tbl>
      <w:tblPr>
        <w:tblStyle w:val="Tabelacomgrade"/>
        <w:tblW w:w="5000" w:type="pct"/>
        <w:tblLook w:val="04A0" w:firstRow="1" w:lastRow="0" w:firstColumn="1" w:lastColumn="0" w:noHBand="0" w:noVBand="1"/>
      </w:tblPr>
      <w:tblGrid>
        <w:gridCol w:w="1629"/>
        <w:gridCol w:w="7387"/>
      </w:tblGrid>
      <w:tr w:rsidR="00E677FB" w14:paraId="0415EB5A" w14:textId="77777777" w:rsidTr="00BF0864">
        <w:trPr>
          <w:trHeight w:val="720"/>
        </w:trPr>
        <w:tc>
          <w:tcPr>
            <w:tcW w:w="0" w:type="auto"/>
          </w:tcPr>
          <w:p w14:paraId="47C7034A" w14:textId="77777777" w:rsidR="00E677FB" w:rsidRDefault="00000000">
            <w:pPr>
              <w:pStyle w:val="MdTableHeader"/>
            </w:pPr>
            <w:r>
              <w:t>Eixo</w:t>
            </w:r>
          </w:p>
        </w:tc>
        <w:tc>
          <w:tcPr>
            <w:tcW w:w="0" w:type="auto"/>
          </w:tcPr>
          <w:p w14:paraId="38D5FB49" w14:textId="77777777" w:rsidR="00E677FB" w:rsidRDefault="00000000">
            <w:pPr>
              <w:pStyle w:val="MdTableHeader"/>
            </w:pPr>
            <w:r>
              <w:t>Objetivo específico</w:t>
            </w:r>
          </w:p>
        </w:tc>
      </w:tr>
      <w:tr w:rsidR="00E677FB" w14:paraId="0380647C" w14:textId="77777777" w:rsidTr="00BF0864">
        <w:trPr>
          <w:trHeight w:val="576"/>
        </w:trPr>
        <w:tc>
          <w:tcPr>
            <w:tcW w:w="0" w:type="auto"/>
          </w:tcPr>
          <w:p w14:paraId="57F28847" w14:textId="77777777" w:rsidR="00E677FB" w:rsidRDefault="00000000">
            <w:pPr>
              <w:pStyle w:val="MdTableCell"/>
            </w:pPr>
            <w:r>
              <w:rPr>
                <w:rStyle w:val="MdStrong"/>
              </w:rPr>
              <w:t>Conceitual</w:t>
            </w:r>
          </w:p>
        </w:tc>
        <w:tc>
          <w:tcPr>
            <w:tcW w:w="0" w:type="auto"/>
          </w:tcPr>
          <w:p w14:paraId="0E62E88F" w14:textId="22C10556" w:rsidR="00E677FB" w:rsidRDefault="00000000">
            <w:pPr>
              <w:pStyle w:val="MdTableCell"/>
            </w:pPr>
            <w:r>
              <w:t>Distinguir IA preditiva de IA generativa e reconhecer seus principais usos, riscos e implicações periciais.</w:t>
            </w:r>
          </w:p>
        </w:tc>
      </w:tr>
      <w:tr w:rsidR="00E677FB" w14:paraId="6136C56B" w14:textId="77777777" w:rsidTr="00BF0864">
        <w:trPr>
          <w:trHeight w:val="576"/>
        </w:trPr>
        <w:tc>
          <w:tcPr>
            <w:tcW w:w="0" w:type="auto"/>
          </w:tcPr>
          <w:p w14:paraId="6F9B94CD" w14:textId="77777777" w:rsidR="00E677FB" w:rsidRDefault="00000000">
            <w:pPr>
              <w:pStyle w:val="MdTableCell"/>
            </w:pPr>
            <w:r>
              <w:rPr>
                <w:rStyle w:val="MdStrong"/>
              </w:rPr>
              <w:t>Sociolaboral</w:t>
            </w:r>
          </w:p>
        </w:tc>
        <w:tc>
          <w:tcPr>
            <w:tcW w:w="0" w:type="auto"/>
          </w:tcPr>
          <w:p w14:paraId="3EA87FAC" w14:textId="409E6847" w:rsidR="00E677FB" w:rsidRDefault="00000000">
            <w:pPr>
              <w:pStyle w:val="MdTableCell"/>
            </w:pPr>
            <w:r>
              <w:t>Compreender como a plataformização reorganiza o trabalho, inclusive em formas invisíveis, precárias ou intermediadas por métricas e algoritmos.</w:t>
            </w:r>
          </w:p>
        </w:tc>
      </w:tr>
      <w:tr w:rsidR="00E677FB" w14:paraId="4299A9E6" w14:textId="77777777" w:rsidTr="00BF0864">
        <w:trPr>
          <w:trHeight w:val="576"/>
        </w:trPr>
        <w:tc>
          <w:tcPr>
            <w:tcW w:w="0" w:type="auto"/>
          </w:tcPr>
          <w:p w14:paraId="0D409535" w14:textId="77777777" w:rsidR="00E677FB" w:rsidRDefault="00000000">
            <w:pPr>
              <w:pStyle w:val="MdTableCell"/>
            </w:pPr>
            <w:r>
              <w:rPr>
                <w:rStyle w:val="MdStrong"/>
              </w:rPr>
              <w:t>Semiótico</w:t>
            </w:r>
          </w:p>
        </w:tc>
        <w:tc>
          <w:tcPr>
            <w:tcW w:w="0" w:type="auto"/>
          </w:tcPr>
          <w:p w14:paraId="01A8C4FC" w14:textId="0CFEBB32" w:rsidR="00E677FB" w:rsidRDefault="00000000">
            <w:pPr>
              <w:pStyle w:val="MdTableCell"/>
            </w:pPr>
            <w:r>
              <w:t>Analisar a semiótica das redes digitais, com atenção a UGC, emotes, avatares, sinais de engajamento, live shopping e regimes de visibilidade.</w:t>
            </w:r>
          </w:p>
        </w:tc>
      </w:tr>
      <w:tr w:rsidR="00E677FB" w14:paraId="3EFB5BE4" w14:textId="77777777" w:rsidTr="00BF0864">
        <w:trPr>
          <w:trHeight w:val="576"/>
        </w:trPr>
        <w:tc>
          <w:tcPr>
            <w:tcW w:w="0" w:type="auto"/>
          </w:tcPr>
          <w:p w14:paraId="1C17B8CC" w14:textId="77777777" w:rsidR="00E677FB" w:rsidRDefault="00000000">
            <w:pPr>
              <w:pStyle w:val="MdTableCell"/>
            </w:pPr>
            <w:r>
              <w:rPr>
                <w:rStyle w:val="MdStrong"/>
              </w:rPr>
              <w:t>Técnico-operacional</w:t>
            </w:r>
          </w:p>
        </w:tc>
        <w:tc>
          <w:tcPr>
            <w:tcW w:w="0" w:type="auto"/>
          </w:tcPr>
          <w:p w14:paraId="551919B0" w14:textId="3BAE2FC8" w:rsidR="00E677FB" w:rsidRDefault="00000000">
            <w:pPr>
              <w:pStyle w:val="MdTableCell"/>
            </w:pPr>
            <w:r>
              <w:t>Identificar as diferenças entre RAG, fine-tuning e outras estratégias de adaptação de modelos, com atenção à governança e à segurança de dados.</w:t>
            </w:r>
          </w:p>
        </w:tc>
      </w:tr>
      <w:tr w:rsidR="00E677FB" w14:paraId="69D110F8" w14:textId="77777777" w:rsidTr="00BF0864">
        <w:trPr>
          <w:trHeight w:val="576"/>
        </w:trPr>
        <w:tc>
          <w:tcPr>
            <w:tcW w:w="0" w:type="auto"/>
          </w:tcPr>
          <w:p w14:paraId="4C010355" w14:textId="77777777" w:rsidR="00E677FB" w:rsidRDefault="00000000">
            <w:pPr>
              <w:pStyle w:val="MdTableCell"/>
            </w:pPr>
            <w:r>
              <w:rPr>
                <w:rStyle w:val="MdStrong"/>
              </w:rPr>
              <w:t>Pericial</w:t>
            </w:r>
          </w:p>
        </w:tc>
        <w:tc>
          <w:tcPr>
            <w:tcW w:w="0" w:type="auto"/>
          </w:tcPr>
          <w:p w14:paraId="5DE9B4FC" w14:textId="2F6411E7" w:rsidR="00E677FB" w:rsidRDefault="00000000">
            <w:pPr>
              <w:pStyle w:val="MdTableCell"/>
            </w:pPr>
            <w:r>
              <w:t>Reconhecer fontes contemporâneas de prova digital relacionadas a IA, plataformas, automações e coleta comportamental, inclusive egocentric data collectio.</w:t>
            </w:r>
          </w:p>
        </w:tc>
      </w:tr>
      <w:tr w:rsidR="00E677FB" w14:paraId="26F1C4B6" w14:textId="77777777" w:rsidTr="00BF0864">
        <w:trPr>
          <w:trHeight w:val="576"/>
        </w:trPr>
        <w:tc>
          <w:tcPr>
            <w:tcW w:w="0" w:type="auto"/>
          </w:tcPr>
          <w:p w14:paraId="1484E9BD" w14:textId="77777777" w:rsidR="00E677FB" w:rsidRDefault="00000000">
            <w:pPr>
              <w:pStyle w:val="MdTableCell"/>
            </w:pPr>
            <w:r>
              <w:rPr>
                <w:rStyle w:val="MdStrong"/>
              </w:rPr>
              <w:t>Prático</w:t>
            </w:r>
          </w:p>
        </w:tc>
        <w:tc>
          <w:tcPr>
            <w:tcW w:w="0" w:type="auto"/>
          </w:tcPr>
          <w:p w14:paraId="4A07C3DD" w14:textId="2A046153" w:rsidR="00E677FB" w:rsidRDefault="00000000">
            <w:pPr>
              <w:pStyle w:val="MdTableCell"/>
            </w:pPr>
            <w:r>
              <w:t>Experimentar fluxos básicos de automação e agentes de IA com Power Automate, Make.com e Manus, com supervisão humana e avaliação crítica.</w:t>
            </w:r>
          </w:p>
        </w:tc>
      </w:tr>
    </w:tbl>
    <w:p w14:paraId="24144246" w14:textId="77777777" w:rsidR="00E677FB" w:rsidRDefault="00000000">
      <w:pPr>
        <w:pStyle w:val="MdHeading2"/>
      </w:pPr>
      <w:r>
        <w:t>Ementa</w:t>
      </w:r>
    </w:p>
    <w:p w14:paraId="383F4E33" w14:textId="77777777" w:rsidR="00E677FB" w:rsidRDefault="00000000" w:rsidP="00B11FED">
      <w:pPr>
        <w:pStyle w:val="MdParagraph"/>
        <w:jc w:val="both"/>
      </w:pPr>
      <w:r>
        <w:t>Estudo dos fundamentos da inteligência artificial, com distinção entre IA preditiva e IA generativa. Plataformização da sociedade e do trabalho, dataficação, governamentalidade algorítmica, vigilância e soberania digital. Semiótica das redes e economia da atenção: UGC, emotes, avatares, Roblox, live commerce, métricas de engajamento, click farms e regimes de visibilidade. RAG, fine-tuning, segurança de dados e governança da informação. Egocentric data collection, prova digital e análise pericial em contextos de monitoramento intensivo. Oficinas práticas de análise semântica e automação com Power Automate, Make.com e Manus, com foco em uso institucional responsável, supervisão humana e limites jurídicos e éticos.</w:t>
      </w:r>
    </w:p>
    <w:p w14:paraId="6FA7BB0A" w14:textId="77777777" w:rsidR="00E677FB" w:rsidRDefault="00E677FB">
      <w:pPr>
        <w:pStyle w:val="MdSpace"/>
        <w:spacing w:after="60"/>
      </w:pPr>
    </w:p>
    <w:p w14:paraId="10BF5789" w14:textId="77777777" w:rsidR="00E677FB" w:rsidRDefault="00000000">
      <w:pPr>
        <w:pStyle w:val="MdHeading2"/>
      </w:pPr>
      <w:r>
        <w:t>Conteúdo programático</w:t>
      </w:r>
    </w:p>
    <w:p w14:paraId="178DE1A3" w14:textId="77777777" w:rsidR="00E677FB" w:rsidRDefault="00000000">
      <w:pPr>
        <w:pStyle w:val="MdHeading3"/>
      </w:pPr>
      <w:r>
        <w:t>Módulo 1 — Fundamentos de IA para atuação pericial</w:t>
      </w:r>
    </w:p>
    <w:p w14:paraId="3915ECE7" w14:textId="4C960C53" w:rsidR="00E677FB" w:rsidRDefault="00000000" w:rsidP="00B11FED">
      <w:pPr>
        <w:pStyle w:val="MdParagraph"/>
        <w:jc w:val="both"/>
      </w:pPr>
      <w:r>
        <w:t xml:space="preserve">O módulo de abertura introduz o vocabulário essencial da área, evitando tanto simplificações excessivas quanto jargão técnico desnecessário. Parte-se da distinção entre </w:t>
      </w:r>
      <w:r>
        <w:rPr>
          <w:rStyle w:val="MdStrong"/>
        </w:rPr>
        <w:t>IA preditiva</w:t>
      </w:r>
      <w:r>
        <w:t xml:space="preserve"> e </w:t>
      </w:r>
      <w:r>
        <w:rPr>
          <w:rStyle w:val="MdStrong"/>
        </w:rPr>
        <w:t>IA generativa</w:t>
      </w:r>
      <w:r>
        <w:t>. A IA preditiva utiliza dados históricos e técnicas de modelagem para prever resultados futuros, classificar ocorrências e apoiar decisões; a IA generativa, por sua vez, aprende padrões em grandes bases de dados para produzir conteúdos novos, como textos, imagens ou outros artefatos.</w:t>
      </w:r>
    </w:p>
    <w:p w14:paraId="1A9041A7" w14:textId="77777777" w:rsidR="00E677FB" w:rsidRDefault="00000000" w:rsidP="00B11FED">
      <w:pPr>
        <w:pStyle w:val="MdParagraph"/>
        <w:jc w:val="both"/>
      </w:pPr>
      <w:r>
        <w:t>Além dessa distinção, o módulo examina noções de aprendizado de máquina, modelos de linguagem, análise semântica, recomendações automatizadas, alucinações, vieses e limites epistêmicos dos modelos. O objetivo é permitir que o perito identifique que tipo de sistema está diante de si, o que ele efetivamente faz e quais perguntas técnicas precisam ser formuladas em uma análise pericial.</w:t>
      </w:r>
    </w:p>
    <w:p w14:paraId="2B337138" w14:textId="77777777" w:rsidR="00E677FB" w:rsidRDefault="00E677FB">
      <w:pPr>
        <w:pStyle w:val="MdSpace"/>
        <w:spacing w:after="60"/>
      </w:pPr>
    </w:p>
    <w:tbl>
      <w:tblPr>
        <w:tblStyle w:val="Tabelacomgrade"/>
        <w:tblW w:w="5000" w:type="pct"/>
        <w:tblLook w:val="04A0" w:firstRow="1" w:lastRow="0" w:firstColumn="1" w:lastColumn="0" w:noHBand="0" w:noVBand="1"/>
      </w:tblPr>
      <w:tblGrid>
        <w:gridCol w:w="3938"/>
        <w:gridCol w:w="5078"/>
      </w:tblGrid>
      <w:tr w:rsidR="00E677FB" w14:paraId="557EDDF6" w14:textId="77777777" w:rsidTr="00BF0864">
        <w:trPr>
          <w:trHeight w:val="720"/>
        </w:trPr>
        <w:tc>
          <w:tcPr>
            <w:tcW w:w="0" w:type="auto"/>
          </w:tcPr>
          <w:p w14:paraId="6F8B4B1B" w14:textId="77777777" w:rsidR="00E677FB" w:rsidRDefault="00000000">
            <w:pPr>
              <w:pStyle w:val="MdTableHeader"/>
            </w:pPr>
            <w:r>
              <w:t>Tópicos centrais</w:t>
            </w:r>
          </w:p>
        </w:tc>
        <w:tc>
          <w:tcPr>
            <w:tcW w:w="0" w:type="auto"/>
          </w:tcPr>
          <w:p w14:paraId="4DCD3BE0" w14:textId="77777777" w:rsidR="00E677FB" w:rsidRDefault="00000000">
            <w:pPr>
              <w:pStyle w:val="MdTableHeader"/>
            </w:pPr>
            <w:r>
              <w:t>Competências esperadas</w:t>
            </w:r>
          </w:p>
        </w:tc>
      </w:tr>
      <w:tr w:rsidR="00E677FB" w14:paraId="305F20E4" w14:textId="77777777" w:rsidTr="00BF0864">
        <w:trPr>
          <w:trHeight w:val="576"/>
        </w:trPr>
        <w:tc>
          <w:tcPr>
            <w:tcW w:w="0" w:type="auto"/>
          </w:tcPr>
          <w:p w14:paraId="7F15FB2F" w14:textId="77777777" w:rsidR="00E677FB" w:rsidRDefault="00000000">
            <w:pPr>
              <w:pStyle w:val="MdTableCell"/>
            </w:pPr>
            <w:r>
              <w:t>IA preditiva x IA generativa</w:t>
            </w:r>
          </w:p>
        </w:tc>
        <w:tc>
          <w:tcPr>
            <w:tcW w:w="0" w:type="auto"/>
          </w:tcPr>
          <w:p w14:paraId="09522B98" w14:textId="77777777" w:rsidR="00E677FB" w:rsidRDefault="00000000">
            <w:pPr>
              <w:pStyle w:val="MdTableCell"/>
            </w:pPr>
            <w:r>
              <w:t>Reconhecer diferenças funcionais, riscos e usos institucionais</w:t>
            </w:r>
          </w:p>
        </w:tc>
      </w:tr>
      <w:tr w:rsidR="00E677FB" w14:paraId="566FDF8B" w14:textId="77777777" w:rsidTr="00BF0864">
        <w:trPr>
          <w:trHeight w:val="576"/>
        </w:trPr>
        <w:tc>
          <w:tcPr>
            <w:tcW w:w="0" w:type="auto"/>
          </w:tcPr>
          <w:p w14:paraId="4C7D86EC" w14:textId="77777777" w:rsidR="00E677FB" w:rsidRDefault="00000000">
            <w:pPr>
              <w:pStyle w:val="MdTableCell"/>
            </w:pPr>
            <w:r>
              <w:t>Aprendizado de máquina e modelos de linguagem</w:t>
            </w:r>
          </w:p>
        </w:tc>
        <w:tc>
          <w:tcPr>
            <w:tcW w:w="0" w:type="auto"/>
          </w:tcPr>
          <w:p w14:paraId="06ADD924" w14:textId="77777777" w:rsidR="00E677FB" w:rsidRDefault="00000000">
            <w:pPr>
              <w:pStyle w:val="MdTableCell"/>
            </w:pPr>
            <w:r>
              <w:t>Compreender fundamentos sem exigir formação em programação</w:t>
            </w:r>
          </w:p>
        </w:tc>
      </w:tr>
      <w:tr w:rsidR="00E677FB" w14:paraId="033F3976" w14:textId="77777777" w:rsidTr="00BF0864">
        <w:trPr>
          <w:trHeight w:val="576"/>
        </w:trPr>
        <w:tc>
          <w:tcPr>
            <w:tcW w:w="0" w:type="auto"/>
          </w:tcPr>
          <w:p w14:paraId="1CDFAA72" w14:textId="77777777" w:rsidR="00E677FB" w:rsidRDefault="00000000">
            <w:pPr>
              <w:pStyle w:val="MdTableCell"/>
            </w:pPr>
            <w:r>
              <w:t>Alucinação, erro e confiança</w:t>
            </w:r>
          </w:p>
        </w:tc>
        <w:tc>
          <w:tcPr>
            <w:tcW w:w="0" w:type="auto"/>
          </w:tcPr>
          <w:p w14:paraId="4B9A8DD0" w14:textId="77777777" w:rsidR="00E677FB" w:rsidRDefault="00000000">
            <w:pPr>
              <w:pStyle w:val="MdTableCell"/>
            </w:pPr>
            <w:r>
              <w:t>Avaliar criticamente saídas automatizadas</w:t>
            </w:r>
          </w:p>
        </w:tc>
      </w:tr>
      <w:tr w:rsidR="00E677FB" w14:paraId="3862553C" w14:textId="77777777" w:rsidTr="00BF0864">
        <w:trPr>
          <w:trHeight w:val="576"/>
        </w:trPr>
        <w:tc>
          <w:tcPr>
            <w:tcW w:w="0" w:type="auto"/>
          </w:tcPr>
          <w:p w14:paraId="2B8C0FA0" w14:textId="77777777" w:rsidR="00E677FB" w:rsidRDefault="00000000">
            <w:pPr>
              <w:pStyle w:val="MdTableCell"/>
            </w:pPr>
            <w:r>
              <w:t>Viés, discriminação e revisão humana</w:t>
            </w:r>
          </w:p>
        </w:tc>
        <w:tc>
          <w:tcPr>
            <w:tcW w:w="0" w:type="auto"/>
          </w:tcPr>
          <w:p w14:paraId="374049F7" w14:textId="77777777" w:rsidR="00E677FB" w:rsidRDefault="00000000">
            <w:pPr>
              <w:pStyle w:val="MdTableCell"/>
            </w:pPr>
            <w:r>
              <w:t>Relacionar IA a direitos fundamentais e controle institucional</w:t>
            </w:r>
          </w:p>
        </w:tc>
      </w:tr>
    </w:tbl>
    <w:p w14:paraId="2F6CA3BB" w14:textId="77777777" w:rsidR="00E677FB" w:rsidRDefault="00000000">
      <w:pPr>
        <w:pStyle w:val="MdHeading3"/>
      </w:pPr>
      <w:r>
        <w:t>Módulo 2 — Plataformização, dataficação e novas formas de trabalho</w:t>
      </w:r>
    </w:p>
    <w:p w14:paraId="75D21AF7" w14:textId="1524D939" w:rsidR="00E677FB" w:rsidRDefault="00000000" w:rsidP="00B11FED">
      <w:pPr>
        <w:pStyle w:val="MdParagraph"/>
        <w:jc w:val="both"/>
      </w:pPr>
      <w:r>
        <w:t xml:space="preserve">Este módulo discute a transformação do trabalho no contexto da </w:t>
      </w:r>
      <w:r w:rsidRPr="00B11FED">
        <w:rPr>
          <w:rStyle w:val="MdStrong"/>
          <w:b w:val="0"/>
          <w:bCs w:val="0"/>
        </w:rPr>
        <w:t>sociedade de plataformas</w:t>
      </w:r>
      <w:r>
        <w:t>. A partir d</w:t>
      </w:r>
      <w:r w:rsidR="00B11FED">
        <w:t>as publicações de Lucia Santaella e</w:t>
      </w:r>
      <w:r>
        <w:t xml:space="preserve"> André Lemos, examina-se como a plataformização se apoia em coleta massiva de dados, processamento algorítmico e monetização de interações, afetando múltiplos setores da vida social. O módulo enfatiza que plataformas não apenas hospedam atividades; elas moldam relações, classificações, incentivos e assimetrias de poder.</w:t>
      </w:r>
    </w:p>
    <w:p w14:paraId="737E80F0" w14:textId="63439792" w:rsidR="00E677FB" w:rsidRDefault="00000000" w:rsidP="00B11FED">
      <w:pPr>
        <w:pStyle w:val="MdParagraph"/>
        <w:jc w:val="both"/>
      </w:pPr>
      <w:r>
        <w:t xml:space="preserve">Na sequência, o módulo aborda novas formas de trabalho associadas à IA e às plataformas: microtrabalho, moderação, rotulação de dados, produção de sinais de engajamento, influenciadores, streamers, criadores de conteúdo e outras ocupações híbridas entre comunicação, serviço e performance. As </w:t>
      </w:r>
      <w:r w:rsidRPr="00B11FED">
        <w:rPr>
          <w:rStyle w:val="MdStrong"/>
          <w:b w:val="0"/>
          <w:bCs w:val="0"/>
        </w:rPr>
        <w:t>fazendas de cliques</w:t>
      </w:r>
      <w:r>
        <w:t xml:space="preserve"> são estudadas como exemplo privilegiado de trabalho invisível, informalização e manipulação de métricas.</w:t>
      </w:r>
    </w:p>
    <w:p w14:paraId="530EACE6" w14:textId="331AB473" w:rsidR="00E677FB" w:rsidRDefault="00000000" w:rsidP="00B11FED">
      <w:pPr>
        <w:pStyle w:val="MdParagraph"/>
        <w:jc w:val="both"/>
      </w:pPr>
      <w:r>
        <w:t>O módulo também introduz noções de soberania digital, colonialismo de dados e governamentalidade algorítmica, de modo a situar a perícia em um quadro mais amplo de dependência infraestrutural e disputa por controle de dados.</w:t>
      </w:r>
    </w:p>
    <w:p w14:paraId="750BDF4C" w14:textId="77777777" w:rsidR="00E677FB" w:rsidRDefault="00E677FB">
      <w:pPr>
        <w:pStyle w:val="MdSpace"/>
        <w:spacing w:after="60"/>
      </w:pPr>
    </w:p>
    <w:p w14:paraId="63826E74" w14:textId="77777777" w:rsidR="00E677FB" w:rsidRDefault="00000000">
      <w:pPr>
        <w:pStyle w:val="MdHeading3"/>
      </w:pPr>
      <w:r>
        <w:t>Módulo 3 — Semiótica das redes: UGC, emotes, Roblox, live shop e click farms</w:t>
      </w:r>
    </w:p>
    <w:p w14:paraId="1DD43E1F" w14:textId="77777777" w:rsidR="00E677FB" w:rsidRDefault="00000000" w:rsidP="00B11FED">
      <w:pPr>
        <w:pStyle w:val="MdParagraph"/>
        <w:jc w:val="both"/>
      </w:pPr>
      <w:r>
        <w:t xml:space="preserve">Este módulo parte da premissa de que plataformas não funcionam apenas por código e dados, mas também por </w:t>
      </w:r>
      <w:r w:rsidRPr="00B11FED">
        <w:rPr>
          <w:rStyle w:val="MdStrong"/>
          <w:b w:val="0"/>
          <w:bCs w:val="0"/>
        </w:rPr>
        <w:t>signos</w:t>
      </w:r>
      <w:r>
        <w:t xml:space="preserve">, convenções e performances. Curtidas, seguidores, reações, comentários, avatares, selos, rankings, trilhas de compra e sinais de recomendação são tratados como elementos de uma </w:t>
      </w:r>
      <w:r w:rsidRPr="00B11FED">
        <w:rPr>
          <w:rStyle w:val="MdStrong"/>
          <w:b w:val="0"/>
          <w:bCs w:val="0"/>
        </w:rPr>
        <w:t>semiótica operacional das redes</w:t>
      </w:r>
      <w:r>
        <w:t>, isto é, como signos que produzem efeitos econômicos, organizacionais e laborais.</w:t>
      </w:r>
    </w:p>
    <w:p w14:paraId="642A1C3C" w14:textId="15F29436" w:rsidR="00E677FB" w:rsidRDefault="00000000" w:rsidP="00B11FED">
      <w:pPr>
        <w:pStyle w:val="MdParagraph"/>
        <w:jc w:val="both"/>
      </w:pPr>
      <w:r>
        <w:t xml:space="preserve">O caso da Roblox é utilizado para mostrar como </w:t>
      </w:r>
      <w:r w:rsidRPr="00B11FED">
        <w:rPr>
          <w:rStyle w:val="MdStrong"/>
          <w:b w:val="0"/>
          <w:bCs w:val="0"/>
        </w:rPr>
        <w:t>emotes UGC</w:t>
      </w:r>
      <w:r w:rsidRPr="00B11FED">
        <w:rPr>
          <w:b/>
          <w:bCs/>
        </w:rPr>
        <w:t xml:space="preserve"> </w:t>
      </w:r>
      <w:r>
        <w:t>transformam gestos e expressões em ativos digitais comercializáveis, submetidos a regras de validação, moderação, propriedade intelectual, taxas e mecanismos de marketplac</w:t>
      </w:r>
      <w:r w:rsidR="00B11FED">
        <w:t>e</w:t>
      </w:r>
      <w:r>
        <w:t xml:space="preserve">. O estudo de caso permite discutir como identidade, expressividade e criatividade são capturadas e reorganizadas por uma lógica de plataforma. Em seguida, o </w:t>
      </w:r>
      <w:r w:rsidRPr="00B11FED">
        <w:rPr>
          <w:rStyle w:val="MdStrong"/>
          <w:b w:val="0"/>
          <w:bCs w:val="0"/>
          <w:i/>
          <w:iCs/>
        </w:rPr>
        <w:t>live commerce</w:t>
      </w:r>
      <w:r>
        <w:t xml:space="preserve"> é analisado como forma de trabalho performático em tempo real, combinando entretenimento, influência, venda, interação e conversão algorítmica.</w:t>
      </w:r>
    </w:p>
    <w:p w14:paraId="51584343" w14:textId="7CCFB4C9" w:rsidR="00E677FB" w:rsidRDefault="00000000" w:rsidP="00B11FED">
      <w:pPr>
        <w:pStyle w:val="MdParagraph"/>
        <w:jc w:val="both"/>
      </w:pPr>
      <w:r>
        <w:t xml:space="preserve">As </w:t>
      </w:r>
      <w:r w:rsidRPr="00B11FED">
        <w:rPr>
          <w:i/>
          <w:iCs/>
        </w:rPr>
        <w:t xml:space="preserve">click farms </w:t>
      </w:r>
      <w:r>
        <w:t xml:space="preserve">retornam aqui sob outro ângulo: não apenas como forma de trabalho, mas como engrenagem semiótica de fabricação artificial de relevância, reputação e credibilidade. </w:t>
      </w:r>
      <w:r w:rsidR="00B11FED">
        <w:t xml:space="preserve">Analisamos como os signos operam através das </w:t>
      </w:r>
      <w:r w:rsidR="00B11FED" w:rsidRPr="00B11FED">
        <w:rPr>
          <w:i/>
          <w:iCs/>
        </w:rPr>
        <w:t>bets</w:t>
      </w:r>
      <w:r w:rsidR="00B11FED">
        <w:t xml:space="preserve"> que escalam o vício e o risco psicossocial associado. </w:t>
      </w:r>
      <w:r>
        <w:t>O módulo, assim, aproxima comunicação digital, prova técnica e leitura crítica das infraestruturas de visibilidade.</w:t>
      </w:r>
    </w:p>
    <w:p w14:paraId="42194F1C" w14:textId="77777777" w:rsidR="00E677FB" w:rsidRDefault="00E677FB">
      <w:pPr>
        <w:pStyle w:val="MdSpace"/>
        <w:spacing w:after="60"/>
      </w:pPr>
    </w:p>
    <w:tbl>
      <w:tblPr>
        <w:tblStyle w:val="Tabelacomgrade"/>
        <w:tblW w:w="5000" w:type="pct"/>
        <w:tblLook w:val="04A0" w:firstRow="1" w:lastRow="0" w:firstColumn="1" w:lastColumn="0" w:noHBand="0" w:noVBand="1"/>
      </w:tblPr>
      <w:tblGrid>
        <w:gridCol w:w="2554"/>
        <w:gridCol w:w="6462"/>
      </w:tblGrid>
      <w:tr w:rsidR="00E677FB" w14:paraId="331CA970" w14:textId="77777777" w:rsidTr="00BF0864">
        <w:trPr>
          <w:trHeight w:val="720"/>
        </w:trPr>
        <w:tc>
          <w:tcPr>
            <w:tcW w:w="0" w:type="auto"/>
          </w:tcPr>
          <w:p w14:paraId="5FFCC2FB" w14:textId="77777777" w:rsidR="00E677FB" w:rsidRDefault="00000000">
            <w:pPr>
              <w:pStyle w:val="MdTableHeader"/>
            </w:pPr>
            <w:r>
              <w:t>Caso ou conceito</w:t>
            </w:r>
          </w:p>
        </w:tc>
        <w:tc>
          <w:tcPr>
            <w:tcW w:w="0" w:type="auto"/>
          </w:tcPr>
          <w:p w14:paraId="7ED100E7" w14:textId="77777777" w:rsidR="00E677FB" w:rsidRDefault="00000000">
            <w:pPr>
              <w:pStyle w:val="MdTableHeader"/>
            </w:pPr>
            <w:r>
              <w:t>Problema analítico</w:t>
            </w:r>
          </w:p>
        </w:tc>
      </w:tr>
      <w:tr w:rsidR="00E677FB" w14:paraId="4761ACC1" w14:textId="77777777" w:rsidTr="00BF0864">
        <w:trPr>
          <w:trHeight w:val="576"/>
        </w:trPr>
        <w:tc>
          <w:tcPr>
            <w:tcW w:w="0" w:type="auto"/>
          </w:tcPr>
          <w:p w14:paraId="6D9CE98E" w14:textId="77777777" w:rsidR="00E677FB" w:rsidRDefault="00000000">
            <w:pPr>
              <w:pStyle w:val="MdTableCell"/>
            </w:pPr>
            <w:r>
              <w:rPr>
                <w:rStyle w:val="MdStrong"/>
              </w:rPr>
              <w:t>UGC</w:t>
            </w:r>
          </w:p>
        </w:tc>
        <w:tc>
          <w:tcPr>
            <w:tcW w:w="0" w:type="auto"/>
          </w:tcPr>
          <w:p w14:paraId="37B8CB72" w14:textId="77777777" w:rsidR="00E677FB" w:rsidRDefault="00000000">
            <w:pPr>
              <w:pStyle w:val="MdTableCell"/>
            </w:pPr>
            <w:r>
              <w:t>Produção cultural e trabalho criativo mediado por plataforma</w:t>
            </w:r>
          </w:p>
        </w:tc>
      </w:tr>
      <w:tr w:rsidR="00E677FB" w14:paraId="74D526D0" w14:textId="77777777" w:rsidTr="00BF0864">
        <w:trPr>
          <w:trHeight w:val="576"/>
        </w:trPr>
        <w:tc>
          <w:tcPr>
            <w:tcW w:w="0" w:type="auto"/>
          </w:tcPr>
          <w:p w14:paraId="092D47E0" w14:textId="77777777" w:rsidR="00E677FB" w:rsidRDefault="00000000">
            <w:pPr>
              <w:pStyle w:val="MdTableCell"/>
            </w:pPr>
            <w:r>
              <w:rPr>
                <w:rStyle w:val="MdStrong"/>
              </w:rPr>
              <w:t>Emotes</w:t>
            </w:r>
          </w:p>
        </w:tc>
        <w:tc>
          <w:tcPr>
            <w:tcW w:w="0" w:type="auto"/>
          </w:tcPr>
          <w:p w14:paraId="292B1519" w14:textId="77777777" w:rsidR="00E677FB" w:rsidRDefault="00000000">
            <w:pPr>
              <w:pStyle w:val="MdTableCell"/>
            </w:pPr>
            <w:r>
              <w:t xml:space="preserve">Codificação de afetos, identidade e expressão como mercadoria digital </w:t>
            </w:r>
            <w:hyperlink r:id="rId5" w:history="1">
              <w:r w:rsidR="00E677FB">
                <w:rPr>
                  <w:rStyle w:val="MdLink"/>
                </w:rPr>
                <w:t>4</w:t>
              </w:r>
            </w:hyperlink>
          </w:p>
        </w:tc>
      </w:tr>
      <w:tr w:rsidR="00E677FB" w14:paraId="381AB960" w14:textId="77777777" w:rsidTr="00BF0864">
        <w:trPr>
          <w:trHeight w:val="576"/>
        </w:trPr>
        <w:tc>
          <w:tcPr>
            <w:tcW w:w="0" w:type="auto"/>
          </w:tcPr>
          <w:p w14:paraId="303EE563" w14:textId="77777777" w:rsidR="00E677FB" w:rsidRDefault="00000000">
            <w:pPr>
              <w:pStyle w:val="MdTableCell"/>
            </w:pPr>
            <w:r>
              <w:rPr>
                <w:rStyle w:val="MdStrong"/>
              </w:rPr>
              <w:t>Roblox</w:t>
            </w:r>
          </w:p>
        </w:tc>
        <w:tc>
          <w:tcPr>
            <w:tcW w:w="0" w:type="auto"/>
          </w:tcPr>
          <w:p w14:paraId="77F2C920" w14:textId="77777777" w:rsidR="00E677FB" w:rsidRDefault="00000000">
            <w:pPr>
              <w:pStyle w:val="MdTableCell"/>
            </w:pPr>
            <w:r>
              <w:t xml:space="preserve">Governança privada da criatividade e monetização de signos sociais </w:t>
            </w:r>
            <w:hyperlink r:id="rId6" w:history="1">
              <w:r w:rsidR="00E677FB">
                <w:rPr>
                  <w:rStyle w:val="MdLink"/>
                </w:rPr>
                <w:t>4</w:t>
              </w:r>
            </w:hyperlink>
          </w:p>
        </w:tc>
      </w:tr>
      <w:tr w:rsidR="00E677FB" w14:paraId="44D3B435" w14:textId="77777777" w:rsidTr="00BF0864">
        <w:trPr>
          <w:trHeight w:val="576"/>
        </w:trPr>
        <w:tc>
          <w:tcPr>
            <w:tcW w:w="0" w:type="auto"/>
          </w:tcPr>
          <w:p w14:paraId="74466F50" w14:textId="77777777" w:rsidR="00E677FB" w:rsidRDefault="00000000">
            <w:pPr>
              <w:pStyle w:val="MdTableCell"/>
            </w:pPr>
            <w:r>
              <w:rPr>
                <w:rStyle w:val="MdStrong"/>
              </w:rPr>
              <w:t>Live shop / live commerce</w:t>
            </w:r>
          </w:p>
        </w:tc>
        <w:tc>
          <w:tcPr>
            <w:tcW w:w="0" w:type="auto"/>
          </w:tcPr>
          <w:p w14:paraId="4D294F4A" w14:textId="77777777" w:rsidR="00E677FB" w:rsidRDefault="00000000">
            <w:pPr>
              <w:pStyle w:val="MdTableCell"/>
            </w:pPr>
            <w:r>
              <w:t xml:space="preserve">Trabalho performático, conversão em tempo real e economia da atenção </w:t>
            </w:r>
            <w:hyperlink r:id="rId7" w:history="1">
              <w:r w:rsidR="00E677FB">
                <w:rPr>
                  <w:rStyle w:val="MdLink"/>
                </w:rPr>
                <w:t>5</w:t>
              </w:r>
            </w:hyperlink>
          </w:p>
        </w:tc>
      </w:tr>
      <w:tr w:rsidR="00E677FB" w14:paraId="7947E2D2" w14:textId="77777777" w:rsidTr="00BF0864">
        <w:trPr>
          <w:trHeight w:val="576"/>
        </w:trPr>
        <w:tc>
          <w:tcPr>
            <w:tcW w:w="0" w:type="auto"/>
          </w:tcPr>
          <w:p w14:paraId="08B5256E" w14:textId="77777777" w:rsidR="00E677FB" w:rsidRDefault="00000000">
            <w:pPr>
              <w:pStyle w:val="MdTableCell"/>
            </w:pPr>
            <w:r>
              <w:rPr>
                <w:rStyle w:val="MdStrong"/>
              </w:rPr>
              <w:t>Click farms</w:t>
            </w:r>
          </w:p>
        </w:tc>
        <w:tc>
          <w:tcPr>
            <w:tcW w:w="0" w:type="auto"/>
          </w:tcPr>
          <w:p w14:paraId="2869AE13" w14:textId="77777777" w:rsidR="00E677FB" w:rsidRDefault="00000000">
            <w:pPr>
              <w:pStyle w:val="MdTableCell"/>
            </w:pPr>
            <w:r>
              <w:t xml:space="preserve">Engajamento artificial, opacidade de métricas e trabalho invisível </w:t>
            </w:r>
            <w:hyperlink r:id="rId8" w:history="1">
              <w:r w:rsidR="00E677FB">
                <w:rPr>
                  <w:rStyle w:val="MdLink"/>
                </w:rPr>
                <w:t>3</w:t>
              </w:r>
            </w:hyperlink>
          </w:p>
        </w:tc>
      </w:tr>
    </w:tbl>
    <w:p w14:paraId="1A639E1B" w14:textId="77777777" w:rsidR="00152206" w:rsidRDefault="00152206" w:rsidP="00152206"/>
    <w:p w14:paraId="000067BF" w14:textId="1E7AFF15" w:rsidR="00152206" w:rsidRDefault="00DA3275" w:rsidP="00DA3275">
      <w:pPr>
        <w:jc w:val="both"/>
      </w:pPr>
      <w:r w:rsidRPr="00DA3275">
        <w:t>A expressão garbage in, garbage out continua válida, mas o seu sentido contemporâneo é mais complexo. Não se trata apenas de dado “errado”; trata-se de dado coletado em contexto social desigual, rotulado sob pressão laboral, interpretado por trabalhadores terceirizados submetidos a metas extremas e reinserido em sistemas que operam sobre pessoas reais . Em linguagem pericial, isso exige reconstruir a cadeia do dado: origem, seleção, limpeza, rotulagem, balanceamento, atualização e critérios de validação.</w:t>
      </w:r>
    </w:p>
    <w:p w14:paraId="6EB884D8" w14:textId="6F235ECE" w:rsidR="00DA3275" w:rsidRDefault="00DA3275" w:rsidP="00DA3275">
      <w:pPr>
        <w:jc w:val="both"/>
      </w:pPr>
      <w:r w:rsidRPr="00DA3275">
        <w:t>Um modelo que afeta direitos e interesses juridicamente relevantes precisa ser auditável. Isso significa que deve haver documentação mínima sobre sua lógica de uso, registros de execução, possibilidade de rastrear versões, clareza sobre os parâmetros operacionais e identificação do papel da supervisão humana. Quando isso não existe, a chamada “caixa-preta” deixa de ser apenas um desafio técnico e passa a representar um déficit probatório. O perito, nesse cenário, não deve limitar sua investigação ao output; ele deve perguntar o que torna esse output verificável, contestável e reconstituível.</w:t>
      </w:r>
    </w:p>
    <w:p w14:paraId="15DF4B1A" w14:textId="26D39509" w:rsidR="00152206" w:rsidRDefault="00DA3275" w:rsidP="00DA3275">
      <w:pPr>
        <w:jc w:val="both"/>
      </w:pPr>
      <w:r>
        <w:t>Sobre deepfakes, o</w:t>
      </w:r>
      <w:r w:rsidRPr="00DA3275">
        <w:t xml:space="preserve"> maior risco não está unicamente na existência de deepfakes ou de imagens sintéticas isoladas, mas no fato de que a IA reduziu drasticamente o custo de produzir narrativas persuasivas em escala. Esse fenômeno se torna mais grave quando combinado com plataformas orientadas por engajamento, nas quais conteúdos mais polarizadores, emocionais ou falsos podem receber vantagem de circulação. Para a atuação pericial, isso amplia o objeto da análise. Não basta verificar se um conteúdo é autêntico ou fraudulento; é preciso investigar também como a infraestrutura digital favoreceu seu alcance, quais padrões de recomendação estavam em jogo, se houve sincronização artificial de divulgação e como os incentivos comerciais da plataforma interagiram com a propagação do dano.</w:t>
      </w:r>
      <w:r>
        <w:t xml:space="preserve"> </w:t>
      </w:r>
      <w:r w:rsidRPr="00DA3275">
        <w:t>Na realidade, a cadeia produtiva da IA é alimentada por anotadores, moderadores de conteúdo, trabalhadores de microtarefas e revisores submetidos a intensa vigilância, baixos salários e, em muitos casos, exposição contínua a materiais violentos ou degradantes</w:t>
      </w:r>
      <w:r>
        <w:t>. P</w:t>
      </w:r>
      <w:r w:rsidRPr="00DA3275">
        <w:t>or isso, a perícia em IA deve diferenciar com cuidado falha do modelo, falha da implementação, falha da supervisão humana e falha da governança institucional</w:t>
      </w:r>
      <w:r>
        <w:t>.</w:t>
      </w:r>
    </w:p>
    <w:p w14:paraId="55D57CE9" w14:textId="7AB53C82" w:rsidR="00E677FB" w:rsidRDefault="00000000">
      <w:pPr>
        <w:pStyle w:val="MdHeading3"/>
      </w:pPr>
      <w:r>
        <w:t>Módulo 4 — RAG, fine-tuning, segurança de dados e governança</w:t>
      </w:r>
    </w:p>
    <w:p w14:paraId="7A25E2C3" w14:textId="037751B4" w:rsidR="00E677FB" w:rsidRDefault="00000000" w:rsidP="00B11FED">
      <w:pPr>
        <w:pStyle w:val="MdParagraph"/>
        <w:jc w:val="both"/>
      </w:pPr>
      <w:r>
        <w:t xml:space="preserve">Este módulo aprofunda a dimensão técnica aplicada à governança institucional. A partir da literatura técnica, diferencia-se </w:t>
      </w:r>
      <w:r w:rsidRPr="00B11FED">
        <w:rPr>
          <w:rStyle w:val="MdStrong"/>
          <w:b w:val="0"/>
          <w:bCs w:val="0"/>
        </w:rPr>
        <w:t>RAG</w:t>
      </w:r>
      <w:r>
        <w:t xml:space="preserve"> de </w:t>
      </w:r>
      <w:r w:rsidRPr="00B11FED">
        <w:rPr>
          <w:rStyle w:val="MdStrong"/>
          <w:b w:val="0"/>
          <w:bCs w:val="0"/>
          <w:i/>
          <w:iCs/>
        </w:rPr>
        <w:t>fine-tuning</w:t>
      </w:r>
      <w:r>
        <w:t xml:space="preserve">. O RAG conecta o modelo a bases documentais e repositórios atualizados para recuperar contexto no momento da resposta; o </w:t>
      </w:r>
      <w:r w:rsidRPr="00B11FED">
        <w:rPr>
          <w:i/>
          <w:iCs/>
        </w:rPr>
        <w:t>fine-tuning</w:t>
      </w:r>
      <w:r>
        <w:t>, em sentido estrito, ajusta o modelo com dados especializados para melhorar desempenho em determinado domínio.</w:t>
      </w:r>
    </w:p>
    <w:p w14:paraId="3C11B7B5" w14:textId="77777777" w:rsidR="00E677FB" w:rsidRDefault="00000000" w:rsidP="00B11FED">
      <w:pPr>
        <w:pStyle w:val="MdParagraph"/>
        <w:jc w:val="both"/>
      </w:pPr>
      <w:r>
        <w:lastRenderedPageBreak/>
        <w:t xml:space="preserve">A relevância desse tema para peritos do MPT reside em três pontos. Em primeiro lugar, a distinção ajuda a entender se um sistema consulta documentos internos, se foi treinado com dados especializados ou se ambos os processos coexistem. Em segundo lugar, ela permite examinar riscos de </w:t>
      </w:r>
      <w:r w:rsidRPr="00B11FED">
        <w:rPr>
          <w:rStyle w:val="MdStrong"/>
          <w:b w:val="0"/>
          <w:bCs w:val="0"/>
        </w:rPr>
        <w:t>vazamento, descontrole de acesso, circulação de dados sensíveis e confiabilidade da resposta</w:t>
      </w:r>
      <w:r>
        <w:t>. Em terceiro lugar, ela orienta a formulação de perguntas periciais sobre cadeia de custódia informacional, rastreabilidade e adequação do uso de dados.</w:t>
      </w:r>
    </w:p>
    <w:p w14:paraId="2B6F81C0" w14:textId="25BBD84F" w:rsidR="00E677FB" w:rsidRDefault="00000000">
      <w:pPr>
        <w:pStyle w:val="MdParagraph"/>
      </w:pPr>
      <w:r>
        <w:t>A segurança de dados é tratada como requisito transversal</w:t>
      </w:r>
      <w:r w:rsidR="00B11FED">
        <w:t>, onde d</w:t>
      </w:r>
      <w:r>
        <w:t>iscute-se segregação de acesso, minimização, consentimento, adequação, logs, trilhas de auditoria, proteção de dados pessoais e sensíveis, além de riscos de compartilhamento indevido em ferramentas de IA.</w:t>
      </w:r>
    </w:p>
    <w:p w14:paraId="6FD16D60" w14:textId="77777777" w:rsidR="00E677FB" w:rsidRDefault="00E677FB">
      <w:pPr>
        <w:pStyle w:val="MdSpace"/>
        <w:spacing w:after="60"/>
      </w:pPr>
    </w:p>
    <w:p w14:paraId="558EE942" w14:textId="77777777" w:rsidR="00E677FB" w:rsidRDefault="00000000">
      <w:pPr>
        <w:pStyle w:val="MdHeading3"/>
      </w:pPr>
      <w:r>
        <w:t>Módulo 5 — Egocentric data collection, vigilância e prova digital</w:t>
      </w:r>
    </w:p>
    <w:p w14:paraId="669768F5" w14:textId="19093EA0" w:rsidR="00E677FB" w:rsidRDefault="00000000" w:rsidP="00B11FED">
      <w:pPr>
        <w:pStyle w:val="MdParagraph"/>
        <w:jc w:val="both"/>
      </w:pPr>
      <w:r>
        <w:t xml:space="preserve">Este módulo introduz e discute a </w:t>
      </w:r>
      <w:r w:rsidRPr="00B11FED">
        <w:rPr>
          <w:rStyle w:val="MdStrong"/>
          <w:b w:val="0"/>
          <w:bCs w:val="0"/>
          <w:i/>
          <w:iCs/>
        </w:rPr>
        <w:t>egocentric data collection</w:t>
      </w:r>
      <w:r>
        <w:t>, entendida aqui como a coleta de dados em primeira pessoa, obtidos a partir do ponto de vista do trabalhador, frequentemente por dispositivos acoplados ao corpo, à cabeça ou ao campo visual. O caso é especialmente relevante porque torna tangíveis questões que frequentemente aparecem de forma abstrata no debate sobre IA: captura de movimento, treinamento de robôs, vigilância intensiva, extração de traços corporais e uso de dados comportamentais para automação futur</w:t>
      </w:r>
      <w:r w:rsidR="00B11FED">
        <w:t>a</w:t>
      </w:r>
      <w:r>
        <w:t>.</w:t>
      </w:r>
    </w:p>
    <w:p w14:paraId="48225B01" w14:textId="12B44F07" w:rsidR="00E677FB" w:rsidRDefault="00000000" w:rsidP="00B11FED">
      <w:pPr>
        <w:pStyle w:val="MdParagraph"/>
        <w:jc w:val="both"/>
      </w:pPr>
      <w:r>
        <w:t>Do ponto de vista pericial, o módulo trata esses registros como materiais ambivalentes. De um lado, podem constituir prova rica sobre ritmo, repetitividade, exigências biomecânicas, condições de segurança e modos de organização do trabalho. De outro, podem representar intensificação abusiva de monitoramento, invasão de privacidade, coleta excessiva e captura indireta de dados de terceiros.</w:t>
      </w:r>
    </w:p>
    <w:p w14:paraId="6FE35AD2" w14:textId="4D0F98E2" w:rsidR="00E677FB" w:rsidRDefault="00000000" w:rsidP="00BB22C6">
      <w:pPr>
        <w:pStyle w:val="MdParagraph"/>
        <w:jc w:val="both"/>
      </w:pPr>
      <w:r>
        <w:t>O módulo também explora perguntas orientadoras para a atuação técnica. Entre elas: quais dados são efetivamente coletados; com que finalidade; por quanto tempo; com qual base jurídica; quem acessa; como se processa a inferência; se há anonimização; se a empresa utiliza esses dados para avaliar produtividade, treinar sistemas ou impor metas. Ao final, busca-se equipar o participante para lidar com novos repertórios de prova digital audiovisual e comportamental.</w:t>
      </w:r>
    </w:p>
    <w:p w14:paraId="00200B53" w14:textId="77777777" w:rsidR="00E677FB" w:rsidRDefault="00000000">
      <w:pPr>
        <w:pStyle w:val="MdHeading3"/>
      </w:pPr>
      <w:r>
        <w:t>Módulo 6 — Laboratórios práticos: Power Automate, Make.com e Manus</w:t>
      </w:r>
    </w:p>
    <w:p w14:paraId="260DBD29" w14:textId="1053ECD7" w:rsidR="00E677FB" w:rsidRDefault="00000000" w:rsidP="00BB22C6">
      <w:pPr>
        <w:pStyle w:val="MdParagraph"/>
        <w:jc w:val="both"/>
      </w:pPr>
      <w:r>
        <w:t xml:space="preserve">O módulo final organiza a dimensão hands-on do curso em três oficinas progressivas. Na primeira, com </w:t>
      </w:r>
      <w:r>
        <w:rPr>
          <w:rStyle w:val="MdStrong"/>
        </w:rPr>
        <w:t>Power Automate</w:t>
      </w:r>
      <w:r>
        <w:t xml:space="preserve">, os participantes experimentam um fluxo de entrada de e-mails associado a análise semântica e regras de priorização. A documentação da Microsoft mostra que o AI Builder permite análise de sentimento em fluxos de automação. A partir dessa base, o exercício proposto consiste em desenhar uma lógica de </w:t>
      </w:r>
      <w:r w:rsidRPr="00BB22C6">
        <w:rPr>
          <w:rStyle w:val="MdStrong"/>
          <w:b w:val="0"/>
          <w:bCs w:val="0"/>
        </w:rPr>
        <w:t>aviso sobre e-mails potencialmente urgentes</w:t>
      </w:r>
      <w:r>
        <w:t>, combinando sentimento, palavras-chave, contexto e encaminhamento supervisionado. A ênfase pedagógica recai na diferença entre automatizar uma triagem e substituir o juízo humano.</w:t>
      </w:r>
    </w:p>
    <w:p w14:paraId="4A85EF6F" w14:textId="200A8E1E" w:rsidR="00E677FB" w:rsidRDefault="00000000" w:rsidP="00BB22C6">
      <w:pPr>
        <w:pStyle w:val="MdParagraph"/>
        <w:jc w:val="both"/>
      </w:pPr>
      <w:r>
        <w:t xml:space="preserve">Na segunda oficina, com </w:t>
      </w:r>
      <w:r>
        <w:rPr>
          <w:rStyle w:val="MdStrong"/>
        </w:rPr>
        <w:t>Make.com</w:t>
      </w:r>
      <w:r>
        <w:t xml:space="preserve">, os participantes estruturam um fluxo com </w:t>
      </w:r>
      <w:r>
        <w:rPr>
          <w:rStyle w:val="MdStrong"/>
        </w:rPr>
        <w:t>agente de IA</w:t>
      </w:r>
      <w:r>
        <w:t>, instruções, contexto, ferramentas e etapa de revisão. A documentação da plataforma descreve agentes como sistemas compostos por LLM, instruções, memória, ferramentas e raciocínio. O objetivo é demonstrar quando faz sentido usar um agente, quando basta uma automação tradicional e quais riscos surgem ao delegar passos decisórios a sistemas baseados em linguagem.</w:t>
      </w:r>
    </w:p>
    <w:p w14:paraId="0F3F5CF4" w14:textId="77777777" w:rsidR="00E677FB" w:rsidRDefault="00000000" w:rsidP="00BB22C6">
      <w:pPr>
        <w:pStyle w:val="MdParagraph"/>
        <w:jc w:val="both"/>
      </w:pPr>
      <w:r>
        <w:lastRenderedPageBreak/>
        <w:t xml:space="preserve">Na terceira oficina, com </w:t>
      </w:r>
      <w:r>
        <w:rPr>
          <w:rStyle w:val="MdStrong"/>
        </w:rPr>
        <w:t>Manus</w:t>
      </w:r>
      <w:r>
        <w:t xml:space="preserve">, o foco recai sobre a exploração orientada de funcionalidades úteis para trabalho técnico: pesquisa estruturada, síntese documental, organização de insumos, apoio à elaboração de matrizes analíticas, comparação de fontes e construção assistida de fluxos de trabalho. A atividade deve ser conduzida com ênfase em </w:t>
      </w:r>
      <w:r w:rsidRPr="00BB22C6">
        <w:rPr>
          <w:rStyle w:val="MdStrong"/>
          <w:b w:val="0"/>
          <w:bCs w:val="0"/>
        </w:rPr>
        <w:t>supervisão humana, verificabilidade, registro de fontes, proteção de dados e limites de uso</w:t>
      </w:r>
      <w:r w:rsidRPr="00BB22C6">
        <w:t>,</w:t>
      </w:r>
      <w:r>
        <w:t xml:space="preserve"> evitando fetichização da ferramenta e privilegiando a análise de adequação ao contexto pericial.</w:t>
      </w:r>
    </w:p>
    <w:p w14:paraId="0CDDB823" w14:textId="77777777" w:rsidR="00E677FB" w:rsidRDefault="00E677FB">
      <w:pPr>
        <w:pStyle w:val="MdSpace"/>
        <w:spacing w:after="60"/>
      </w:pPr>
    </w:p>
    <w:tbl>
      <w:tblPr>
        <w:tblStyle w:val="Tabelacomgrade"/>
        <w:tblW w:w="5000" w:type="pct"/>
        <w:tblLook w:val="04A0" w:firstRow="1" w:lastRow="0" w:firstColumn="1" w:lastColumn="0" w:noHBand="0" w:noVBand="1"/>
      </w:tblPr>
      <w:tblGrid>
        <w:gridCol w:w="1438"/>
        <w:gridCol w:w="3894"/>
        <w:gridCol w:w="3684"/>
      </w:tblGrid>
      <w:tr w:rsidR="00E677FB" w14:paraId="7B272DAB" w14:textId="77777777" w:rsidTr="00BF0864">
        <w:trPr>
          <w:trHeight w:val="720"/>
        </w:trPr>
        <w:tc>
          <w:tcPr>
            <w:tcW w:w="0" w:type="auto"/>
          </w:tcPr>
          <w:p w14:paraId="30EDD2BC" w14:textId="77777777" w:rsidR="00E677FB" w:rsidRDefault="00000000">
            <w:pPr>
              <w:pStyle w:val="MdTableHeader"/>
            </w:pPr>
            <w:r>
              <w:t>Oficina</w:t>
            </w:r>
          </w:p>
        </w:tc>
        <w:tc>
          <w:tcPr>
            <w:tcW w:w="0" w:type="auto"/>
          </w:tcPr>
          <w:p w14:paraId="2EBA3CBB" w14:textId="77777777" w:rsidR="00E677FB" w:rsidRDefault="00000000">
            <w:pPr>
              <w:pStyle w:val="MdTableHeader"/>
            </w:pPr>
            <w:r>
              <w:t>Problema prático</w:t>
            </w:r>
          </w:p>
        </w:tc>
        <w:tc>
          <w:tcPr>
            <w:tcW w:w="0" w:type="auto"/>
          </w:tcPr>
          <w:p w14:paraId="39B8A1E2" w14:textId="77777777" w:rsidR="00E677FB" w:rsidRDefault="00000000">
            <w:pPr>
              <w:pStyle w:val="MdTableHeader"/>
            </w:pPr>
            <w:r>
              <w:t>Aprendizagem central</w:t>
            </w:r>
          </w:p>
        </w:tc>
      </w:tr>
      <w:tr w:rsidR="00E677FB" w14:paraId="0B984D8E" w14:textId="77777777" w:rsidTr="00BF0864">
        <w:trPr>
          <w:trHeight w:val="576"/>
        </w:trPr>
        <w:tc>
          <w:tcPr>
            <w:tcW w:w="0" w:type="auto"/>
          </w:tcPr>
          <w:p w14:paraId="290FFFC5" w14:textId="77777777" w:rsidR="00E677FB" w:rsidRDefault="00000000">
            <w:pPr>
              <w:pStyle w:val="MdTableCell"/>
            </w:pPr>
            <w:r>
              <w:rPr>
                <w:rStyle w:val="MdStrong"/>
              </w:rPr>
              <w:t>Power Automate</w:t>
            </w:r>
          </w:p>
        </w:tc>
        <w:tc>
          <w:tcPr>
            <w:tcW w:w="0" w:type="auto"/>
          </w:tcPr>
          <w:p w14:paraId="65D3EBC6" w14:textId="77777777" w:rsidR="00E677FB" w:rsidRDefault="00000000">
            <w:pPr>
              <w:pStyle w:val="MdTableCell"/>
            </w:pPr>
            <w:r>
              <w:t>Avisos sobre e-mails com análise semântica de urgência</w:t>
            </w:r>
          </w:p>
        </w:tc>
        <w:tc>
          <w:tcPr>
            <w:tcW w:w="0" w:type="auto"/>
          </w:tcPr>
          <w:p w14:paraId="0E090883" w14:textId="05F8C863" w:rsidR="00E677FB" w:rsidRDefault="00000000">
            <w:pPr>
              <w:pStyle w:val="MdTableCell"/>
            </w:pPr>
            <w:r>
              <w:t>Automação com supervisão humana e critérios transparentes</w:t>
            </w:r>
          </w:p>
        </w:tc>
      </w:tr>
      <w:tr w:rsidR="00E677FB" w14:paraId="4D0BF5B3" w14:textId="77777777" w:rsidTr="00BF0864">
        <w:trPr>
          <w:trHeight w:val="576"/>
        </w:trPr>
        <w:tc>
          <w:tcPr>
            <w:tcW w:w="0" w:type="auto"/>
          </w:tcPr>
          <w:p w14:paraId="6CE3EA65" w14:textId="77777777" w:rsidR="00E677FB" w:rsidRDefault="00000000">
            <w:pPr>
              <w:pStyle w:val="MdTableCell"/>
            </w:pPr>
            <w:r>
              <w:rPr>
                <w:rStyle w:val="MdStrong"/>
              </w:rPr>
              <w:t>Make.com</w:t>
            </w:r>
          </w:p>
        </w:tc>
        <w:tc>
          <w:tcPr>
            <w:tcW w:w="0" w:type="auto"/>
          </w:tcPr>
          <w:p w14:paraId="7EA40C2A" w14:textId="77777777" w:rsidR="00E677FB" w:rsidRDefault="00000000">
            <w:pPr>
              <w:pStyle w:val="MdTableCell"/>
            </w:pPr>
            <w:r>
              <w:t>Automação de agentes com regras, contexto e ferramentas</w:t>
            </w:r>
          </w:p>
        </w:tc>
        <w:tc>
          <w:tcPr>
            <w:tcW w:w="0" w:type="auto"/>
          </w:tcPr>
          <w:p w14:paraId="7673A19D" w14:textId="68AEDFDE" w:rsidR="00E677FB" w:rsidRDefault="00000000">
            <w:pPr>
              <w:pStyle w:val="MdTableCell"/>
            </w:pPr>
            <w:r>
              <w:t>Diferença entre automação linear e agente com ferramentas</w:t>
            </w:r>
          </w:p>
        </w:tc>
      </w:tr>
      <w:tr w:rsidR="00E677FB" w14:paraId="38616A31" w14:textId="77777777" w:rsidTr="00BF0864">
        <w:trPr>
          <w:trHeight w:val="576"/>
        </w:trPr>
        <w:tc>
          <w:tcPr>
            <w:tcW w:w="0" w:type="auto"/>
          </w:tcPr>
          <w:p w14:paraId="5EDDC2FF" w14:textId="77777777" w:rsidR="00E677FB" w:rsidRDefault="00000000">
            <w:pPr>
              <w:pStyle w:val="MdTableCell"/>
            </w:pPr>
            <w:r>
              <w:rPr>
                <w:rStyle w:val="MdStrong"/>
              </w:rPr>
              <w:t>Manus</w:t>
            </w:r>
          </w:p>
        </w:tc>
        <w:tc>
          <w:tcPr>
            <w:tcW w:w="0" w:type="auto"/>
          </w:tcPr>
          <w:p w14:paraId="7C8E8AD9" w14:textId="77777777" w:rsidR="00E677FB" w:rsidRDefault="00000000">
            <w:pPr>
              <w:pStyle w:val="MdTableCell"/>
            </w:pPr>
            <w:r>
              <w:t>Apoio à pesquisa, estruturação analítica e organização de evidências</w:t>
            </w:r>
          </w:p>
        </w:tc>
        <w:tc>
          <w:tcPr>
            <w:tcW w:w="0" w:type="auto"/>
          </w:tcPr>
          <w:p w14:paraId="03719B59" w14:textId="77777777" w:rsidR="00E677FB" w:rsidRDefault="00000000">
            <w:pPr>
              <w:pStyle w:val="MdTableCell"/>
            </w:pPr>
            <w:r>
              <w:t>Uso assistido, rastreabilidade e validação crítica</w:t>
            </w:r>
          </w:p>
        </w:tc>
      </w:tr>
    </w:tbl>
    <w:p w14:paraId="0C33B0DF" w14:textId="77777777" w:rsidR="00E677FB" w:rsidRDefault="00000000">
      <w:pPr>
        <w:pStyle w:val="MdHeading2"/>
      </w:pPr>
      <w:r>
        <w:t>Metodologia</w:t>
      </w:r>
    </w:p>
    <w:p w14:paraId="613B5EAF" w14:textId="4FFADA6F" w:rsidR="00E677FB" w:rsidRDefault="00000000" w:rsidP="00BB22C6">
      <w:pPr>
        <w:pStyle w:val="MdParagraph"/>
        <w:jc w:val="both"/>
      </w:pPr>
      <w:r>
        <w:t xml:space="preserve">A proposta metodológica combina exposição dialogada, análise orientada de materiais, estudo de casos, leitura crítica e oficinas práticas. Em vez de apresentar a IA como solução neutra e homogênea, o curso organiza a aprendizagem a partir de </w:t>
      </w:r>
      <w:r w:rsidRPr="00BB22C6">
        <w:rPr>
          <w:rStyle w:val="MdStrong"/>
          <w:b w:val="0"/>
          <w:bCs w:val="0"/>
        </w:rPr>
        <w:t xml:space="preserve">problemas concretos de atuação </w:t>
      </w:r>
      <w:r>
        <w:rPr>
          <w:rStyle w:val="MdStrong"/>
        </w:rPr>
        <w:t>pericial</w:t>
      </w:r>
      <w:r>
        <w:t>, como classificação automatizada, coleta intensiva de dados, fabricação de métricas, treinamento de sistemas e gestão algorítmica.</w:t>
      </w:r>
    </w:p>
    <w:p w14:paraId="1511D2F0" w14:textId="659AB461" w:rsidR="00E677FB" w:rsidRDefault="00000000" w:rsidP="00BB22C6">
      <w:pPr>
        <w:pStyle w:val="MdParagraph"/>
        <w:jc w:val="both"/>
      </w:pPr>
      <w:r>
        <w:t>As atividades expositivas devem introduzir conceitos e enquadramentos. As análises de caso devem aproximar esses conceitos de exemplos concretos, como Roblox, click farms, live commerce e egocentric data collection. Já os laboratórios devem funcionar como ambientes controlados de experimentação, nos quais os participantes consigam compreender tanto o potencial quanto os limites das ferramentas empregadas.</w:t>
      </w:r>
    </w:p>
    <w:p w14:paraId="19090D8D" w14:textId="7B06E831" w:rsidR="00E677FB" w:rsidRDefault="00000000" w:rsidP="00BB22C6">
      <w:pPr>
        <w:pStyle w:val="MdParagraph"/>
        <w:jc w:val="both"/>
      </w:pPr>
      <w:r>
        <w:t xml:space="preserve">Recomenda-se que cada oficina termine com um momento explícito de </w:t>
      </w:r>
      <w:r>
        <w:rPr>
          <w:rStyle w:val="MdStrong"/>
        </w:rPr>
        <w:t>debriefing crítico</w:t>
      </w:r>
      <w:r>
        <w:t>, em que se discutam vieses, falhas, dependências infraestruturais, hipóteses de erro, proteção de dados e possíveis repercussões jurídicas e periciais.</w:t>
      </w:r>
    </w:p>
    <w:p w14:paraId="0B5987B5" w14:textId="77777777" w:rsidR="00E677FB" w:rsidRDefault="00000000">
      <w:pPr>
        <w:pStyle w:val="MdHeading2"/>
      </w:pPr>
      <w:r>
        <w:t>Competências a desenvolver</w:t>
      </w:r>
    </w:p>
    <w:tbl>
      <w:tblPr>
        <w:tblStyle w:val="Tabelacomgrade"/>
        <w:tblW w:w="5000" w:type="pct"/>
        <w:tblLook w:val="04A0" w:firstRow="1" w:lastRow="0" w:firstColumn="1" w:lastColumn="0" w:noHBand="0" w:noVBand="1"/>
      </w:tblPr>
      <w:tblGrid>
        <w:gridCol w:w="1759"/>
        <w:gridCol w:w="7257"/>
      </w:tblGrid>
      <w:tr w:rsidR="00E677FB" w14:paraId="2C50C7E0" w14:textId="77777777" w:rsidTr="00BF0864">
        <w:trPr>
          <w:trHeight w:val="720"/>
        </w:trPr>
        <w:tc>
          <w:tcPr>
            <w:tcW w:w="0" w:type="auto"/>
          </w:tcPr>
          <w:p w14:paraId="04B7E80D" w14:textId="77777777" w:rsidR="00E677FB" w:rsidRDefault="00000000">
            <w:pPr>
              <w:pStyle w:val="MdTableHeader"/>
            </w:pPr>
            <w:r>
              <w:t>Dimensão</w:t>
            </w:r>
          </w:p>
        </w:tc>
        <w:tc>
          <w:tcPr>
            <w:tcW w:w="0" w:type="auto"/>
          </w:tcPr>
          <w:p w14:paraId="1E4DDE2B" w14:textId="77777777" w:rsidR="00E677FB" w:rsidRDefault="00000000">
            <w:pPr>
              <w:pStyle w:val="MdTableHeader"/>
            </w:pPr>
            <w:r>
              <w:t>Competência</w:t>
            </w:r>
          </w:p>
        </w:tc>
      </w:tr>
      <w:tr w:rsidR="00E677FB" w14:paraId="5636425E" w14:textId="77777777" w:rsidTr="00BF0864">
        <w:trPr>
          <w:trHeight w:val="576"/>
        </w:trPr>
        <w:tc>
          <w:tcPr>
            <w:tcW w:w="0" w:type="auto"/>
          </w:tcPr>
          <w:p w14:paraId="3210B551" w14:textId="77777777" w:rsidR="00E677FB" w:rsidRDefault="00000000">
            <w:pPr>
              <w:pStyle w:val="MdTableCell"/>
            </w:pPr>
            <w:r>
              <w:rPr>
                <w:rStyle w:val="MdStrong"/>
              </w:rPr>
              <w:t>Analítica</w:t>
            </w:r>
          </w:p>
        </w:tc>
        <w:tc>
          <w:tcPr>
            <w:tcW w:w="0" w:type="auto"/>
          </w:tcPr>
          <w:p w14:paraId="4608AF34" w14:textId="77777777" w:rsidR="00E677FB" w:rsidRDefault="00000000">
            <w:pPr>
              <w:pStyle w:val="MdTableCell"/>
            </w:pPr>
            <w:r>
              <w:t>Ler criticamente sistemas de IA e plataformas como arranjos sociotécnicos, e não apenas como softwares isolados</w:t>
            </w:r>
          </w:p>
        </w:tc>
      </w:tr>
      <w:tr w:rsidR="00E677FB" w14:paraId="683BE71E" w14:textId="77777777" w:rsidTr="00BF0864">
        <w:trPr>
          <w:trHeight w:val="576"/>
        </w:trPr>
        <w:tc>
          <w:tcPr>
            <w:tcW w:w="0" w:type="auto"/>
          </w:tcPr>
          <w:p w14:paraId="7A9D003D" w14:textId="77777777" w:rsidR="00E677FB" w:rsidRDefault="00000000">
            <w:pPr>
              <w:pStyle w:val="MdTableCell"/>
            </w:pPr>
            <w:r>
              <w:rPr>
                <w:rStyle w:val="MdStrong"/>
              </w:rPr>
              <w:t>Pericial</w:t>
            </w:r>
          </w:p>
        </w:tc>
        <w:tc>
          <w:tcPr>
            <w:tcW w:w="0" w:type="auto"/>
          </w:tcPr>
          <w:p w14:paraId="741F1A2B" w14:textId="77777777" w:rsidR="00E677FB" w:rsidRDefault="00000000">
            <w:pPr>
              <w:pStyle w:val="MdTableCell"/>
            </w:pPr>
            <w:r>
              <w:t>Formular perguntas técnicas sobre dados, modelos, logs, fluxos e governança</w:t>
            </w:r>
          </w:p>
        </w:tc>
      </w:tr>
      <w:tr w:rsidR="00E677FB" w14:paraId="53A2B988" w14:textId="77777777" w:rsidTr="00BF0864">
        <w:trPr>
          <w:trHeight w:val="576"/>
        </w:trPr>
        <w:tc>
          <w:tcPr>
            <w:tcW w:w="0" w:type="auto"/>
          </w:tcPr>
          <w:p w14:paraId="5D1E61B5" w14:textId="77777777" w:rsidR="00E677FB" w:rsidRDefault="00000000">
            <w:pPr>
              <w:pStyle w:val="MdTableCell"/>
            </w:pPr>
            <w:r>
              <w:rPr>
                <w:rStyle w:val="MdStrong"/>
              </w:rPr>
              <w:t>Probatória</w:t>
            </w:r>
          </w:p>
        </w:tc>
        <w:tc>
          <w:tcPr>
            <w:tcW w:w="0" w:type="auto"/>
          </w:tcPr>
          <w:p w14:paraId="71974799" w14:textId="77777777" w:rsidR="00E677FB" w:rsidRDefault="00000000">
            <w:pPr>
              <w:pStyle w:val="MdTableCell"/>
            </w:pPr>
            <w:r>
              <w:t>Identificar novas fontes de prova digital e avaliar sua confiabilidade, pertinência e limites</w:t>
            </w:r>
          </w:p>
        </w:tc>
      </w:tr>
      <w:tr w:rsidR="00E677FB" w14:paraId="61A46B71" w14:textId="77777777" w:rsidTr="00BF0864">
        <w:trPr>
          <w:trHeight w:val="576"/>
        </w:trPr>
        <w:tc>
          <w:tcPr>
            <w:tcW w:w="0" w:type="auto"/>
          </w:tcPr>
          <w:p w14:paraId="24B4877A" w14:textId="77777777" w:rsidR="00E677FB" w:rsidRDefault="00000000">
            <w:pPr>
              <w:pStyle w:val="MdTableCell"/>
            </w:pPr>
            <w:r>
              <w:rPr>
                <w:rStyle w:val="MdStrong"/>
              </w:rPr>
              <w:t>Jurídico-regulatória</w:t>
            </w:r>
          </w:p>
        </w:tc>
        <w:tc>
          <w:tcPr>
            <w:tcW w:w="0" w:type="auto"/>
          </w:tcPr>
          <w:p w14:paraId="3CBE0A78" w14:textId="77777777" w:rsidR="00E677FB" w:rsidRDefault="00000000">
            <w:pPr>
              <w:pStyle w:val="MdTableCell"/>
            </w:pPr>
            <w:r>
              <w:t>Reconhecer implicações de privacidade, proteção de dados, vigilância e discriminação</w:t>
            </w:r>
          </w:p>
        </w:tc>
      </w:tr>
      <w:tr w:rsidR="00E677FB" w14:paraId="507D2866" w14:textId="77777777" w:rsidTr="00BF0864">
        <w:trPr>
          <w:trHeight w:val="576"/>
        </w:trPr>
        <w:tc>
          <w:tcPr>
            <w:tcW w:w="0" w:type="auto"/>
          </w:tcPr>
          <w:p w14:paraId="7BBAC3AF" w14:textId="77777777" w:rsidR="00E677FB" w:rsidRDefault="00000000">
            <w:pPr>
              <w:pStyle w:val="MdTableCell"/>
            </w:pPr>
            <w:r>
              <w:rPr>
                <w:rStyle w:val="MdStrong"/>
              </w:rPr>
              <w:t>Operacional</w:t>
            </w:r>
          </w:p>
        </w:tc>
        <w:tc>
          <w:tcPr>
            <w:tcW w:w="0" w:type="auto"/>
          </w:tcPr>
          <w:p w14:paraId="46F21785" w14:textId="77777777" w:rsidR="00E677FB" w:rsidRDefault="00000000">
            <w:pPr>
              <w:pStyle w:val="MdTableCell"/>
            </w:pPr>
            <w:r>
              <w:t>Experimentar automações e agentes com compreensão de risco, supervisão e accountability</w:t>
            </w:r>
          </w:p>
        </w:tc>
      </w:tr>
      <w:tr w:rsidR="00E677FB" w14:paraId="6CEC19A6" w14:textId="77777777" w:rsidTr="00BF0864">
        <w:trPr>
          <w:trHeight w:val="576"/>
        </w:trPr>
        <w:tc>
          <w:tcPr>
            <w:tcW w:w="0" w:type="auto"/>
          </w:tcPr>
          <w:p w14:paraId="6C83BE26" w14:textId="77777777" w:rsidR="00E677FB" w:rsidRDefault="00000000">
            <w:pPr>
              <w:pStyle w:val="MdTableCell"/>
            </w:pPr>
            <w:r>
              <w:rPr>
                <w:rStyle w:val="MdStrong"/>
              </w:rPr>
              <w:lastRenderedPageBreak/>
              <w:t>Semiótica</w:t>
            </w:r>
          </w:p>
        </w:tc>
        <w:tc>
          <w:tcPr>
            <w:tcW w:w="0" w:type="auto"/>
          </w:tcPr>
          <w:p w14:paraId="1522A3A1" w14:textId="77777777" w:rsidR="00E677FB" w:rsidRDefault="00000000">
            <w:pPr>
              <w:pStyle w:val="MdTableCell"/>
            </w:pPr>
            <w:r>
              <w:t>Interpretar métricas, sinais de engajamento, interfaces e performances como elementos de produção de valor e poder</w:t>
            </w:r>
          </w:p>
        </w:tc>
      </w:tr>
    </w:tbl>
    <w:p w14:paraId="38A0DE0E" w14:textId="77777777" w:rsidR="00E677FB" w:rsidRDefault="00000000">
      <w:pPr>
        <w:pStyle w:val="MdHeading2"/>
      </w:pPr>
      <w:r>
        <w:t>Estratégias de avaliação sugeridas</w:t>
      </w:r>
    </w:p>
    <w:p w14:paraId="0E739688" w14:textId="77777777" w:rsidR="00E677FB" w:rsidRDefault="00000000" w:rsidP="00BB22C6">
      <w:pPr>
        <w:pStyle w:val="MdParagraph"/>
        <w:jc w:val="both"/>
      </w:pPr>
      <w:r>
        <w:t>A avaliação pode privilegiar dimensões formativas e aplicadas. Em vez de prova exclusivamente teórica, recomenda-se produção de exercícios curtos de análise e um trabalho final orientado a caso. Isso permite verificar se o participante consegue transferir o repertório conceitual para problemas concretos de atuação técnica.</w:t>
      </w:r>
    </w:p>
    <w:p w14:paraId="036291E9" w14:textId="77777777" w:rsidR="00E677FB" w:rsidRDefault="00E677FB">
      <w:pPr>
        <w:pStyle w:val="MdSpace"/>
        <w:spacing w:after="60"/>
      </w:pPr>
    </w:p>
    <w:tbl>
      <w:tblPr>
        <w:tblStyle w:val="Tabelacomgrade"/>
        <w:tblW w:w="5000" w:type="pct"/>
        <w:tblLook w:val="04A0" w:firstRow="1" w:lastRow="0" w:firstColumn="1" w:lastColumn="0" w:noHBand="0" w:noVBand="1"/>
      </w:tblPr>
      <w:tblGrid>
        <w:gridCol w:w="2146"/>
        <w:gridCol w:w="6870"/>
      </w:tblGrid>
      <w:tr w:rsidR="00E677FB" w14:paraId="67409760" w14:textId="77777777" w:rsidTr="00BF0864">
        <w:trPr>
          <w:trHeight w:val="720"/>
        </w:trPr>
        <w:tc>
          <w:tcPr>
            <w:tcW w:w="0" w:type="auto"/>
          </w:tcPr>
          <w:p w14:paraId="77845B74" w14:textId="77777777" w:rsidR="00E677FB" w:rsidRDefault="00000000">
            <w:pPr>
              <w:pStyle w:val="MdTableHeader"/>
            </w:pPr>
            <w:r>
              <w:t>Instrumento</w:t>
            </w:r>
          </w:p>
        </w:tc>
        <w:tc>
          <w:tcPr>
            <w:tcW w:w="0" w:type="auto"/>
          </w:tcPr>
          <w:p w14:paraId="2BB559BE" w14:textId="77777777" w:rsidR="00E677FB" w:rsidRDefault="00000000">
            <w:pPr>
              <w:pStyle w:val="MdTableHeader"/>
            </w:pPr>
            <w:r>
              <w:t>Descrição</w:t>
            </w:r>
          </w:p>
        </w:tc>
      </w:tr>
      <w:tr w:rsidR="00E677FB" w14:paraId="3F273E4F" w14:textId="77777777" w:rsidTr="00BF0864">
        <w:trPr>
          <w:trHeight w:val="576"/>
        </w:trPr>
        <w:tc>
          <w:tcPr>
            <w:tcW w:w="0" w:type="auto"/>
          </w:tcPr>
          <w:p w14:paraId="33FC3769" w14:textId="77777777" w:rsidR="00E677FB" w:rsidRDefault="00000000">
            <w:pPr>
              <w:pStyle w:val="MdTableCell"/>
            </w:pPr>
            <w:r>
              <w:rPr>
                <w:rStyle w:val="MdStrong"/>
              </w:rPr>
              <w:t>Participação qualificada</w:t>
            </w:r>
          </w:p>
        </w:tc>
        <w:tc>
          <w:tcPr>
            <w:tcW w:w="0" w:type="auto"/>
          </w:tcPr>
          <w:p w14:paraId="6DE68272" w14:textId="77777777" w:rsidR="00E677FB" w:rsidRDefault="00000000">
            <w:pPr>
              <w:pStyle w:val="MdTableCell"/>
            </w:pPr>
            <w:r>
              <w:t>Intervenções em debates, discussão de casos e leitura crítica de materiais</w:t>
            </w:r>
          </w:p>
        </w:tc>
      </w:tr>
      <w:tr w:rsidR="00E677FB" w14:paraId="5582DAD9" w14:textId="77777777" w:rsidTr="00BF0864">
        <w:trPr>
          <w:trHeight w:val="576"/>
        </w:trPr>
        <w:tc>
          <w:tcPr>
            <w:tcW w:w="0" w:type="auto"/>
          </w:tcPr>
          <w:p w14:paraId="5F8E2FF1" w14:textId="77777777" w:rsidR="00E677FB" w:rsidRDefault="00000000">
            <w:pPr>
              <w:pStyle w:val="MdTableCell"/>
            </w:pPr>
            <w:r>
              <w:rPr>
                <w:rStyle w:val="MdStrong"/>
              </w:rPr>
              <w:t>Exercício analítico</w:t>
            </w:r>
          </w:p>
        </w:tc>
        <w:tc>
          <w:tcPr>
            <w:tcW w:w="0" w:type="auto"/>
          </w:tcPr>
          <w:p w14:paraId="6CD2292F" w14:textId="77777777" w:rsidR="00E677FB" w:rsidRDefault="00000000">
            <w:pPr>
              <w:pStyle w:val="MdTableCell"/>
            </w:pPr>
            <w:r>
              <w:t>Identificação de riscos e questões periciais em um caso de IA/plataforma</w:t>
            </w:r>
          </w:p>
        </w:tc>
      </w:tr>
      <w:tr w:rsidR="00E677FB" w14:paraId="6AFD34E2" w14:textId="77777777" w:rsidTr="00BF0864">
        <w:trPr>
          <w:trHeight w:val="576"/>
        </w:trPr>
        <w:tc>
          <w:tcPr>
            <w:tcW w:w="0" w:type="auto"/>
          </w:tcPr>
          <w:p w14:paraId="18128A88" w14:textId="77777777" w:rsidR="00E677FB" w:rsidRDefault="00000000">
            <w:pPr>
              <w:pStyle w:val="MdTableCell"/>
            </w:pPr>
            <w:r>
              <w:rPr>
                <w:rStyle w:val="MdStrong"/>
              </w:rPr>
              <w:t>Oficina prática</w:t>
            </w:r>
          </w:p>
        </w:tc>
        <w:tc>
          <w:tcPr>
            <w:tcW w:w="0" w:type="auto"/>
          </w:tcPr>
          <w:p w14:paraId="1A5932C3" w14:textId="77777777" w:rsidR="00E677FB" w:rsidRDefault="00000000">
            <w:pPr>
              <w:pStyle w:val="MdTableCell"/>
            </w:pPr>
            <w:r>
              <w:t>Construção ou interpretação de fluxo simples com automação ou agente</w:t>
            </w:r>
          </w:p>
        </w:tc>
      </w:tr>
      <w:tr w:rsidR="00E677FB" w14:paraId="18F685A8" w14:textId="77777777" w:rsidTr="00BF0864">
        <w:trPr>
          <w:trHeight w:val="576"/>
        </w:trPr>
        <w:tc>
          <w:tcPr>
            <w:tcW w:w="0" w:type="auto"/>
          </w:tcPr>
          <w:p w14:paraId="0EE2BE56" w14:textId="77777777" w:rsidR="00E677FB" w:rsidRDefault="00000000">
            <w:pPr>
              <w:pStyle w:val="MdTableCell"/>
            </w:pPr>
            <w:r>
              <w:rPr>
                <w:rStyle w:val="MdStrong"/>
              </w:rPr>
              <w:t>Trabalho final</w:t>
            </w:r>
          </w:p>
        </w:tc>
        <w:tc>
          <w:tcPr>
            <w:tcW w:w="0" w:type="auto"/>
          </w:tcPr>
          <w:p w14:paraId="2BACA303" w14:textId="77777777" w:rsidR="00E677FB" w:rsidRDefault="00000000">
            <w:pPr>
              <w:pStyle w:val="MdTableCell"/>
            </w:pPr>
            <w:r>
              <w:t>Elaboração de matriz pericial aplicada a um caso hipotético ou real institucionalmente adequado</w:t>
            </w:r>
          </w:p>
        </w:tc>
      </w:tr>
    </w:tbl>
    <w:p w14:paraId="44723029" w14:textId="77777777" w:rsidR="00E677FB" w:rsidRDefault="00000000">
      <w:pPr>
        <w:pStyle w:val="MdHeading2"/>
      </w:pPr>
      <w:r>
        <w:t>Sugestão de distribuição da carga horária</w:t>
      </w:r>
    </w:p>
    <w:tbl>
      <w:tblPr>
        <w:tblStyle w:val="Tabelacomgrade"/>
        <w:tblW w:w="5000" w:type="pct"/>
        <w:tblLook w:val="04A0" w:firstRow="1" w:lastRow="0" w:firstColumn="1" w:lastColumn="0" w:noHBand="0" w:noVBand="1"/>
      </w:tblPr>
      <w:tblGrid>
        <w:gridCol w:w="954"/>
        <w:gridCol w:w="5623"/>
        <w:gridCol w:w="2439"/>
      </w:tblGrid>
      <w:tr w:rsidR="00E677FB" w14:paraId="1D6DC310" w14:textId="77777777" w:rsidTr="00BF0864">
        <w:trPr>
          <w:trHeight w:val="720"/>
        </w:trPr>
        <w:tc>
          <w:tcPr>
            <w:tcW w:w="0" w:type="auto"/>
          </w:tcPr>
          <w:p w14:paraId="6BAE5C39" w14:textId="77777777" w:rsidR="00E677FB" w:rsidRDefault="00000000">
            <w:pPr>
              <w:pStyle w:val="MdTableHeader"/>
            </w:pPr>
            <w:r>
              <w:t>Módulo</w:t>
            </w:r>
          </w:p>
        </w:tc>
        <w:tc>
          <w:tcPr>
            <w:tcW w:w="0" w:type="auto"/>
          </w:tcPr>
          <w:p w14:paraId="1B14F3EA" w14:textId="77777777" w:rsidR="00E677FB" w:rsidRDefault="00000000">
            <w:pPr>
              <w:pStyle w:val="MdTableHeader"/>
            </w:pPr>
            <w:r>
              <w:t>Tema</w:t>
            </w:r>
          </w:p>
        </w:tc>
        <w:tc>
          <w:tcPr>
            <w:tcW w:w="0" w:type="auto"/>
          </w:tcPr>
          <w:p w14:paraId="0DDE1F91" w14:textId="77777777" w:rsidR="00E677FB" w:rsidRDefault="00000000">
            <w:pPr>
              <w:pStyle w:val="MdTableHeader"/>
            </w:pPr>
            <w:r>
              <w:t>Carga horária sugerida</w:t>
            </w:r>
          </w:p>
        </w:tc>
      </w:tr>
      <w:tr w:rsidR="00E677FB" w14:paraId="59B1B1BA" w14:textId="77777777" w:rsidTr="00BF0864">
        <w:trPr>
          <w:trHeight w:val="576"/>
        </w:trPr>
        <w:tc>
          <w:tcPr>
            <w:tcW w:w="0" w:type="auto"/>
          </w:tcPr>
          <w:p w14:paraId="16E0F7EF" w14:textId="77777777" w:rsidR="00E677FB" w:rsidRDefault="00000000">
            <w:pPr>
              <w:pStyle w:val="MdTableCell"/>
            </w:pPr>
            <w:r>
              <w:rPr>
                <w:rStyle w:val="MdStrong"/>
              </w:rPr>
              <w:t>1</w:t>
            </w:r>
          </w:p>
        </w:tc>
        <w:tc>
          <w:tcPr>
            <w:tcW w:w="0" w:type="auto"/>
          </w:tcPr>
          <w:p w14:paraId="4F944B5D" w14:textId="77777777" w:rsidR="00E677FB" w:rsidRDefault="00000000">
            <w:pPr>
              <w:pStyle w:val="MdTableCell"/>
            </w:pPr>
            <w:r>
              <w:t>Fundamentos de IA para atuação pericial</w:t>
            </w:r>
          </w:p>
        </w:tc>
        <w:tc>
          <w:tcPr>
            <w:tcW w:w="0" w:type="auto"/>
          </w:tcPr>
          <w:p w14:paraId="071C09D4" w14:textId="77777777" w:rsidR="00E677FB" w:rsidRDefault="00000000">
            <w:pPr>
              <w:pStyle w:val="MdTableCell"/>
            </w:pPr>
            <w:r>
              <w:t>4h</w:t>
            </w:r>
          </w:p>
        </w:tc>
      </w:tr>
      <w:tr w:rsidR="00E677FB" w14:paraId="0BC99FA3" w14:textId="77777777" w:rsidTr="00BF0864">
        <w:trPr>
          <w:trHeight w:val="576"/>
        </w:trPr>
        <w:tc>
          <w:tcPr>
            <w:tcW w:w="0" w:type="auto"/>
          </w:tcPr>
          <w:p w14:paraId="10FC10C1" w14:textId="77777777" w:rsidR="00E677FB" w:rsidRDefault="00000000">
            <w:pPr>
              <w:pStyle w:val="MdTableCell"/>
            </w:pPr>
            <w:r>
              <w:rPr>
                <w:rStyle w:val="MdStrong"/>
              </w:rPr>
              <w:t>2</w:t>
            </w:r>
          </w:p>
        </w:tc>
        <w:tc>
          <w:tcPr>
            <w:tcW w:w="0" w:type="auto"/>
          </w:tcPr>
          <w:p w14:paraId="311B69F8" w14:textId="77777777" w:rsidR="00E677FB" w:rsidRDefault="00000000">
            <w:pPr>
              <w:pStyle w:val="MdTableCell"/>
            </w:pPr>
            <w:r>
              <w:t>Plataformização, dataficação e novas formas de trabalho</w:t>
            </w:r>
          </w:p>
        </w:tc>
        <w:tc>
          <w:tcPr>
            <w:tcW w:w="0" w:type="auto"/>
          </w:tcPr>
          <w:p w14:paraId="03BD2F3B" w14:textId="77777777" w:rsidR="00E677FB" w:rsidRDefault="00000000">
            <w:pPr>
              <w:pStyle w:val="MdTableCell"/>
            </w:pPr>
            <w:r>
              <w:t>4h</w:t>
            </w:r>
          </w:p>
        </w:tc>
      </w:tr>
      <w:tr w:rsidR="00E677FB" w14:paraId="008A5269" w14:textId="77777777" w:rsidTr="00BF0864">
        <w:trPr>
          <w:trHeight w:val="576"/>
        </w:trPr>
        <w:tc>
          <w:tcPr>
            <w:tcW w:w="0" w:type="auto"/>
          </w:tcPr>
          <w:p w14:paraId="50FDE257" w14:textId="77777777" w:rsidR="00E677FB" w:rsidRDefault="00000000">
            <w:pPr>
              <w:pStyle w:val="MdTableCell"/>
            </w:pPr>
            <w:r>
              <w:rPr>
                <w:rStyle w:val="MdStrong"/>
              </w:rPr>
              <w:t>3</w:t>
            </w:r>
          </w:p>
        </w:tc>
        <w:tc>
          <w:tcPr>
            <w:tcW w:w="0" w:type="auto"/>
          </w:tcPr>
          <w:p w14:paraId="36E1114D" w14:textId="77777777" w:rsidR="00E677FB" w:rsidRDefault="00000000">
            <w:pPr>
              <w:pStyle w:val="MdTableCell"/>
            </w:pPr>
            <w:r>
              <w:t>Semiótica das redes: UGC, emotes, Roblox, live shop e click farms</w:t>
            </w:r>
          </w:p>
        </w:tc>
        <w:tc>
          <w:tcPr>
            <w:tcW w:w="0" w:type="auto"/>
          </w:tcPr>
          <w:p w14:paraId="73618DD0" w14:textId="77777777" w:rsidR="00E677FB" w:rsidRDefault="00000000">
            <w:pPr>
              <w:pStyle w:val="MdTableCell"/>
            </w:pPr>
            <w:r>
              <w:t>4h</w:t>
            </w:r>
          </w:p>
        </w:tc>
      </w:tr>
      <w:tr w:rsidR="00E677FB" w14:paraId="4ABDBDEE" w14:textId="77777777" w:rsidTr="00BF0864">
        <w:trPr>
          <w:trHeight w:val="576"/>
        </w:trPr>
        <w:tc>
          <w:tcPr>
            <w:tcW w:w="0" w:type="auto"/>
          </w:tcPr>
          <w:p w14:paraId="558844B5" w14:textId="77777777" w:rsidR="00E677FB" w:rsidRDefault="00000000">
            <w:pPr>
              <w:pStyle w:val="MdTableCell"/>
            </w:pPr>
            <w:r>
              <w:rPr>
                <w:rStyle w:val="MdStrong"/>
              </w:rPr>
              <w:t>4</w:t>
            </w:r>
          </w:p>
        </w:tc>
        <w:tc>
          <w:tcPr>
            <w:tcW w:w="0" w:type="auto"/>
          </w:tcPr>
          <w:p w14:paraId="67C0C74B" w14:textId="77777777" w:rsidR="00E677FB" w:rsidRDefault="00000000">
            <w:pPr>
              <w:pStyle w:val="MdTableCell"/>
            </w:pPr>
            <w:r>
              <w:t>RAG, fine-tuning, segurança de dados e governança</w:t>
            </w:r>
          </w:p>
        </w:tc>
        <w:tc>
          <w:tcPr>
            <w:tcW w:w="0" w:type="auto"/>
          </w:tcPr>
          <w:p w14:paraId="69AA70FE" w14:textId="77777777" w:rsidR="00E677FB" w:rsidRDefault="00000000">
            <w:pPr>
              <w:pStyle w:val="MdTableCell"/>
            </w:pPr>
            <w:r>
              <w:t>4h</w:t>
            </w:r>
          </w:p>
        </w:tc>
      </w:tr>
      <w:tr w:rsidR="00E677FB" w14:paraId="5895CDB3" w14:textId="77777777" w:rsidTr="00BF0864">
        <w:trPr>
          <w:trHeight w:val="576"/>
        </w:trPr>
        <w:tc>
          <w:tcPr>
            <w:tcW w:w="0" w:type="auto"/>
          </w:tcPr>
          <w:p w14:paraId="6C2C1E63" w14:textId="77777777" w:rsidR="00E677FB" w:rsidRDefault="00000000">
            <w:pPr>
              <w:pStyle w:val="MdTableCell"/>
            </w:pPr>
            <w:r>
              <w:rPr>
                <w:rStyle w:val="MdStrong"/>
              </w:rPr>
              <w:t>5</w:t>
            </w:r>
          </w:p>
        </w:tc>
        <w:tc>
          <w:tcPr>
            <w:tcW w:w="0" w:type="auto"/>
          </w:tcPr>
          <w:p w14:paraId="7396AE61" w14:textId="77777777" w:rsidR="00E677FB" w:rsidRDefault="00000000">
            <w:pPr>
              <w:pStyle w:val="MdTableCell"/>
            </w:pPr>
            <w:r>
              <w:t>Egocentric data collection, vigilância e prova digital</w:t>
            </w:r>
          </w:p>
        </w:tc>
        <w:tc>
          <w:tcPr>
            <w:tcW w:w="0" w:type="auto"/>
          </w:tcPr>
          <w:p w14:paraId="76ACA729" w14:textId="77777777" w:rsidR="00E677FB" w:rsidRDefault="00000000">
            <w:pPr>
              <w:pStyle w:val="MdTableCell"/>
            </w:pPr>
            <w:r>
              <w:t>4h</w:t>
            </w:r>
          </w:p>
        </w:tc>
      </w:tr>
      <w:tr w:rsidR="00E677FB" w14:paraId="502EA694" w14:textId="77777777" w:rsidTr="00BF0864">
        <w:trPr>
          <w:trHeight w:val="576"/>
        </w:trPr>
        <w:tc>
          <w:tcPr>
            <w:tcW w:w="0" w:type="auto"/>
          </w:tcPr>
          <w:p w14:paraId="060124F9" w14:textId="77777777" w:rsidR="00E677FB" w:rsidRDefault="00000000">
            <w:pPr>
              <w:pStyle w:val="MdTableCell"/>
            </w:pPr>
            <w:r>
              <w:rPr>
                <w:rStyle w:val="MdStrong"/>
              </w:rPr>
              <w:t>6</w:t>
            </w:r>
          </w:p>
        </w:tc>
        <w:tc>
          <w:tcPr>
            <w:tcW w:w="0" w:type="auto"/>
          </w:tcPr>
          <w:p w14:paraId="74F408DF" w14:textId="77777777" w:rsidR="00E677FB" w:rsidRDefault="00000000">
            <w:pPr>
              <w:pStyle w:val="MdTableCell"/>
            </w:pPr>
            <w:r>
              <w:t>Laboratórios práticos com Power Automate, Make.com e Manus</w:t>
            </w:r>
          </w:p>
        </w:tc>
        <w:tc>
          <w:tcPr>
            <w:tcW w:w="0" w:type="auto"/>
          </w:tcPr>
          <w:p w14:paraId="5105377D" w14:textId="77777777" w:rsidR="00E677FB" w:rsidRDefault="00000000">
            <w:pPr>
              <w:pStyle w:val="MdTableCell"/>
            </w:pPr>
            <w:r>
              <w:t>4h</w:t>
            </w:r>
          </w:p>
        </w:tc>
      </w:tr>
      <w:tr w:rsidR="00E677FB" w14:paraId="319C86E9" w14:textId="77777777" w:rsidTr="00BF0864">
        <w:trPr>
          <w:trHeight w:val="576"/>
        </w:trPr>
        <w:tc>
          <w:tcPr>
            <w:tcW w:w="0" w:type="auto"/>
          </w:tcPr>
          <w:p w14:paraId="28B95262" w14:textId="77777777" w:rsidR="00E677FB" w:rsidRDefault="00E677FB">
            <w:pPr>
              <w:pStyle w:val="MdTableCell"/>
            </w:pPr>
          </w:p>
        </w:tc>
        <w:tc>
          <w:tcPr>
            <w:tcW w:w="0" w:type="auto"/>
          </w:tcPr>
          <w:p w14:paraId="689A528A" w14:textId="77777777" w:rsidR="00E677FB" w:rsidRDefault="00000000">
            <w:pPr>
              <w:pStyle w:val="MdTableCell"/>
            </w:pPr>
            <w:r>
              <w:rPr>
                <w:rStyle w:val="MdStrong"/>
              </w:rPr>
              <w:t>Total</w:t>
            </w:r>
          </w:p>
        </w:tc>
        <w:tc>
          <w:tcPr>
            <w:tcW w:w="0" w:type="auto"/>
          </w:tcPr>
          <w:p w14:paraId="035D6947" w14:textId="77777777" w:rsidR="00E677FB" w:rsidRDefault="00000000">
            <w:pPr>
              <w:pStyle w:val="MdTableCell"/>
            </w:pPr>
            <w:r>
              <w:rPr>
                <w:rStyle w:val="MdStrong"/>
              </w:rPr>
              <w:t>24h</w:t>
            </w:r>
          </w:p>
        </w:tc>
      </w:tr>
    </w:tbl>
    <w:p w14:paraId="5CF0625F" w14:textId="77777777" w:rsidR="00E677FB" w:rsidRDefault="00000000">
      <w:pPr>
        <w:pStyle w:val="MdHeading2"/>
      </w:pPr>
      <w:r>
        <w:t>Síntese final da proposta</w:t>
      </w:r>
    </w:p>
    <w:p w14:paraId="0C850DBE" w14:textId="5306A2C6" w:rsidR="00E677FB" w:rsidRPr="00BB22C6" w:rsidRDefault="00000000" w:rsidP="00BB22C6">
      <w:pPr>
        <w:pStyle w:val="MdParagraph"/>
        <w:jc w:val="both"/>
      </w:pPr>
      <w:r w:rsidRPr="00BB22C6">
        <w:t xml:space="preserve">A proposta de curso procura oferecer aos peritos do MPT um itinerário formativo coerente com a complexidade atual do mundo do trabalho digital. Em vez de restringir a IA ao debate sobre produtividade ou inovação, o desenho apresentado a situa no cruzamento entre </w:t>
      </w:r>
      <w:r w:rsidRPr="00BB22C6">
        <w:rPr>
          <w:rStyle w:val="MdStrong"/>
        </w:rPr>
        <w:t>dados, plataformas, signos, automação, prova, vigilância e direitos</w:t>
      </w:r>
      <w:r w:rsidRPr="00BB22C6">
        <w:t xml:space="preserve">. Isso permite que a atuação </w:t>
      </w:r>
      <w:r w:rsidRPr="00BB22C6">
        <w:lastRenderedPageBreak/>
        <w:t>pericial seja fortalecida tanto no plano da compreensão conceitual quanto no plano da intervenção prática.</w:t>
      </w:r>
    </w:p>
    <w:p w14:paraId="5B1CC999" w14:textId="409F7340" w:rsidR="00E677FB" w:rsidRDefault="00000000" w:rsidP="00BB22C6">
      <w:pPr>
        <w:pStyle w:val="MdParagraph"/>
        <w:jc w:val="both"/>
      </w:pPr>
      <w:r w:rsidRPr="00BB22C6">
        <w:t xml:space="preserve">O diferencial da proposta está em combinar, em um mesmo percurso, a distinção técnica entre modelos e estratégias de IA, a leitura crítica da plataformização e da semiótica das redes, a discussão de formas emergentes de exploração e monitoramento, e a experimentação prática de ferramentas contemporâneas. Para o contexto do MPT, esse arranjo é particularmente valioso porque favorece uma formação apta a lidar com situações em que a tecnologia não aparece apenas como instrumento neutro, mas como </w:t>
      </w:r>
      <w:r w:rsidRPr="00BB22C6">
        <w:rPr>
          <w:rStyle w:val="MdStrong"/>
          <w:b w:val="0"/>
          <w:bCs w:val="0"/>
        </w:rPr>
        <w:t>meio de organizar trabalho, extrair dados, produzir assimetrias e reconfigurar o próprio objeto da perícia</w:t>
      </w:r>
      <w:r w:rsidRPr="00BB22C6">
        <w:t>.</w:t>
      </w:r>
    </w:p>
    <w:p w14:paraId="7A6ED0EA" w14:textId="77777777" w:rsidR="00E677FB" w:rsidRDefault="00000000">
      <w:pPr>
        <w:pStyle w:val="MdHeading2"/>
      </w:pPr>
      <w:r>
        <w:t>Referências</w:t>
      </w:r>
    </w:p>
    <w:p w14:paraId="5B98A975" w14:textId="77777777" w:rsidR="00BB22C6" w:rsidRPr="00BB22C6" w:rsidRDefault="00BB22C6" w:rsidP="00BB22C6">
      <w:hyperlink r:id="rId9" w:tgtFrame="_blank" w:history="1">
        <w:r w:rsidRPr="00BB22C6">
          <w:rPr>
            <w:rStyle w:val="Hyperlink"/>
          </w:rPr>
          <w:t>[1] LEMOS, André. O futuro da plataformização da sociedade no Brasil</w:t>
        </w:r>
      </w:hyperlink>
    </w:p>
    <w:p w14:paraId="0AA9CBC4" w14:textId="58B99BCB" w:rsidR="00BB22C6" w:rsidRPr="00BB22C6" w:rsidRDefault="00BB22C6" w:rsidP="00BB22C6">
      <w:hyperlink r:id="rId10" w:tgtFrame="_blank" w:history="1">
        <w:r w:rsidRPr="00BB22C6">
          <w:rPr>
            <w:rStyle w:val="Hyperlink"/>
          </w:rPr>
          <w:t>[2] TECCOGS n. 28 (2023): Manual Ético para o uso da Inteligência Artificial Generativa</w:t>
        </w:r>
      </w:hyperlink>
    </w:p>
    <w:p w14:paraId="2EFAE503" w14:textId="77777777" w:rsidR="00BB22C6" w:rsidRPr="00BB22C6" w:rsidRDefault="00BB22C6" w:rsidP="00BB22C6">
      <w:hyperlink r:id="rId11" w:tgtFrame="_blank" w:history="1">
        <w:r w:rsidRPr="00BB22C6">
          <w:rPr>
            <w:rStyle w:val="Hyperlink"/>
          </w:rPr>
          <w:t>[3] Plataformas de fazendas de cliques: condições de trabalho, materialidades e formas de organização</w:t>
        </w:r>
      </w:hyperlink>
    </w:p>
    <w:p w14:paraId="6A307084" w14:textId="77777777" w:rsidR="00BB22C6" w:rsidRPr="00BB22C6" w:rsidRDefault="00BB22C6" w:rsidP="00BB22C6">
      <w:pPr>
        <w:rPr>
          <w:lang w:val="en-US"/>
        </w:rPr>
      </w:pPr>
      <w:hyperlink r:id="rId12" w:tgtFrame="_blank" w:history="1">
        <w:r w:rsidRPr="00BB22C6">
          <w:rPr>
            <w:rStyle w:val="Hyperlink"/>
            <w:lang w:val="en-US"/>
          </w:rPr>
          <w:t>[4] Avatar Creators Can Publish and Sell Emotes on Marketplace</w:t>
        </w:r>
      </w:hyperlink>
    </w:p>
    <w:p w14:paraId="5F595C48" w14:textId="77777777" w:rsidR="00BB22C6" w:rsidRPr="00BB22C6" w:rsidRDefault="00BB22C6" w:rsidP="00BB22C6">
      <w:pPr>
        <w:rPr>
          <w:lang w:val="en-US"/>
        </w:rPr>
      </w:pPr>
      <w:hyperlink r:id="rId13" w:tgtFrame="_blank" w:history="1">
        <w:r w:rsidRPr="00BB22C6">
          <w:rPr>
            <w:rStyle w:val="Hyperlink"/>
            <w:lang w:val="en-US"/>
          </w:rPr>
          <w:t>[5] Realizing the potential of live commerce</w:t>
        </w:r>
      </w:hyperlink>
    </w:p>
    <w:p w14:paraId="02361851" w14:textId="77777777" w:rsidR="00BB22C6" w:rsidRPr="00BB22C6" w:rsidRDefault="00BB22C6" w:rsidP="00BB22C6">
      <w:hyperlink r:id="rId14" w:tgtFrame="_blank" w:history="1">
        <w:r w:rsidRPr="00BB22C6">
          <w:rPr>
            <w:rStyle w:val="Hyperlink"/>
          </w:rPr>
          <w:t>[6] Qual a diferença entre RAG e Fine tuning?</w:t>
        </w:r>
      </w:hyperlink>
    </w:p>
    <w:p w14:paraId="704F8CF3" w14:textId="77777777" w:rsidR="00BB22C6" w:rsidRPr="00BB22C6" w:rsidRDefault="00BB22C6" w:rsidP="00BB22C6">
      <w:pPr>
        <w:rPr>
          <w:lang w:val="en-US"/>
        </w:rPr>
      </w:pPr>
      <w:hyperlink r:id="rId15" w:tgtFrame="_blank" w:history="1">
        <w:r w:rsidRPr="00BB22C6">
          <w:rPr>
            <w:rStyle w:val="Hyperlink"/>
            <w:lang w:val="en-US"/>
          </w:rPr>
          <w:t>[7] Use the sentiment analysis prebuilt model in Power Automate</w:t>
        </w:r>
      </w:hyperlink>
    </w:p>
    <w:p w14:paraId="36DF48F5" w14:textId="77777777" w:rsidR="00BB22C6" w:rsidRPr="00BB22C6" w:rsidRDefault="00BB22C6" w:rsidP="00BB22C6">
      <w:pPr>
        <w:rPr>
          <w:lang w:val="en-US"/>
        </w:rPr>
      </w:pPr>
      <w:hyperlink r:id="rId16" w:tgtFrame="_blank" w:history="1">
        <w:r w:rsidRPr="00BB22C6">
          <w:rPr>
            <w:rStyle w:val="Hyperlink"/>
            <w:lang w:val="en-US"/>
          </w:rPr>
          <w:t>[8] Introduction to AI agents</w:t>
        </w:r>
      </w:hyperlink>
    </w:p>
    <w:p w14:paraId="0929BB20" w14:textId="44812D19" w:rsidR="00BB22C6" w:rsidRDefault="00BB22C6" w:rsidP="00BB22C6">
      <w:hyperlink r:id="rId17" w:tgtFrame="_blank" w:history="1">
        <w:r w:rsidRPr="00BB22C6">
          <w:rPr>
            <w:rStyle w:val="Hyperlink"/>
            <w:lang w:val="en-US"/>
          </w:rPr>
          <w:t>[9] Egocentric data collection</w:t>
        </w:r>
      </w:hyperlink>
    </w:p>
    <w:p w14:paraId="69F66997" w14:textId="77777777" w:rsidR="004D3220" w:rsidRDefault="004D3220" w:rsidP="00BB22C6"/>
    <w:p w14:paraId="355165B8" w14:textId="5B9B3B50" w:rsidR="004D3220" w:rsidRPr="004D3220" w:rsidRDefault="004D3220" w:rsidP="00BB22C6">
      <w:r>
        <w:t>Links importantes</w:t>
      </w:r>
    </w:p>
    <w:p w14:paraId="78F6C8FB" w14:textId="213E58EC" w:rsidR="004D3220" w:rsidRPr="004D3220" w:rsidRDefault="004D3220" w:rsidP="00BB22C6">
      <w:hyperlink r:id="rId18" w:history="1">
        <w:r w:rsidRPr="004D3220">
          <w:rPr>
            <w:rStyle w:val="Hyperlink"/>
          </w:rPr>
          <w:t>https://www.youtube.com/live/yn18LljwTTU?feature=shared</w:t>
        </w:r>
      </w:hyperlink>
      <w:r w:rsidRPr="004D3220">
        <w:t xml:space="preserve"> </w:t>
      </w:r>
      <w:hyperlink r:id="rId19" w:tgtFrame="_blank" w:history="1">
        <w:r w:rsidRPr="004D3220">
          <w:rPr>
            <w:rStyle w:val="Hyperlink"/>
          </w:rPr>
          <w:t>https://www.youtube.com/live/jaz_1u8LNW0?feature=shared</w:t>
        </w:r>
      </w:hyperlink>
      <w:r w:rsidRPr="004D3220">
        <w:t xml:space="preserve"> </w:t>
      </w:r>
      <w:hyperlink r:id="rId20" w:tgtFrame="_blank" w:history="1">
        <w:r w:rsidRPr="004D3220">
          <w:rPr>
            <w:rStyle w:val="Hyperlink"/>
          </w:rPr>
          <w:t>https://www.youtube.com/live/bF6rer0I1FE?feature=shared</w:t>
        </w:r>
      </w:hyperlink>
      <w:r w:rsidRPr="004D3220">
        <w:t xml:space="preserve"> </w:t>
      </w:r>
      <w:hyperlink r:id="rId21" w:tgtFrame="_blank" w:history="1">
        <w:r w:rsidRPr="004D3220">
          <w:rPr>
            <w:rStyle w:val="Hyperlink"/>
          </w:rPr>
          <w:t>https://www.youtube.com/live/KMavy0u4ZsY?feature=shared</w:t>
        </w:r>
      </w:hyperlink>
      <w:r w:rsidRPr="004D3220">
        <w:t xml:space="preserve"> </w:t>
      </w:r>
      <w:hyperlink r:id="rId22" w:tgtFrame="_blank" w:history="1">
        <w:r w:rsidRPr="004D3220">
          <w:rPr>
            <w:rStyle w:val="Hyperlink"/>
          </w:rPr>
          <w:t>https://www.</w:t>
        </w:r>
        <w:r w:rsidRPr="004D3220">
          <w:rPr>
            <w:rStyle w:val="Hyperlink"/>
          </w:rPr>
          <w:t>y</w:t>
        </w:r>
        <w:r w:rsidRPr="004D3220">
          <w:rPr>
            <w:rStyle w:val="Hyperlink"/>
          </w:rPr>
          <w:t>outube.com/watch?v=3WNBoo4vVrA&amp;t=48s</w:t>
        </w:r>
      </w:hyperlink>
    </w:p>
    <w:sectPr w:rsidR="004D3220" w:rsidRPr="004D322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E545A6"/>
    <w:multiLevelType w:val="multilevel"/>
    <w:tmpl w:val="384AE96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5F1C1157"/>
    <w:multiLevelType w:val="hybridMultilevel"/>
    <w:tmpl w:val="C8D4EA38"/>
    <w:lvl w:ilvl="0" w:tplc="2EE2E016">
      <w:start w:val="1"/>
      <w:numFmt w:val="bullet"/>
      <w:lvlText w:val="●"/>
      <w:lvlJc w:val="left"/>
      <w:pPr>
        <w:ind w:left="720" w:hanging="360"/>
      </w:pPr>
    </w:lvl>
    <w:lvl w:ilvl="1" w:tplc="2A289B5E">
      <w:start w:val="1"/>
      <w:numFmt w:val="bullet"/>
      <w:lvlText w:val="○"/>
      <w:lvlJc w:val="left"/>
      <w:pPr>
        <w:ind w:left="1440" w:hanging="360"/>
      </w:pPr>
    </w:lvl>
    <w:lvl w:ilvl="2" w:tplc="DB04AEFA">
      <w:start w:val="1"/>
      <w:numFmt w:val="bullet"/>
      <w:lvlText w:val="■"/>
      <w:lvlJc w:val="left"/>
      <w:pPr>
        <w:ind w:left="2160" w:hanging="360"/>
      </w:pPr>
    </w:lvl>
    <w:lvl w:ilvl="3" w:tplc="4ADC66A6">
      <w:start w:val="1"/>
      <w:numFmt w:val="bullet"/>
      <w:lvlText w:val="●"/>
      <w:lvlJc w:val="left"/>
      <w:pPr>
        <w:ind w:left="2880" w:hanging="360"/>
      </w:pPr>
    </w:lvl>
    <w:lvl w:ilvl="4" w:tplc="5FAA71AA">
      <w:start w:val="1"/>
      <w:numFmt w:val="bullet"/>
      <w:lvlText w:val="○"/>
      <w:lvlJc w:val="left"/>
      <w:pPr>
        <w:ind w:left="3600" w:hanging="360"/>
      </w:pPr>
    </w:lvl>
    <w:lvl w:ilvl="5" w:tplc="0B88CB92">
      <w:start w:val="1"/>
      <w:numFmt w:val="bullet"/>
      <w:lvlText w:val="■"/>
      <w:lvlJc w:val="left"/>
      <w:pPr>
        <w:ind w:left="4320" w:hanging="360"/>
      </w:pPr>
    </w:lvl>
    <w:lvl w:ilvl="6" w:tplc="1AE66AE8">
      <w:start w:val="1"/>
      <w:numFmt w:val="bullet"/>
      <w:lvlText w:val="●"/>
      <w:lvlJc w:val="left"/>
      <w:pPr>
        <w:ind w:left="5040" w:hanging="360"/>
      </w:pPr>
    </w:lvl>
    <w:lvl w:ilvl="7" w:tplc="9DC620B8">
      <w:start w:val="1"/>
      <w:numFmt w:val="bullet"/>
      <w:lvlText w:val="●"/>
      <w:lvlJc w:val="left"/>
      <w:pPr>
        <w:ind w:left="5760" w:hanging="360"/>
      </w:pPr>
    </w:lvl>
    <w:lvl w:ilvl="8" w:tplc="7C368132">
      <w:start w:val="1"/>
      <w:numFmt w:val="bullet"/>
      <w:lvlText w:val="●"/>
      <w:lvlJc w:val="left"/>
      <w:pPr>
        <w:ind w:left="6480" w:hanging="360"/>
      </w:pPr>
    </w:lvl>
  </w:abstractNum>
  <w:abstractNum w:abstractNumId="2" w15:restartNumberingAfterBreak="0">
    <w:nsid w:val="7A893940"/>
    <w:multiLevelType w:val="hybridMultilevel"/>
    <w:tmpl w:val="3B94E9F4"/>
    <w:lvl w:ilvl="0" w:tplc="C6A2AE3A">
      <w:start w:val="1"/>
      <w:numFmt w:val="bullet"/>
      <w:lvlText w:val="•"/>
      <w:lvlJc w:val="left"/>
      <w:pPr>
        <w:ind w:left="720" w:hanging="360"/>
      </w:pPr>
    </w:lvl>
    <w:lvl w:ilvl="1" w:tplc="9976EEAA">
      <w:start w:val="1"/>
      <w:numFmt w:val="bullet"/>
      <w:lvlText w:val="◦"/>
      <w:lvlJc w:val="left"/>
      <w:pPr>
        <w:ind w:left="1440" w:hanging="360"/>
      </w:pPr>
    </w:lvl>
    <w:lvl w:ilvl="2" w:tplc="72D24D48">
      <w:start w:val="1"/>
      <w:numFmt w:val="bullet"/>
      <w:lvlText w:val="•"/>
      <w:lvlJc w:val="left"/>
      <w:pPr>
        <w:ind w:left="2160" w:hanging="360"/>
      </w:pPr>
    </w:lvl>
    <w:lvl w:ilvl="3" w:tplc="5A96AA54">
      <w:start w:val="1"/>
      <w:numFmt w:val="bullet"/>
      <w:lvlText w:val="◦"/>
      <w:lvlJc w:val="left"/>
      <w:pPr>
        <w:ind w:left="2880" w:hanging="360"/>
      </w:pPr>
    </w:lvl>
    <w:lvl w:ilvl="4" w:tplc="C25AA84E">
      <w:start w:val="1"/>
      <w:numFmt w:val="bullet"/>
      <w:lvlText w:val="•"/>
      <w:lvlJc w:val="left"/>
      <w:pPr>
        <w:ind w:left="3600" w:hanging="360"/>
      </w:pPr>
    </w:lvl>
    <w:lvl w:ilvl="5" w:tplc="4814772C">
      <w:start w:val="1"/>
      <w:numFmt w:val="bullet"/>
      <w:lvlText w:val="◦"/>
      <w:lvlJc w:val="left"/>
      <w:pPr>
        <w:ind w:left="4320" w:hanging="360"/>
      </w:pPr>
    </w:lvl>
    <w:lvl w:ilvl="6" w:tplc="3620BD6C">
      <w:start w:val="1"/>
      <w:numFmt w:val="bullet"/>
      <w:lvlText w:val="•"/>
      <w:lvlJc w:val="left"/>
      <w:pPr>
        <w:ind w:left="5040" w:hanging="360"/>
      </w:pPr>
    </w:lvl>
    <w:lvl w:ilvl="7" w:tplc="57BC468C">
      <w:numFmt w:val="decimal"/>
      <w:lvlText w:val=""/>
      <w:lvlJc w:val="left"/>
    </w:lvl>
    <w:lvl w:ilvl="8" w:tplc="BB10C36A">
      <w:numFmt w:val="decimal"/>
      <w:lvlText w:val=""/>
      <w:lvlJc w:val="left"/>
    </w:lvl>
  </w:abstractNum>
  <w:num w:numId="1" w16cid:durableId="197744601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77FB"/>
    <w:rsid w:val="00152206"/>
    <w:rsid w:val="004D3220"/>
    <w:rsid w:val="00896B53"/>
    <w:rsid w:val="00B11FED"/>
    <w:rsid w:val="00BB22C6"/>
    <w:rsid w:val="00BF0864"/>
    <w:rsid w:val="00DA3275"/>
    <w:rsid w:val="00E677FB"/>
    <w:rsid w:val="00F408C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7F4CA"/>
  <w15:docId w15:val="{8AACE847-5A88-4EFD-B70F-4678D9E8B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color="0563C1"/>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MdHeading1">
    <w:name w:val="MdHeading1"/>
    <w:qFormat/>
    <w:pPr>
      <w:keepNext/>
      <w:spacing w:before="480" w:after="240"/>
      <w:outlineLvl w:val="0"/>
    </w:pPr>
    <w:rPr>
      <w:b/>
      <w:bCs/>
      <w:sz w:val="36"/>
      <w:szCs w:val="36"/>
    </w:rPr>
  </w:style>
  <w:style w:type="paragraph" w:customStyle="1" w:styleId="MdHeading2">
    <w:name w:val="MdHeading2"/>
    <w:qFormat/>
    <w:pPr>
      <w:keepNext/>
      <w:spacing w:before="400" w:after="200"/>
      <w:outlineLvl w:val="1"/>
    </w:pPr>
    <w:rPr>
      <w:b/>
      <w:bCs/>
      <w:sz w:val="32"/>
      <w:szCs w:val="32"/>
    </w:rPr>
  </w:style>
  <w:style w:type="paragraph" w:customStyle="1" w:styleId="MdHeading3">
    <w:name w:val="MdHeading3"/>
    <w:qFormat/>
    <w:pPr>
      <w:keepNext/>
      <w:spacing w:before="320" w:after="160"/>
      <w:outlineLvl w:val="2"/>
    </w:pPr>
    <w:rPr>
      <w:b/>
      <w:bCs/>
      <w:sz w:val="28"/>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 w:type="character" w:styleId="MenoPendente">
    <w:name w:val="Unresolved Mention"/>
    <w:basedOn w:val="Fontepargpadro"/>
    <w:uiPriority w:val="99"/>
    <w:semiHidden/>
    <w:unhideWhenUsed/>
    <w:rsid w:val="00BB22C6"/>
    <w:rPr>
      <w:color w:val="605E5C"/>
      <w:shd w:val="clear" w:color="auto" w:fill="E1DFDD"/>
    </w:rPr>
  </w:style>
  <w:style w:type="table" w:styleId="Tabelacomgrade">
    <w:name w:val="Table Grid"/>
    <w:basedOn w:val="Tabelanormal"/>
    <w:uiPriority w:val="39"/>
    <w:rsid w:val="00BF086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linkVisitado">
    <w:name w:val="FollowedHyperlink"/>
    <w:basedOn w:val="Fontepargpadro"/>
    <w:uiPriority w:val="99"/>
    <w:semiHidden/>
    <w:unhideWhenUsed/>
    <w:rsid w:val="004D322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scielo.br/j/gal/a/kW4Xg4Y4jQBcfmYcQq34vmQ/?lang=pt" TargetMode="External"/><Relationship Id="rId13" Type="http://schemas.openxmlformats.org/officeDocument/2006/relationships/hyperlink" Target="https://www.mckinsey.com/capabilities/growth-marketing-and-sales/our-insights/ready-for-prime-time-the-state-of-live-commerce" TargetMode="External"/><Relationship Id="rId18" Type="http://schemas.openxmlformats.org/officeDocument/2006/relationships/hyperlink" Target="https://www.youtube.com/live/yn18LljwTTU?feature=shared" TargetMode="External"/><Relationship Id="rId3" Type="http://schemas.openxmlformats.org/officeDocument/2006/relationships/settings" Target="settings.xml"/><Relationship Id="rId21" Type="http://schemas.openxmlformats.org/officeDocument/2006/relationships/hyperlink" Target="https://www.youtube.com/live/KMavy0u4ZsY?feature=shared" TargetMode="External"/><Relationship Id="rId7" Type="http://schemas.openxmlformats.org/officeDocument/2006/relationships/hyperlink" Target="https://www.mckinsey.com/capabilities/growth-marketing-and-sales/our-insights/ready-for-prime-time-the-state-of-live-commerce" TargetMode="External"/><Relationship Id="rId12" Type="http://schemas.openxmlformats.org/officeDocument/2006/relationships/hyperlink" Target="https://devforum.roblox.com/t/avatar-creators-can-publish-and-sell-emotes-on-marketplace/3866987" TargetMode="External"/><Relationship Id="rId17" Type="http://schemas.openxmlformats.org/officeDocument/2006/relationships/hyperlink" Target="https://www.youtube.com/shorts/gQv3bNc5C8w" TargetMode="External"/><Relationship Id="rId2" Type="http://schemas.openxmlformats.org/officeDocument/2006/relationships/styles" Target="styles.xml"/><Relationship Id="rId16" Type="http://schemas.openxmlformats.org/officeDocument/2006/relationships/hyperlink" Target="https://help.make.com/introduction-to-ai-agents" TargetMode="External"/><Relationship Id="rId20" Type="http://schemas.openxmlformats.org/officeDocument/2006/relationships/hyperlink" Target="https://www.youtube.com/live/bF6rer0I1FE?feature=shared" TargetMode="External"/><Relationship Id="rId1" Type="http://schemas.openxmlformats.org/officeDocument/2006/relationships/numbering" Target="numbering.xml"/><Relationship Id="rId6" Type="http://schemas.openxmlformats.org/officeDocument/2006/relationships/hyperlink" Target="https://devforum.roblox.com/t/avatar-creators-can-publish-and-sell-emotes-on-marketplace/3866987" TargetMode="External"/><Relationship Id="rId11" Type="http://schemas.openxmlformats.org/officeDocument/2006/relationships/hyperlink" Target="https://www.scielo.br/j/gal/a/kW4Xg4Y4jQBcfmYcQq34vmQ/?lang=pt" TargetMode="External"/><Relationship Id="rId24" Type="http://schemas.openxmlformats.org/officeDocument/2006/relationships/theme" Target="theme/theme1.xml"/><Relationship Id="rId5" Type="http://schemas.openxmlformats.org/officeDocument/2006/relationships/hyperlink" Target="https://devforum.roblox.com/t/avatar-creators-can-publish-and-sell-emotes-on-marketplace/3866987" TargetMode="External"/><Relationship Id="rId15" Type="http://schemas.openxmlformats.org/officeDocument/2006/relationships/hyperlink" Target="https://learn.microsoft.com/en-us/ai-builder/flow-sentiment-analysis" TargetMode="External"/><Relationship Id="rId23" Type="http://schemas.openxmlformats.org/officeDocument/2006/relationships/fontTable" Target="fontTable.xml"/><Relationship Id="rId10" Type="http://schemas.openxmlformats.org/officeDocument/2006/relationships/hyperlink" Target="https://revistas.pucsp.br/teccogs/issue/view/2973/495" TargetMode="External"/><Relationship Id="rId19" Type="http://schemas.openxmlformats.org/officeDocument/2006/relationships/hyperlink" Target="https://www.youtube.com/live/jaz_1u8LNW0?feature=shared" TargetMode="External"/><Relationship Id="rId4" Type="http://schemas.openxmlformats.org/officeDocument/2006/relationships/webSettings" Target="webSettings.xml"/><Relationship Id="rId9" Type="http://schemas.openxmlformats.org/officeDocument/2006/relationships/hyperlink" Target="https://acaoeducativa.org.br/wp-content/uploads/2022/03/ANDRE-LEMOS-O-futuro-da-plataformizacao-da-sociedade-no-Brasil-2.docx.pdf" TargetMode="External"/><Relationship Id="rId14" Type="http://schemas.openxmlformats.org/officeDocument/2006/relationships/hyperlink" Target="https://www.ibm.com/br-pt/think/topics/rag-vs-fine-tuning" TargetMode="External"/><Relationship Id="rId22" Type="http://schemas.openxmlformats.org/officeDocument/2006/relationships/hyperlink" Target="https://www.youtube.com/watch?v=3WNBoo4vVrA&amp;t=48s"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84</TotalTime>
  <Pages>9</Pages>
  <Words>4007</Words>
  <Characters>21644</Characters>
  <Application>Microsoft Office Word</Application>
  <DocSecurity>0</DocSecurity>
  <Lines>180</Lines>
  <Paragraphs>51</Paragraphs>
  <ScaleCrop>false</ScaleCrop>
  <HeadingPairs>
    <vt:vector size="2" baseType="variant">
      <vt:variant>
        <vt:lpstr>Título</vt:lpstr>
      </vt:variant>
      <vt:variant>
        <vt:i4>1</vt:i4>
      </vt:variant>
    </vt:vector>
  </HeadingPairs>
  <TitlesOfParts>
    <vt:vector size="1" baseType="lpstr">
      <vt:lpstr>Converted Document</vt:lpstr>
    </vt:vector>
  </TitlesOfParts>
  <Company/>
  <LinksUpToDate>false</LinksUpToDate>
  <CharactersWithSpaces>25600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Fabiana Raulino</cp:lastModifiedBy>
  <cp:revision>3</cp:revision>
  <dcterms:created xsi:type="dcterms:W3CDTF">2026-04-20T16:48:00Z</dcterms:created>
  <dcterms:modified xsi:type="dcterms:W3CDTF">2026-04-20T18:22:00Z</dcterms:modified>
</cp:coreProperties>
</file>