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F87131">
      <w:pPr>
        <w:jc w:val="both"/>
        <w:rPr>
          <w:rFonts w:ascii="Times New Roman" w:hAnsi="Times New Roman" w:cs="Times New Roman"/>
          <w:b/>
          <w:sz w:val="24"/>
          <w:szCs w:val="24"/>
        </w:rPr>
      </w:pPr>
      <w:r>
        <w:rPr>
          <w:rFonts w:ascii="Times New Roman" w:hAnsi="Times New Roman" w:cs="Times New Roman"/>
          <w:b/>
          <w:sz w:val="24"/>
          <w:szCs w:val="24"/>
        </w:rPr>
        <w:t>CARNEVALE</w:t>
      </w:r>
    </w:p>
    <w:p w14:paraId="443F0688">
      <w:pPr>
        <w:pStyle w:val="7"/>
        <w:autoSpaceDE w:val="0"/>
        <w:jc w:val="both"/>
        <w:rPr>
          <w:rFonts w:ascii="Times New Roman" w:hAnsi="Times New Roman"/>
        </w:rPr>
      </w:pPr>
      <w:r>
        <w:rPr>
          <w:rFonts w:ascii="Times New Roman" w:hAnsi="Times New Roman"/>
        </w:rPr>
        <w:t>Il Carnevale nella nostra cultura è un momento altamente aggregante sia nella sua fase di preparazione, sia nella fase di manifestazione.</w:t>
      </w:r>
    </w:p>
    <w:p w14:paraId="29109F2F">
      <w:pPr>
        <w:pStyle w:val="7"/>
        <w:autoSpaceDE w:val="0"/>
        <w:jc w:val="both"/>
        <w:rPr>
          <w:rFonts w:ascii="Times New Roman" w:hAnsi="Times New Roman"/>
        </w:rPr>
      </w:pPr>
      <w:r>
        <w:rPr>
          <w:rFonts w:ascii="Times New Roman" w:hAnsi="Times New Roman"/>
        </w:rPr>
        <w:t>Da qualche anno è stato proposto alle Associazioni e realtà presenti nel Tavolo di Comunità come possibilità per sperimentare un lavoro di collaborazione a beneficio di tutta la comunità purliliese.</w:t>
      </w:r>
    </w:p>
    <w:p w14:paraId="570642DF">
      <w:pPr>
        <w:pStyle w:val="7"/>
        <w:autoSpaceDE w:val="0"/>
        <w:jc w:val="both"/>
        <w:rPr>
          <w:rFonts w:ascii="Times New Roman" w:hAnsi="Times New Roman"/>
        </w:rPr>
      </w:pPr>
      <w:r>
        <w:rPr>
          <w:rFonts w:ascii="Times New Roman" w:hAnsi="Times New Roman"/>
        </w:rPr>
        <w:t>L’obiettivo è quello di superare le singolarità di ciascuna realtà per lavorare ad un progetto unico, che in questo caso ha il sapore della leggerezza e del divertimento.</w:t>
      </w:r>
    </w:p>
    <w:p w14:paraId="3E34971A">
      <w:pPr>
        <w:pStyle w:val="7"/>
        <w:autoSpaceDE w:val="0"/>
        <w:jc w:val="both"/>
        <w:rPr>
          <w:rFonts w:ascii="Times New Roman" w:hAnsi="Times New Roman"/>
        </w:rPr>
      </w:pPr>
      <w:r>
        <w:rPr>
          <w:rFonts w:ascii="Times New Roman" w:hAnsi="Times New Roman"/>
        </w:rPr>
        <w:t>Obiettivo è anche superare i limiti generazionali così da creare opportunità di scambio e incontro per tutti: bimbi, ragazzi, adulti e anziani.</w:t>
      </w:r>
    </w:p>
    <w:p w14:paraId="0B1DFDEB">
      <w:pPr>
        <w:pStyle w:val="7"/>
        <w:autoSpaceDE w:val="0"/>
        <w:jc w:val="both"/>
        <w:rPr>
          <w:rFonts w:ascii="Times New Roman" w:hAnsi="Times New Roman"/>
        </w:rPr>
      </w:pPr>
      <w:r>
        <w:rPr>
          <w:rFonts w:ascii="Times New Roman" w:hAnsi="Times New Roman"/>
        </w:rPr>
        <w:t xml:space="preserve">Il tema del Carnevale 2026, “Il mondo che vorrei”, ha lasciato spazio alla libera manifestazione e rappresentazione di sogni, desideri, aspirazioni di ciò che ciascuno vorrebbe vedere realizzato nel proprio mondo abitato. </w:t>
      </w:r>
    </w:p>
    <w:p w14:paraId="5881B34F">
      <w:pPr>
        <w:jc w:val="both"/>
        <w:rPr>
          <w:rFonts w:ascii="Times New Roman" w:hAnsi="Times New Roman" w:cs="Times New Roman"/>
          <w:sz w:val="24"/>
          <w:szCs w:val="24"/>
        </w:rPr>
      </w:pPr>
      <w:r>
        <w:rPr>
          <w:rFonts w:ascii="Times New Roman" w:hAnsi="Times New Roman" w:cs="Times New Roman"/>
          <w:sz w:val="24"/>
          <w:szCs w:val="24"/>
        </w:rPr>
        <w:t xml:space="preserve">Il tema scelto, nel suo senso più ampio, ha abbracciato temi profondi come il rispetto dell’ambiente e della natura, l’attenzione alla persona e al rispetto reciproco. L’evento previsto per il 14 febbraio 2026 nel pomeriggio è stato svolto nell’auditorium della sede dell’Associazione Giovanni Paolo II ed ha visto la partecipazione numerosa della popolazione purliliese e la collaborazione attiva delle realtà del territorio di Porcia. </w:t>
      </w:r>
    </w:p>
    <w:p w14:paraId="2FF6922C">
      <w:pPr>
        <w:jc w:val="both"/>
        <w:rPr>
          <w:rFonts w:ascii="Times New Roman" w:hAnsi="Times New Roman" w:cs="Times New Roman"/>
          <w:sz w:val="24"/>
          <w:szCs w:val="24"/>
        </w:rPr>
      </w:pPr>
    </w:p>
    <w:p w14:paraId="5C450AB4">
      <w:pPr>
        <w:jc w:val="both"/>
        <w:rPr>
          <w:rFonts w:ascii="Times New Roman" w:hAnsi="Times New Roman" w:cs="Times New Roman"/>
          <w:b/>
          <w:sz w:val="24"/>
          <w:szCs w:val="24"/>
        </w:rPr>
      </w:pPr>
      <w:r>
        <w:rPr>
          <w:rFonts w:ascii="Times New Roman" w:hAnsi="Times New Roman" w:cs="Times New Roman"/>
          <w:b/>
          <w:sz w:val="24"/>
          <w:szCs w:val="24"/>
        </w:rPr>
        <w:t>CENE DAL MONDO</w:t>
      </w:r>
    </w:p>
    <w:p w14:paraId="26B611C1">
      <w:pPr>
        <w:pStyle w:val="7"/>
        <w:jc w:val="both"/>
        <w:rPr>
          <w:rFonts w:ascii="Times New Roman" w:hAnsi="Times New Roman"/>
        </w:rPr>
      </w:pPr>
      <w:r>
        <w:rPr>
          <w:rFonts w:ascii="Times New Roman" w:hAnsi="Times New Roman"/>
        </w:rPr>
        <w:t xml:space="preserve">Nell’ambito di un progetto del Comune di Porcia, organizzazione e realizzazione di eventi (conferenza, cena “etnica”, mini corso di cucina) con l’obiettivo di esaltare il cibo e le tradizioni di un paese con presenza di immigrati nel territorio e la partecipazione attiva di donne appartenenti alla cultura celebrata nell’incontro. </w:t>
      </w:r>
    </w:p>
    <w:p w14:paraId="4BA8E716">
      <w:pPr>
        <w:pStyle w:val="7"/>
        <w:jc w:val="both"/>
        <w:rPr>
          <w:rFonts w:ascii="Times New Roman" w:hAnsi="Times New Roman"/>
        </w:rPr>
      </w:pPr>
      <w:r>
        <w:rPr>
          <w:rFonts w:ascii="Times New Roman" w:hAnsi="Times New Roman" w:eastAsia="Times New Roman"/>
        </w:rPr>
        <w:t>Il percorso, dal titolo </w:t>
      </w:r>
      <w:r>
        <w:rPr>
          <w:rFonts w:ascii="Times New Roman" w:hAnsi="Times New Roman" w:eastAsia="Times New Roman"/>
          <w:bCs/>
        </w:rPr>
        <w:t>“Io so fare”</w:t>
      </w:r>
      <w:r>
        <w:rPr>
          <w:rFonts w:ascii="Times New Roman" w:hAnsi="Times New Roman" w:eastAsia="Times New Roman"/>
        </w:rPr>
        <w:t xml:space="preserve">, </w:t>
      </w:r>
      <w:r>
        <w:rPr>
          <w:rFonts w:ascii="Times New Roman" w:hAnsi="Times New Roman" w:eastAsia="Times New Roman"/>
          <w:shd w:val="clear" w:color="auto" w:fill="FFFFFF"/>
        </w:rPr>
        <w:t>dedicate  al tema dei </w:t>
      </w:r>
      <w:r>
        <w:rPr>
          <w:rFonts w:ascii="Times New Roman" w:hAnsi="Times New Roman" w:eastAsia="Times New Roman"/>
          <w:bCs/>
        </w:rPr>
        <w:t>fenomeni migratori e al ruolo delle donne nelle diverse culture</w:t>
      </w:r>
      <w:r>
        <w:rPr>
          <w:rFonts w:ascii="Times New Roman" w:hAnsi="Times New Roman" w:eastAsia="Times New Roman"/>
        </w:rPr>
        <w:t>, ha previsto </w:t>
      </w:r>
      <w:r>
        <w:rPr>
          <w:rFonts w:ascii="Times New Roman" w:hAnsi="Times New Roman" w:eastAsia="Times New Roman"/>
          <w:bCs/>
        </w:rPr>
        <w:t>cinque incontri</w:t>
      </w:r>
      <w:r>
        <w:rPr>
          <w:rFonts w:ascii="Times New Roman" w:hAnsi="Times New Roman" w:eastAsia="Times New Roman"/>
        </w:rPr>
        <w:t> da </w:t>
      </w:r>
      <w:r>
        <w:rPr>
          <w:rFonts w:ascii="Times New Roman" w:hAnsi="Times New Roman" w:eastAsia="Times New Roman"/>
          <w:bCs/>
        </w:rPr>
        <w:t>novembre a febbraio</w:t>
      </w:r>
      <w:r>
        <w:rPr>
          <w:rFonts w:ascii="Times New Roman" w:hAnsi="Times New Roman" w:eastAsia="Times New Roman"/>
        </w:rPr>
        <w:t>, con momenti di confronto culturale, testimonianze e degustazioni di piatti tipici dei Paesi coinvolti.</w:t>
      </w:r>
      <w:r>
        <w:rPr>
          <w:rFonts w:ascii="Times New Roman" w:hAnsi="Times New Roman"/>
        </w:rPr>
        <w:t xml:space="preserve"> Le culture coinvolte sono state: Marocco, Ghana, Brasile, Libano, India. </w:t>
      </w:r>
    </w:p>
    <w:p w14:paraId="7E74410E">
      <w:pPr>
        <w:shd w:val="clear" w:color="auto" w:fill="FFFFFF"/>
        <w:spacing w:after="225" w:line="420" w:lineRule="atLeast"/>
        <w:rPr>
          <w:rFonts w:ascii="Times New Roman" w:hAnsi="Times New Roman" w:eastAsia="Times New Roman" w:cs="Times New Roman"/>
          <w:sz w:val="24"/>
          <w:szCs w:val="24"/>
          <w:lang w:eastAsia="it-IT"/>
        </w:rPr>
      </w:pPr>
    </w:p>
    <w:p w14:paraId="15AB41D5">
      <w:pPr>
        <w:pStyle w:val="7"/>
        <w:jc w:val="both"/>
        <w:rPr>
          <w:rFonts w:ascii="Times New Roman" w:hAnsi="Times New Roman"/>
          <w:b/>
        </w:rPr>
      </w:pPr>
    </w:p>
    <w:p w14:paraId="6E6B4067">
      <w:pPr>
        <w:jc w:val="both"/>
        <w:rPr>
          <w:rFonts w:ascii="Times New Roman" w:hAnsi="Times New Roman" w:cs="Times New Roman"/>
          <w:b/>
          <w:sz w:val="24"/>
          <w:szCs w:val="24"/>
        </w:rPr>
      </w:pPr>
      <w:r>
        <w:rPr>
          <w:rFonts w:ascii="Times New Roman" w:hAnsi="Times New Roman" w:cs="Times New Roman"/>
          <w:b/>
          <w:sz w:val="24"/>
          <w:szCs w:val="24"/>
        </w:rPr>
        <w:t>CHI SIAMO</w:t>
      </w:r>
    </w:p>
    <w:p w14:paraId="79C7CCEF">
      <w:pPr>
        <w:pStyle w:val="8"/>
        <w:spacing w:before="0" w:beforeAutospacing="0" w:after="0" w:afterAutospacing="0"/>
        <w:jc w:val="both"/>
      </w:pPr>
      <w:r>
        <w:rPr>
          <w:rStyle w:val="9"/>
          <w:bCs/>
        </w:rPr>
        <w:t>L’ASSOCIAZIONE GIOVANNI PAOLO II APS,  associazione di promozione sociale, si è costituita nel dicembre 2011 e opera nell’ambito locale del comune di Porcia, non ha fini di lucro e persegue finalità di solidarietà civile, culturale e sociale nel settore dell’assistenza sociale e dei servizi socio educativi nell’ambito del sostegno ai minori e valorizzazione delle famiglie.</w:t>
      </w:r>
    </w:p>
    <w:p w14:paraId="7BAAE777">
      <w:pPr>
        <w:pStyle w:val="8"/>
        <w:spacing w:before="0" w:beforeAutospacing="0" w:after="0" w:afterAutospacing="0"/>
        <w:jc w:val="both"/>
      </w:pPr>
      <w:r>
        <w:rPr>
          <w:rStyle w:val="9"/>
          <w:bCs/>
        </w:rPr>
        <w:t>L’Associazione  ha come principio guida la centralità della persona, il valore della famiglia, l’educazione e formazione, alla solidarietà, con particolare riferimento ai bisogni delle famiglie.</w:t>
      </w:r>
    </w:p>
    <w:p w14:paraId="013EA242">
      <w:pPr>
        <w:pStyle w:val="8"/>
        <w:spacing w:before="0" w:beforeAutospacing="0" w:after="0" w:afterAutospacing="0"/>
        <w:jc w:val="both"/>
        <w:rPr>
          <w:rStyle w:val="9"/>
          <w:bCs/>
        </w:rPr>
      </w:pPr>
      <w:r>
        <w:rPr>
          <w:rStyle w:val="9"/>
          <w:bCs/>
        </w:rPr>
        <w:t>L’Associazione per attuare i principi che la ispirano promuove attività culturali, formative, sociali, di prevenzione, di beneficienza, a favore della vita della persona e della famiglia (a tutela e promozione del valore della vita umana, della genitorialità responsabile, della persona, della famiglia e dei diritti dei minori). L’orizzonte entro cui si colloca l’attività dell’Associazione GP2 è rappresentato dal compito educativo, un compito permanente che chiede di essere costantemente rinnovato in rapporto alle diverse situazioni storiche e sociali in cui gli uomini vivono.</w:t>
      </w:r>
    </w:p>
    <w:p w14:paraId="75651C88">
      <w:pPr>
        <w:pStyle w:val="8"/>
        <w:spacing w:before="0" w:beforeAutospacing="0" w:after="0" w:afterAutospacing="0"/>
        <w:jc w:val="both"/>
        <w:rPr>
          <w:rStyle w:val="9"/>
          <w:bCs/>
        </w:rPr>
      </w:pPr>
      <w:r>
        <w:rPr>
          <w:rStyle w:val="9"/>
          <w:bCs/>
        </w:rPr>
        <w:t xml:space="preserve">Le attività e gli eventi sono guidati da un’equipe composta da educatrici, psicologo, coordinatore, amministratore contabile, segretarie, cuoche e inservienti addette alla mensa e alle pulizie degli ambienti, volontari. </w:t>
      </w:r>
    </w:p>
    <w:p w14:paraId="6E698B4C">
      <w:pPr>
        <w:pStyle w:val="8"/>
        <w:spacing w:before="0" w:beforeAutospacing="0" w:after="0" w:afterAutospacing="0"/>
        <w:jc w:val="both"/>
        <w:rPr>
          <w:rStyle w:val="9"/>
          <w:bCs/>
        </w:rPr>
      </w:pPr>
      <w:r>
        <w:rPr>
          <w:rStyle w:val="9"/>
          <w:bCs/>
        </w:rPr>
        <w:t>L’associazione opera in sinergia con le realtà del territorio di varia natura (cooperative sociali ed educative, associazioni di volontariato, sportive e ricreative).</w:t>
      </w:r>
    </w:p>
    <w:p w14:paraId="15F9004A">
      <w:pPr>
        <w:pStyle w:val="8"/>
        <w:spacing w:before="0" w:beforeAutospacing="0" w:after="0" w:afterAutospacing="0"/>
        <w:jc w:val="both"/>
        <w:rPr>
          <w:rStyle w:val="9"/>
          <w:bCs/>
        </w:rPr>
      </w:pPr>
    </w:p>
    <w:p w14:paraId="24B12152">
      <w:pPr>
        <w:pStyle w:val="8"/>
        <w:spacing w:before="0" w:beforeAutospacing="0" w:after="0" w:afterAutospacing="0"/>
        <w:jc w:val="both"/>
        <w:rPr>
          <w:rStyle w:val="9"/>
          <w:b/>
          <w:bCs/>
        </w:rPr>
      </w:pPr>
      <w:r>
        <w:rPr>
          <w:rStyle w:val="9"/>
          <w:b/>
          <w:bCs/>
        </w:rPr>
        <w:t>DOPO LA CAMPANELLA</w:t>
      </w:r>
    </w:p>
    <w:p w14:paraId="281A5B18">
      <w:pPr>
        <w:pStyle w:val="8"/>
        <w:spacing w:before="0" w:beforeAutospacing="0" w:after="0" w:afterAutospacing="0"/>
        <w:jc w:val="both"/>
        <w:rPr>
          <w:rStyle w:val="9"/>
          <w:bCs/>
        </w:rPr>
      </w:pPr>
    </w:p>
    <w:p w14:paraId="45327517">
      <w:pPr>
        <w:pStyle w:val="7"/>
        <w:jc w:val="both"/>
        <w:rPr>
          <w:rFonts w:ascii="Times New Roman" w:hAnsi="Times New Roman"/>
        </w:rPr>
      </w:pPr>
      <w:r>
        <w:rPr>
          <w:rFonts w:ascii="Times New Roman" w:hAnsi="Times New Roman"/>
        </w:rPr>
        <w:t xml:space="preserve">Il doposcuola “Dopo la Campanella” dell’Associazione Giovanni Paolo II nasce dal desiderio di offrire ai bambini delle elementari e ai ragazzi delle medie, un ambiente accogliente e inclusivo dove poter svolgere i compiti e socializzare. </w:t>
      </w:r>
    </w:p>
    <w:p w14:paraId="14D3D199">
      <w:pPr>
        <w:pStyle w:val="7"/>
        <w:jc w:val="both"/>
        <w:rPr>
          <w:rFonts w:ascii="Times New Roman" w:hAnsi="Times New Roman"/>
        </w:rPr>
      </w:pPr>
      <w:r>
        <w:rPr>
          <w:rFonts w:ascii="Times New Roman" w:hAnsi="Times New Roman"/>
        </w:rPr>
        <w:t>L'obiettivo che il progetto si propone è quello di accompagnare i ragazzi che lo frequentano nella formazione globale della loro persona, in un tempo di crescita particolarmente delicato come quello della preadolescenza e adolescenza attraverso:</w:t>
      </w:r>
    </w:p>
    <w:p w14:paraId="35E23074">
      <w:pPr>
        <w:pStyle w:val="13"/>
        <w:numPr>
          <w:ilvl w:val="0"/>
          <w:numId w:val="1"/>
        </w:numPr>
        <w:jc w:val="both"/>
        <w:rPr>
          <w:rFonts w:ascii="Times New Roman" w:hAnsi="Times New Roman"/>
        </w:rPr>
      </w:pPr>
      <w:r>
        <w:rPr>
          <w:rFonts w:ascii="Times New Roman" w:hAnsi="Times New Roman"/>
        </w:rPr>
        <w:t>aiuto compiti all’interno di un piccolo gruppo di lavoro di coetanei</w:t>
      </w:r>
    </w:p>
    <w:p w14:paraId="24E62E49">
      <w:pPr>
        <w:pStyle w:val="13"/>
        <w:numPr>
          <w:ilvl w:val="0"/>
          <w:numId w:val="1"/>
        </w:numPr>
        <w:jc w:val="both"/>
        <w:rPr>
          <w:rFonts w:ascii="Times New Roman" w:hAnsi="Times New Roman"/>
        </w:rPr>
      </w:pPr>
      <w:r>
        <w:rPr>
          <w:rFonts w:ascii="Times New Roman" w:hAnsi="Times New Roman"/>
        </w:rPr>
        <w:t xml:space="preserve">apprendimento o approfondimento di un metodo di studio </w:t>
      </w:r>
    </w:p>
    <w:p w14:paraId="09A9F665">
      <w:pPr>
        <w:pStyle w:val="13"/>
        <w:numPr>
          <w:ilvl w:val="0"/>
          <w:numId w:val="1"/>
        </w:numPr>
        <w:jc w:val="both"/>
        <w:rPr>
          <w:rFonts w:ascii="Times New Roman" w:hAnsi="Times New Roman"/>
        </w:rPr>
      </w:pPr>
      <w:r>
        <w:rPr>
          <w:rFonts w:ascii="Times New Roman" w:hAnsi="Times New Roman"/>
        </w:rPr>
        <w:t>sostegno a chi è in difficoltà con rinforzo personalizzato di alcune materie</w:t>
      </w:r>
    </w:p>
    <w:p w14:paraId="3C8083C6">
      <w:pPr>
        <w:pStyle w:val="13"/>
        <w:numPr>
          <w:ilvl w:val="0"/>
          <w:numId w:val="1"/>
        </w:numPr>
        <w:jc w:val="both"/>
        <w:rPr>
          <w:rFonts w:ascii="Times New Roman" w:hAnsi="Times New Roman"/>
        </w:rPr>
      </w:pPr>
      <w:r>
        <w:rPr>
          <w:rFonts w:ascii="Times New Roman" w:hAnsi="Times New Roman"/>
        </w:rPr>
        <w:t>lavori di gruppo per migliorare l’autostima, la consapevolezza di sé e la socializzazione</w:t>
      </w:r>
    </w:p>
    <w:p w14:paraId="4F23B9B0">
      <w:pPr>
        <w:pStyle w:val="13"/>
        <w:numPr>
          <w:ilvl w:val="0"/>
          <w:numId w:val="1"/>
        </w:numPr>
        <w:jc w:val="both"/>
        <w:rPr>
          <w:rFonts w:ascii="Times New Roman" w:hAnsi="Times New Roman"/>
        </w:rPr>
      </w:pPr>
      <w:r>
        <w:rPr>
          <w:rFonts w:ascii="Times New Roman" w:hAnsi="Times New Roman"/>
        </w:rPr>
        <w:t>attività ludiche e laboratori creativi</w:t>
      </w:r>
    </w:p>
    <w:p w14:paraId="71E38854">
      <w:pPr>
        <w:pStyle w:val="7"/>
        <w:jc w:val="both"/>
        <w:rPr>
          <w:rFonts w:ascii="Times New Roman" w:hAnsi="Times New Roman"/>
        </w:rPr>
      </w:pPr>
      <w:r>
        <w:rPr>
          <w:rFonts w:ascii="Times New Roman" w:hAnsi="Times New Roman"/>
        </w:rPr>
        <w:t>Il progetto cura anche l’integrazione di bambini e ragazzi con particolari difficoltà relazionali e cognitive.</w:t>
      </w:r>
    </w:p>
    <w:p w14:paraId="6D8734CC">
      <w:pPr>
        <w:pStyle w:val="7"/>
        <w:jc w:val="both"/>
        <w:rPr>
          <w:rFonts w:ascii="Times New Roman" w:hAnsi="Times New Roman"/>
        </w:rPr>
      </w:pPr>
      <w:r>
        <w:rPr>
          <w:rFonts w:ascii="Times New Roman" w:hAnsi="Times New Roman"/>
        </w:rPr>
        <w:t>Per rendere la proposta educativa e formativa sempre più efficace è stata sviluppata la collaborazione con le famiglie, la Scuola, i Servizi del territorio.</w:t>
      </w:r>
    </w:p>
    <w:p w14:paraId="33AB799B">
      <w:pPr>
        <w:spacing w:after="0" w:line="288" w:lineRule="atLeast"/>
        <w:jc w:val="both"/>
        <w:outlineLvl w:val="4"/>
        <w:rPr>
          <w:rFonts w:ascii="Times New Roman" w:hAnsi="Times New Roman" w:eastAsia="Times New Roman" w:cs="Times New Roman"/>
          <w:bCs/>
          <w:sz w:val="24"/>
          <w:szCs w:val="24"/>
          <w:lang w:eastAsia="it-IT"/>
        </w:rPr>
      </w:pPr>
      <w:r>
        <w:rPr>
          <w:rFonts w:ascii="Times New Roman" w:hAnsi="Times New Roman" w:eastAsia="Times New Roman" w:cs="Times New Roman"/>
          <w:bCs/>
          <w:sz w:val="24"/>
          <w:szCs w:val="24"/>
          <w:lang w:eastAsia="it-IT"/>
        </w:rPr>
        <w:t>Le attività del doposcuola si svolgono presso il Centro Pastorale GP2 di Porcia, durante il periodo di apertura delle scuole, dal termine delle lezioni sino alle ore 17.30. Incluso il servizio mensa.</w:t>
      </w:r>
    </w:p>
    <w:p w14:paraId="0342C600">
      <w:pPr>
        <w:spacing w:after="0" w:line="288" w:lineRule="atLeast"/>
        <w:jc w:val="both"/>
        <w:outlineLvl w:val="4"/>
        <w:rPr>
          <w:rFonts w:ascii="Times New Roman" w:hAnsi="Times New Roman" w:eastAsia="Times New Roman" w:cs="Times New Roman"/>
          <w:bCs/>
          <w:sz w:val="24"/>
          <w:szCs w:val="24"/>
          <w:lang w:eastAsia="it-IT"/>
        </w:rPr>
      </w:pPr>
      <w:r>
        <w:rPr>
          <w:rFonts w:ascii="Times New Roman" w:hAnsi="Times New Roman" w:eastAsia="Times New Roman" w:cs="Times New Roman"/>
          <w:bCs/>
          <w:sz w:val="24"/>
          <w:szCs w:val="24"/>
          <w:lang w:eastAsia="it-IT"/>
        </w:rPr>
        <w:t>Le iscrizioni sono aperte durante tutto l’anno scolastico.</w:t>
      </w:r>
    </w:p>
    <w:p w14:paraId="53852EFD">
      <w:pPr>
        <w:spacing w:after="0" w:line="288" w:lineRule="atLeast"/>
        <w:jc w:val="both"/>
        <w:outlineLvl w:val="4"/>
        <w:rPr>
          <w:rFonts w:ascii="Times New Roman" w:hAnsi="Times New Roman" w:eastAsia="Times New Roman" w:cs="Times New Roman"/>
          <w:bCs/>
          <w:sz w:val="24"/>
          <w:szCs w:val="24"/>
          <w:lang w:eastAsia="it-IT"/>
        </w:rPr>
      </w:pPr>
      <w:r>
        <w:rPr>
          <w:rFonts w:ascii="Times New Roman" w:hAnsi="Times New Roman" w:eastAsia="Times New Roman" w:cs="Times New Roman"/>
          <w:bCs/>
          <w:sz w:val="24"/>
          <w:szCs w:val="24"/>
          <w:lang w:eastAsia="it-IT"/>
        </w:rPr>
        <w:br w:type="textWrapping"/>
      </w:r>
    </w:p>
    <w:p w14:paraId="1F6ECB03">
      <w:pPr>
        <w:spacing w:after="0" w:line="288" w:lineRule="atLeast"/>
        <w:jc w:val="both"/>
        <w:outlineLvl w:val="4"/>
        <w:rPr>
          <w:rFonts w:ascii="Times New Roman" w:hAnsi="Times New Roman" w:eastAsia="Times New Roman" w:cs="Times New Roman"/>
          <w:b/>
          <w:bCs w:val="0"/>
          <w:sz w:val="24"/>
          <w:szCs w:val="24"/>
          <w:lang w:eastAsia="it-IT"/>
        </w:rPr>
      </w:pPr>
      <w:r>
        <w:rPr>
          <w:rFonts w:ascii="Times New Roman" w:hAnsi="Times New Roman" w:eastAsia="Times New Roman" w:cs="Times New Roman"/>
          <w:b/>
          <w:bCs w:val="0"/>
          <w:sz w:val="24"/>
          <w:szCs w:val="24"/>
          <w:lang w:eastAsia="it-IT"/>
        </w:rPr>
        <w:t>CENTRO ESTIVO</w:t>
      </w:r>
    </w:p>
    <w:p w14:paraId="0CDF969C">
      <w:pPr>
        <w:pStyle w:val="14"/>
        <w:jc w:val="both"/>
        <w:rPr>
          <w:rFonts w:hint="default" w:ascii="Times New Roman" w:hAnsi="Times New Roman" w:cs="Times New Roman"/>
          <w:w w:val="90"/>
          <w:sz w:val="24"/>
          <w:szCs w:val="24"/>
        </w:rPr>
      </w:pPr>
      <w:r>
        <w:rPr>
          <w:rFonts w:hint="default" w:ascii="Times New Roman" w:hAnsi="Times New Roman" w:cs="Times New Roman"/>
          <w:w w:val="90"/>
          <w:sz w:val="24"/>
          <w:szCs w:val="24"/>
        </w:rPr>
        <w:t xml:space="preserve">II Grest estivo rappresenta una proposta di animazione e di gioco durante il periodo estivo da metà giugno a tutto il mese di luglio e per due settimane prima dell’inizio del nuovo anno scolastico, dal lunedì al venerdì dalle ore 7:30 alle ore 17:00.- </w:t>
      </w:r>
    </w:p>
    <w:p w14:paraId="501C6192">
      <w:pPr>
        <w:pStyle w:val="14"/>
        <w:jc w:val="both"/>
        <w:rPr>
          <w:rFonts w:hint="default" w:ascii="Times New Roman" w:hAnsi="Times New Roman" w:cs="Times New Roman"/>
          <w:w w:val="90"/>
          <w:sz w:val="24"/>
          <w:szCs w:val="24"/>
        </w:rPr>
      </w:pPr>
      <w:r>
        <w:rPr>
          <w:rFonts w:hint="default" w:ascii="Times New Roman" w:hAnsi="Times New Roman" w:cs="Times New Roman"/>
          <w:w w:val="90"/>
          <w:sz w:val="24"/>
          <w:szCs w:val="24"/>
        </w:rPr>
        <w:t>E’ una grande bella possibilità che l’Associazione Giovanni Paolo II offre ai bambini e ai ragazzi perché possano crescere sperimentando cosa significhi vivere in relazione, condividendo un percorso segnato da momenti ludici ed educativi  e lavorando personalmente e in gruppo.</w:t>
      </w:r>
      <w:r>
        <w:rPr>
          <w:rFonts w:hint="default" w:ascii="Times New Roman" w:hAnsi="Times New Roman" w:cs="Times New Roman"/>
          <w:w w:val="90"/>
          <w:sz w:val="24"/>
          <w:szCs w:val="24"/>
          <w:lang w:val="it-IT"/>
        </w:rPr>
        <w:t xml:space="preserve"> </w:t>
      </w:r>
      <w:r>
        <w:rPr>
          <w:rFonts w:hint="default" w:ascii="Times New Roman" w:hAnsi="Times New Roman" w:cs="Times New Roman"/>
          <w:w w:val="90"/>
          <w:sz w:val="24"/>
          <w:szCs w:val="24"/>
        </w:rPr>
        <w:t>Il Grest estivo mira a:</w:t>
      </w:r>
    </w:p>
    <w:p w14:paraId="2B37DD0C">
      <w:pPr>
        <w:pStyle w:val="14"/>
        <w:jc w:val="both"/>
        <w:rPr>
          <w:rFonts w:hint="default" w:ascii="Times New Roman" w:hAnsi="Times New Roman" w:cs="Times New Roman"/>
          <w:w w:val="90"/>
          <w:sz w:val="24"/>
          <w:szCs w:val="24"/>
        </w:rPr>
      </w:pPr>
      <w:r>
        <w:rPr>
          <w:rFonts w:hint="default" w:ascii="Times New Roman" w:hAnsi="Times New Roman" w:cs="Times New Roman"/>
          <w:w w:val="90"/>
          <w:sz w:val="24"/>
          <w:szCs w:val="24"/>
        </w:rPr>
        <w:t>- rispondere alle esigenze organizzative delle famiglie tendendo ad un loro attivo coinvolgimento nelle esperienze estive dei figli, partendo dalla conoscenza delle attività per arrivare a forme di collaborazione e confronto;</w:t>
      </w:r>
    </w:p>
    <w:p w14:paraId="7FB42DC2">
      <w:pPr>
        <w:pStyle w:val="14"/>
        <w:jc w:val="both"/>
        <w:rPr>
          <w:rFonts w:hint="default" w:ascii="Times New Roman" w:hAnsi="Times New Roman" w:cs="Times New Roman"/>
          <w:w w:val="90"/>
          <w:sz w:val="24"/>
          <w:szCs w:val="24"/>
        </w:rPr>
      </w:pPr>
      <w:r>
        <w:rPr>
          <w:rFonts w:hint="default" w:ascii="Times New Roman" w:hAnsi="Times New Roman" w:cs="Times New Roman"/>
          <w:w w:val="90"/>
          <w:sz w:val="24"/>
          <w:szCs w:val="24"/>
        </w:rPr>
        <w:t xml:space="preserve"> - offrire ambiti di socializzazione ai bambini e ragazzi nei quali sperimentare il gruppo come risorsa;</w:t>
      </w:r>
    </w:p>
    <w:p w14:paraId="4E423015">
      <w:pPr>
        <w:pStyle w:val="14"/>
        <w:jc w:val="both"/>
        <w:rPr>
          <w:rFonts w:hint="default" w:ascii="Times New Roman" w:hAnsi="Times New Roman" w:cs="Times New Roman"/>
          <w:w w:val="90"/>
          <w:sz w:val="24"/>
          <w:szCs w:val="24"/>
        </w:rPr>
      </w:pPr>
      <w:r>
        <w:rPr>
          <w:rFonts w:hint="default" w:ascii="Times New Roman" w:hAnsi="Times New Roman" w:cs="Times New Roman"/>
          <w:w w:val="90"/>
          <w:sz w:val="24"/>
          <w:szCs w:val="24"/>
        </w:rPr>
        <w:t>-offrire attività che possano contribuire allo sviluppo globale della persona e alla dimensione educativa;</w:t>
      </w:r>
    </w:p>
    <w:p w14:paraId="205EB314">
      <w:pPr>
        <w:pStyle w:val="14"/>
        <w:jc w:val="both"/>
        <w:rPr>
          <w:rFonts w:hint="default" w:ascii="Arial" w:hAnsi="Arial" w:cs="Arial"/>
          <w:w w:val="90"/>
          <w:sz w:val="24"/>
          <w:szCs w:val="24"/>
        </w:rPr>
      </w:pPr>
      <w:bookmarkStart w:id="0" w:name="_GoBack"/>
      <w:bookmarkEnd w:id="0"/>
      <w:r>
        <w:rPr>
          <w:rFonts w:hint="default" w:ascii="Times New Roman" w:hAnsi="Times New Roman" w:cs="Times New Roman"/>
          <w:w w:val="90"/>
          <w:sz w:val="24"/>
          <w:szCs w:val="24"/>
        </w:rPr>
        <w:t>- valorizzare le risorse dei ragazzi e dei bambini rendendoli protagonisti del loro processo di crescita attraverso la proposta di percorsi differenziati che rispondano alle peculiari esigenze delle diverse fasce di età;</w:t>
      </w:r>
      <w:r>
        <w:rPr>
          <w:rFonts w:hint="default" w:ascii="Times New Roman" w:hAnsi="Times New Roman" w:cs="Times New Roman"/>
          <w:w w:val="90"/>
          <w:sz w:val="24"/>
          <w:szCs w:val="24"/>
        </w:rPr>
        <w:br w:type="textWrapping"/>
      </w:r>
    </w:p>
    <w:p w14:paraId="2C43488A">
      <w:pPr>
        <w:spacing w:after="0" w:line="288" w:lineRule="atLeast"/>
        <w:jc w:val="both"/>
        <w:outlineLvl w:val="4"/>
        <w:rPr>
          <w:rFonts w:ascii="Times New Roman" w:hAnsi="Times New Roman" w:eastAsia="Times New Roman" w:cs="Times New Roman"/>
          <w:bCs/>
          <w:sz w:val="24"/>
          <w:szCs w:val="24"/>
          <w:lang w:eastAsia="it-IT"/>
        </w:rPr>
      </w:pPr>
    </w:p>
    <w:sectPr>
      <w:pgSz w:w="11906" w:h="16838"/>
      <w:pgMar w:top="1417" w:right="1134" w:bottom="1134" w:left="1134"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Times">
    <w:altName w:val="CG Times"/>
    <w:panose1 w:val="00000000000000000000"/>
    <w:charset w:val="00"/>
    <w:family w:val="auto"/>
    <w:pitch w:val="default"/>
    <w:sig w:usb0="00000000" w:usb1="00000000" w:usb2="00000000" w:usb3="00000000" w:csb0="00000000" w:csb1="00000000"/>
  </w:font>
  <w:font w:name="CG Times">
    <w:panose1 w:val="02020603050405020304"/>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2479AD"/>
    <w:multiLevelType w:val="multilevel"/>
    <w:tmpl w:val="222479AD"/>
    <w:lvl w:ilvl="0" w:tentative="0">
      <w:start w:val="0"/>
      <w:numFmt w:val="bullet"/>
      <w:lvlText w:val="-"/>
      <w:lvlJc w:val="left"/>
      <w:pPr>
        <w:ind w:left="720" w:hanging="360"/>
      </w:pPr>
      <w:rPr>
        <w:rFonts w:hint="default" w:ascii="Arial" w:hAnsi="Arial" w:eastAsia="SimSun"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283"/>
  <w:characterSpacingControl w:val="doNotCompress"/>
  <w:footnotePr>
    <w:footnote w:id="0"/>
    <w:footnote w:id="1"/>
  </w:footnotePr>
  <w:endnotePr>
    <w:endnote w:id="0"/>
    <w:endnote w:id="1"/>
  </w:endnotePr>
  <w:compat>
    <w:compatSetting w:name="compatibilityMode" w:uri="http://schemas.microsoft.com/office/word" w:val="12"/>
  </w:compat>
  <w:rsids>
    <w:rsidRoot w:val="002F3951"/>
    <w:rsid w:val="000450E6"/>
    <w:rsid w:val="00097684"/>
    <w:rsid w:val="001D11A7"/>
    <w:rsid w:val="002F3951"/>
    <w:rsid w:val="003F3B22"/>
    <w:rsid w:val="009743E9"/>
    <w:rsid w:val="00AD241A"/>
    <w:rsid w:val="00D76821"/>
    <w:rsid w:val="00DC4C12"/>
    <w:rsid w:val="11FC102C"/>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it-IT" w:eastAsia="en-US" w:bidi="ar-SA"/>
    </w:rPr>
  </w:style>
  <w:style w:type="paragraph" w:styleId="2">
    <w:name w:val="heading 5"/>
    <w:basedOn w:val="1"/>
    <w:link w:val="10"/>
    <w:qFormat/>
    <w:uiPriority w:val="9"/>
    <w:pPr>
      <w:spacing w:before="100" w:beforeAutospacing="1" w:after="100" w:afterAutospacing="1" w:line="240" w:lineRule="auto"/>
      <w:outlineLvl w:val="4"/>
    </w:pPr>
    <w:rPr>
      <w:rFonts w:ascii="Times New Roman" w:hAnsi="Times New Roman" w:eastAsia="Times New Roman" w:cs="Times New Roman"/>
      <w:b/>
      <w:bCs/>
      <w:sz w:val="20"/>
      <w:szCs w:val="20"/>
      <w:lang w:eastAsia="it-IT"/>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it-IT"/>
    </w:rPr>
  </w:style>
  <w:style w:type="character" w:styleId="6">
    <w:name w:val="Strong"/>
    <w:basedOn w:val="3"/>
    <w:qFormat/>
    <w:uiPriority w:val="22"/>
    <w:rPr>
      <w:b/>
      <w:bCs/>
    </w:rPr>
  </w:style>
  <w:style w:type="paragraph" w:customStyle="1" w:styleId="7">
    <w:name w:val="Normal1"/>
    <w:uiPriority w:val="0"/>
    <w:pPr>
      <w:spacing w:after="0" w:line="240" w:lineRule="auto"/>
    </w:pPr>
    <w:rPr>
      <w:rFonts w:ascii="Calibri" w:hAnsi="Calibri" w:eastAsia="等线" w:cs="Times New Roman"/>
      <w:sz w:val="24"/>
      <w:szCs w:val="24"/>
      <w:lang w:val="it-IT" w:eastAsia="it-IT" w:bidi="ar-SA"/>
    </w:rPr>
  </w:style>
  <w:style w:type="paragraph" w:customStyle="1" w:styleId="8">
    <w:name w:val="style_2434822335361664843"/>
    <w:basedOn w:val="1"/>
    <w:uiPriority w:val="0"/>
    <w:pPr>
      <w:spacing w:before="100" w:beforeAutospacing="1" w:after="100" w:afterAutospacing="1" w:line="240" w:lineRule="auto"/>
    </w:pPr>
    <w:rPr>
      <w:rFonts w:ascii="Times New Roman" w:hAnsi="Times New Roman" w:eastAsia="Times New Roman" w:cs="Times New Roman"/>
      <w:sz w:val="24"/>
      <w:szCs w:val="24"/>
      <w:lang w:eastAsia="it-IT"/>
    </w:rPr>
  </w:style>
  <w:style w:type="character" w:customStyle="1" w:styleId="9">
    <w:name w:val="style_99764636933550904"/>
    <w:basedOn w:val="3"/>
    <w:uiPriority w:val="0"/>
  </w:style>
  <w:style w:type="character" w:customStyle="1" w:styleId="10">
    <w:name w:val="Titolo 5 Carattere"/>
    <w:basedOn w:val="3"/>
    <w:link w:val="2"/>
    <w:uiPriority w:val="9"/>
    <w:rPr>
      <w:rFonts w:ascii="Times New Roman" w:hAnsi="Times New Roman" w:eastAsia="Times New Roman" w:cs="Times New Roman"/>
      <w:b/>
      <w:bCs/>
      <w:sz w:val="20"/>
      <w:szCs w:val="20"/>
      <w:lang w:eastAsia="it-IT"/>
    </w:rPr>
  </w:style>
  <w:style w:type="character" w:customStyle="1" w:styleId="11">
    <w:name w:val="style_112169101453578954"/>
    <w:basedOn w:val="3"/>
    <w:uiPriority w:val="0"/>
  </w:style>
  <w:style w:type="character" w:customStyle="1" w:styleId="12">
    <w:name w:val="style_609510337335954756"/>
    <w:basedOn w:val="3"/>
    <w:uiPriority w:val="0"/>
  </w:style>
  <w:style w:type="paragraph" w:customStyle="1" w:styleId="13">
    <w:name w:val="List Paragraph"/>
    <w:basedOn w:val="1"/>
    <w:uiPriority w:val="0"/>
    <w:pPr>
      <w:spacing w:before="100" w:beforeAutospacing="1" w:after="100" w:afterAutospacing="1" w:line="273" w:lineRule="auto"/>
      <w:contextualSpacing/>
    </w:pPr>
    <w:rPr>
      <w:rFonts w:ascii="Calibri" w:hAnsi="Calibri" w:eastAsia="SimSun" w:cs="Times New Roman"/>
      <w:sz w:val="24"/>
      <w:szCs w:val="24"/>
      <w:lang w:eastAsia="it-IT"/>
    </w:rPr>
  </w:style>
  <w:style w:type="paragraph" w:customStyle="1" w:styleId="14">
    <w:name w:val="Table Paragraph"/>
    <w:basedOn w:val="1"/>
    <w:uiPriority w:val="0"/>
    <w:pPr>
      <w:widowControl w:val="0"/>
      <w:spacing w:before="100" w:beforeAutospacing="1" w:after="100" w:afterAutospacing="1" w:line="240" w:lineRule="auto"/>
    </w:pPr>
    <w:rPr>
      <w:rFonts w:ascii="Calibri" w:hAnsi="Calibri" w:eastAsia="Times New Roman" w:cs="Calibri"/>
      <w:sz w:val="24"/>
      <w:szCs w:val="24"/>
      <w:lang w:eastAsia="it-I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 Inc.</Company>
  <Pages>3</Pages>
  <Words>921</Words>
  <Characters>5255</Characters>
  <Lines>43</Lines>
  <Paragraphs>12</Paragraphs>
  <TotalTime>68</TotalTime>
  <ScaleCrop>false</ScaleCrop>
  <LinksUpToDate>false</LinksUpToDate>
  <CharactersWithSpaces>6164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2026-04-09T13:23:00Z</dcterms:created>
  <dc:creator>Admin</dc:creator>
  <cp:lastModifiedBy>Miriam Fantuz</cp:lastModifiedBy>
  <dcterms:modified xsi:type="dcterms:W3CDTF">2026-04-09T15:32:01Z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FDBA16B86C554DE6A3B826A876CD5ECC_12</vt:lpwstr>
  </property>
</Properties>
</file>