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DA97" w14:textId="2A6C4520" w:rsidR="002A0F26" w:rsidRDefault="00B53C99" w:rsidP="00B53C99">
      <w:pPr>
        <w:pStyle w:val="Heading1"/>
      </w:pPr>
      <w:r>
        <w:t>Finance II: Assignment 2 Report</w:t>
      </w:r>
    </w:p>
    <w:p w14:paraId="439D7715" w14:textId="321D6340" w:rsidR="00B53C99" w:rsidRDefault="00B53C99" w:rsidP="00B53C99">
      <w:pPr>
        <w:pStyle w:val="Subtitle"/>
      </w:pPr>
      <w:r>
        <w:t>Giovanni Villa Salas</w:t>
      </w:r>
    </w:p>
    <w:p w14:paraId="4AEABC7F" w14:textId="16716889" w:rsidR="00B53C99" w:rsidRDefault="00B53C99" w:rsidP="00B53C99">
      <w:pPr>
        <w:jc w:val="both"/>
      </w:pPr>
      <w:r>
        <w:t xml:space="preserve">The figures for the paper replication are shown at the end of this report. </w:t>
      </w:r>
    </w:p>
    <w:p w14:paraId="5735E89E" w14:textId="09578339" w:rsidR="00B53C99" w:rsidRDefault="00B53C99" w:rsidP="00B53C99">
      <w:pPr>
        <w:jc w:val="both"/>
      </w:pPr>
      <w:r>
        <w:t>In first place, I will answer the questions and then explain my results. The questions were:</w:t>
      </w:r>
    </w:p>
    <w:p w14:paraId="4869325D" w14:textId="5557C125" w:rsidR="00B53C99" w:rsidRDefault="00B53C99" w:rsidP="00B53C99">
      <w:pPr>
        <w:pStyle w:val="ListParagraph"/>
        <w:numPr>
          <w:ilvl w:val="0"/>
          <w:numId w:val="1"/>
        </w:numPr>
        <w:jc w:val="both"/>
      </w:pPr>
      <w:r>
        <w:t>What is the economic model underlying the relationship between passive ownership and governance?</w:t>
      </w:r>
    </w:p>
    <w:p w14:paraId="7C0C9650" w14:textId="37F5DC20" w:rsidR="00B53C99" w:rsidRDefault="00B53C99" w:rsidP="00B53C99">
      <w:pPr>
        <w:pStyle w:val="ListParagraph"/>
        <w:numPr>
          <w:ilvl w:val="1"/>
          <w:numId w:val="1"/>
        </w:numPr>
        <w:jc w:val="both"/>
      </w:pPr>
      <w:r>
        <w:t xml:space="preserve">There is many underlying economic models behind the relationship between passive ownership and governance. One can think of the idea of screening, where managers of passive funds invest in certain types of firms (less risky, including corporate governance under that risk measure) while managers of active funds invest in more risky portfolios. Another economic model that links both topics is the monitoring/incentives of mutual funds managers while using their seats on the board of the companies that they invest in. Are they representing the incentives of the mutual funds clients or the interests of the firm. </w:t>
      </w:r>
    </w:p>
    <w:p w14:paraId="0E1E93D5" w14:textId="72C5EBFC" w:rsidR="00B53C99" w:rsidRDefault="00B53C99" w:rsidP="00B53C99">
      <w:pPr>
        <w:pStyle w:val="ListParagraph"/>
        <w:numPr>
          <w:ilvl w:val="0"/>
          <w:numId w:val="1"/>
        </w:numPr>
        <w:jc w:val="both"/>
      </w:pPr>
      <w:r>
        <w:t>In the specific setting of this paper, what is the endogeneity concern that the authors face? How might this concern bias the estimation in a setting that is not endogeneity-proof? You can address this issue using formulas as in basic econometrics textbooks. Explain what are the two conditions that a valid IV should satisfy and how the authors propose to deal with these two conditions.</w:t>
      </w:r>
    </w:p>
    <w:p w14:paraId="001788CE" w14:textId="024578FF" w:rsidR="00B53C99" w:rsidRDefault="00B53C99" w:rsidP="00B53C99">
      <w:pPr>
        <w:pStyle w:val="ListParagraph"/>
        <w:numPr>
          <w:ilvl w:val="1"/>
          <w:numId w:val="1"/>
        </w:numPr>
        <w:jc w:val="both"/>
      </w:pPr>
      <w:r>
        <w:t xml:space="preserve">In this specific paper, the main challenge that </w:t>
      </w:r>
      <w:r w:rsidR="000058DC">
        <w:t>authors</w:t>
      </w:r>
      <w:r>
        <w:t xml:space="preserve"> face is the problem that passive ownership can affect corporate governance through omitted/unobserved variables, such as the access to capital of the firm or even the ownership of active investors. </w:t>
      </w:r>
      <w:r>
        <w:br/>
        <w:t xml:space="preserve">To deal with this problem, the </w:t>
      </w:r>
      <w:r w:rsidR="000058DC">
        <w:t>authors</w:t>
      </w:r>
      <w:r>
        <w:t xml:space="preserve"> proposed an IV model, using the </w:t>
      </w:r>
      <w:r w:rsidR="000058DC">
        <w:t xml:space="preserve">threshold between the Russell 2000 and Russell 1000 as instrument to account for passive ownership. The relevance assumption is given by the fact that by jumping from the lower tail of the Russell 1000 to the higher tail of the Russell 2000, you are effectively receiving a bigger amount of passive funds through the change from low weight to high weight in the new index. The exogeneity assumption comes from the fact that there shouldn’t be a big change in corporate governance after dropping the Russell 2000. </w:t>
      </w:r>
    </w:p>
    <w:p w14:paraId="256C8457" w14:textId="53B546DC" w:rsidR="005B70CF" w:rsidRDefault="005B70CF" w:rsidP="005B70CF">
      <w:pPr>
        <w:pStyle w:val="ListParagraph"/>
        <w:numPr>
          <w:ilvl w:val="0"/>
          <w:numId w:val="1"/>
        </w:numPr>
        <w:jc w:val="both"/>
      </w:pPr>
      <w:r>
        <w:t>Wh</w:t>
      </w:r>
      <w:r>
        <w:t>at are the economic rationale behind using the inclusion into Russell-1000 or Russell</w:t>
      </w:r>
      <w:r>
        <w:t xml:space="preserve"> </w:t>
      </w:r>
      <w:r>
        <w:t>2000 indices as one of the determinants of ownership structure of firms?</w:t>
      </w:r>
    </w:p>
    <w:p w14:paraId="423048A9" w14:textId="003DC161" w:rsidR="005B70CF" w:rsidRDefault="005B70CF" w:rsidP="005B70CF">
      <w:pPr>
        <w:pStyle w:val="ListParagraph"/>
        <w:numPr>
          <w:ilvl w:val="1"/>
          <w:numId w:val="1"/>
        </w:numPr>
        <w:jc w:val="both"/>
      </w:pPr>
      <w:r>
        <w:t xml:space="preserve">As we discussed before, there are many reasons that could link corporate governance with passive investment (going from 1 index to another is really relevant in terms of investment received). In this case, using Russell 2000/1000 affects directly the amount of passive investment received, thus affecting Passive investment, which makes it a perfect candidate to be an instrument. </w:t>
      </w:r>
    </w:p>
    <w:p w14:paraId="42C117C1" w14:textId="5CE91746" w:rsidR="005B70CF" w:rsidRDefault="005B70CF" w:rsidP="005B70CF">
      <w:pPr>
        <w:pStyle w:val="ListParagraph"/>
        <w:numPr>
          <w:ilvl w:val="0"/>
          <w:numId w:val="1"/>
        </w:numPr>
        <w:jc w:val="both"/>
      </w:pPr>
      <w:r>
        <w:t>How do Table 2 and Table 3 help to justify this rationale?</w:t>
      </w:r>
    </w:p>
    <w:p w14:paraId="0DC0F1CC" w14:textId="5FB603AC" w:rsidR="005B70CF" w:rsidRDefault="005B70CF" w:rsidP="005B70CF">
      <w:pPr>
        <w:pStyle w:val="ListParagraph"/>
        <w:numPr>
          <w:ilvl w:val="1"/>
          <w:numId w:val="1"/>
        </w:numPr>
        <w:jc w:val="both"/>
      </w:pPr>
      <w:r>
        <w:t xml:space="preserve">As we can see on table 2, it provides evidence that being a member of Russell 2000 affects  the ownership structure of the firm, having more passive owners between </w:t>
      </w:r>
      <w:r>
        <w:lastRenderedPageBreak/>
        <w:t>its investors. Table 3 on its side, provide evidence that ownership structure affects corporate governance, justifying the previous rationale.</w:t>
      </w:r>
    </w:p>
    <w:p w14:paraId="7A699C3D" w14:textId="77777777" w:rsidR="0060233A" w:rsidRDefault="0060233A" w:rsidP="005B70CF">
      <w:pPr>
        <w:pStyle w:val="ListParagraph"/>
        <w:numPr>
          <w:ilvl w:val="0"/>
          <w:numId w:val="1"/>
        </w:numPr>
        <w:jc w:val="both"/>
      </w:pPr>
      <w:r>
        <w:t xml:space="preserve">How does the econometric setup in this paper compare to other related recent work? Focus, in particular on the following two papers: (i) Crane, Michenaud, and Weston, “The effect of institutional ownership on payout policy: Evidence from index thresholds,” 2016, Review of Financial Studies 29(6), 1377-1408, and (ii) Schmidt and Fahlenbrach, “Do exogeneous changes in passive institutional ownership affect corporate governance and firm value?,” 2017, Journal of Financial Economics 124, 285-306. Specifically, </w:t>
      </w:r>
    </w:p>
    <w:p w14:paraId="5081679D" w14:textId="4D14D6C1" w:rsidR="0060233A" w:rsidRDefault="0060233A" w:rsidP="0060233A">
      <w:pPr>
        <w:pStyle w:val="ListParagraph"/>
        <w:numPr>
          <w:ilvl w:val="1"/>
          <w:numId w:val="1"/>
        </w:numPr>
        <w:jc w:val="both"/>
      </w:pPr>
      <w:r>
        <w:t xml:space="preserve">a. What other datasets do they use? What are the advantages of these datasets? </w:t>
      </w:r>
    </w:p>
    <w:p w14:paraId="40883BB2" w14:textId="77777777" w:rsidR="0060233A" w:rsidRDefault="0060233A" w:rsidP="0060233A">
      <w:pPr>
        <w:ind w:left="720"/>
        <w:jc w:val="both"/>
      </w:pPr>
    </w:p>
    <w:p w14:paraId="61B23860" w14:textId="51DB146F" w:rsidR="0060233A" w:rsidRDefault="0060233A" w:rsidP="0060233A">
      <w:pPr>
        <w:pStyle w:val="ListParagraph"/>
        <w:ind w:left="1440"/>
        <w:jc w:val="both"/>
      </w:pPr>
      <w:r>
        <w:t>Both papers exploit the same Russell 1000/2000 discontinuity, relying on the Russell reconstitution. The advantages of this method is a neat, and clever way to identify changes in ownership structure and any problem related to this phenomenon.</w:t>
      </w:r>
    </w:p>
    <w:p w14:paraId="43D83E5A" w14:textId="77777777" w:rsidR="0060233A" w:rsidRDefault="0060233A" w:rsidP="0060233A">
      <w:pPr>
        <w:pStyle w:val="ListParagraph"/>
        <w:ind w:left="1440"/>
        <w:jc w:val="both"/>
      </w:pPr>
    </w:p>
    <w:p w14:paraId="06B856BA" w14:textId="5451F2E3" w:rsidR="0060233A" w:rsidRDefault="0060233A" w:rsidP="0060233A">
      <w:pPr>
        <w:pStyle w:val="ListParagraph"/>
        <w:numPr>
          <w:ilvl w:val="1"/>
          <w:numId w:val="1"/>
        </w:numPr>
        <w:jc w:val="both"/>
      </w:pPr>
      <w:r>
        <w:t>b. Define, compare, and discuss the different empirical approaches used in these papers. What are the potential weaknesses in the empirical designs</w:t>
      </w:r>
      <w:r>
        <w:t>?</w:t>
      </w:r>
    </w:p>
    <w:p w14:paraId="338CB911" w14:textId="5DF4FFF2" w:rsidR="0060233A" w:rsidRDefault="0060233A" w:rsidP="0060233A">
      <w:pPr>
        <w:ind w:left="1440"/>
        <w:jc w:val="both"/>
      </w:pPr>
      <w:r>
        <w:t>The three papers do the same Russell- 2000/1000 decomposition, following the IV method to perform the identification strategy.</w:t>
      </w:r>
    </w:p>
    <w:p w14:paraId="3630BA78" w14:textId="6CE5E42C" w:rsidR="0060233A" w:rsidRDefault="0060233A" w:rsidP="0060233A">
      <w:pPr>
        <w:ind w:left="1440"/>
        <w:jc w:val="both"/>
      </w:pPr>
      <w:r>
        <w:t>The main potential weakness in my opinion is the relevance of the estimator. In my opinion, the instrument will not be strong for too many variables. There is also the idea that investors know that a certain firm could cross the threshold with anticipation, thus it can have some relations with unobserved variables.</w:t>
      </w:r>
    </w:p>
    <w:p w14:paraId="592C1B5A" w14:textId="4C89E804" w:rsidR="0060233A" w:rsidRDefault="0060233A" w:rsidP="0060233A">
      <w:pPr>
        <w:jc w:val="both"/>
      </w:pPr>
      <w:r>
        <w:t xml:space="preserve"> Now I will go through my replication results.</w:t>
      </w:r>
    </w:p>
    <w:p w14:paraId="6E59E0E4" w14:textId="270874F8" w:rsidR="0060233A" w:rsidRDefault="0060233A" w:rsidP="0060233A">
      <w:pPr>
        <w:jc w:val="both"/>
      </w:pPr>
      <w:r>
        <w:t>For the table 1, we have:</w:t>
      </w:r>
    </w:p>
    <w:p w14:paraId="665D148C" w14:textId="684DDDDE" w:rsidR="0060233A" w:rsidRDefault="0060233A" w:rsidP="0060233A">
      <w:pPr>
        <w:widowControl w:val="0"/>
        <w:autoSpaceDE w:val="0"/>
        <w:autoSpaceDN w:val="0"/>
        <w:adjustRightInd w:val="0"/>
        <w:spacing w:after="0" w:line="240" w:lineRule="auto"/>
        <w:jc w:val="center"/>
        <w:rPr>
          <w:rFonts w:ascii="Garamond" w:hAnsi="Garamond"/>
          <w:kern w:val="0"/>
          <w:sz w:val="20"/>
          <w:szCs w:val="20"/>
        </w:rPr>
      </w:pPr>
      <w:r>
        <w:rPr>
          <w:rFonts w:ascii="Garamond" w:hAnsi="Garamond"/>
          <w:b/>
          <w:bCs/>
          <w:kern w:val="0"/>
          <w:sz w:val="20"/>
          <w:szCs w:val="20"/>
        </w:rPr>
        <w:t>Summary statistics</w:t>
      </w:r>
    </w:p>
    <w:tbl>
      <w:tblPr>
        <w:tblW w:w="0" w:type="auto"/>
        <w:jc w:val="center"/>
        <w:tblLayout w:type="fixed"/>
        <w:tblLook w:val="0000" w:firstRow="0" w:lastRow="0" w:firstColumn="0" w:lastColumn="0" w:noHBand="0" w:noVBand="0"/>
      </w:tblPr>
      <w:tblGrid>
        <w:gridCol w:w="1530"/>
        <w:gridCol w:w="1545"/>
        <w:gridCol w:w="1545"/>
        <w:gridCol w:w="1545"/>
        <w:gridCol w:w="1545"/>
      </w:tblGrid>
      <w:tr w:rsidR="0060233A" w14:paraId="4E5EBB22" w14:textId="77777777" w:rsidTr="0060233A">
        <w:tblPrEx>
          <w:tblCellMar>
            <w:top w:w="0" w:type="dxa"/>
            <w:bottom w:w="0" w:type="dxa"/>
          </w:tblCellMar>
        </w:tblPrEx>
        <w:trPr>
          <w:trHeight w:val="319"/>
          <w:jc w:val="center"/>
        </w:trPr>
        <w:tc>
          <w:tcPr>
            <w:tcW w:w="1530" w:type="dxa"/>
            <w:tcBorders>
              <w:top w:val="single" w:sz="4" w:space="0" w:color="auto"/>
              <w:left w:val="nil"/>
              <w:bottom w:val="single" w:sz="10" w:space="0" w:color="auto"/>
              <w:right w:val="nil"/>
            </w:tcBorders>
          </w:tcPr>
          <w:p w14:paraId="1BEA3087"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 xml:space="preserve">  </w:t>
            </w:r>
          </w:p>
        </w:tc>
        <w:tc>
          <w:tcPr>
            <w:tcW w:w="1545" w:type="dxa"/>
            <w:tcBorders>
              <w:top w:val="single" w:sz="4" w:space="0" w:color="auto"/>
              <w:left w:val="nil"/>
              <w:bottom w:val="single" w:sz="10" w:space="0" w:color="auto"/>
              <w:right w:val="nil"/>
            </w:tcBorders>
          </w:tcPr>
          <w:p w14:paraId="02547394"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 xml:space="preserve">  N</w:t>
            </w:r>
          </w:p>
        </w:tc>
        <w:tc>
          <w:tcPr>
            <w:tcW w:w="1545" w:type="dxa"/>
            <w:tcBorders>
              <w:top w:val="single" w:sz="4" w:space="0" w:color="auto"/>
              <w:left w:val="nil"/>
              <w:bottom w:val="single" w:sz="10" w:space="0" w:color="auto"/>
              <w:right w:val="nil"/>
            </w:tcBorders>
          </w:tcPr>
          <w:p w14:paraId="7CE2A1A5"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 xml:space="preserve">  Mean</w:t>
            </w:r>
          </w:p>
        </w:tc>
        <w:tc>
          <w:tcPr>
            <w:tcW w:w="1545" w:type="dxa"/>
            <w:tcBorders>
              <w:top w:val="single" w:sz="4" w:space="0" w:color="auto"/>
              <w:left w:val="nil"/>
              <w:bottom w:val="single" w:sz="10" w:space="0" w:color="auto"/>
              <w:right w:val="nil"/>
            </w:tcBorders>
          </w:tcPr>
          <w:p w14:paraId="1D602F95"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 xml:space="preserve">  Median</w:t>
            </w:r>
          </w:p>
        </w:tc>
        <w:tc>
          <w:tcPr>
            <w:tcW w:w="1545" w:type="dxa"/>
            <w:tcBorders>
              <w:top w:val="single" w:sz="4" w:space="0" w:color="auto"/>
              <w:left w:val="nil"/>
              <w:bottom w:val="single" w:sz="10" w:space="0" w:color="auto"/>
              <w:right w:val="nil"/>
            </w:tcBorders>
          </w:tcPr>
          <w:p w14:paraId="0E0E1C42"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 xml:space="preserve">  SD</w:t>
            </w:r>
          </w:p>
        </w:tc>
      </w:tr>
      <w:tr w:rsidR="0060233A" w14:paraId="6F2718E4" w14:textId="77777777" w:rsidTr="0060233A">
        <w:tblPrEx>
          <w:tblCellMar>
            <w:top w:w="0" w:type="dxa"/>
            <w:bottom w:w="0" w:type="dxa"/>
          </w:tblCellMar>
        </w:tblPrEx>
        <w:trPr>
          <w:trHeight w:val="303"/>
          <w:jc w:val="center"/>
        </w:trPr>
        <w:tc>
          <w:tcPr>
            <w:tcW w:w="1530" w:type="dxa"/>
            <w:tcBorders>
              <w:top w:val="nil"/>
              <w:left w:val="nil"/>
              <w:bottom w:val="nil"/>
              <w:right w:val="nil"/>
            </w:tcBorders>
          </w:tcPr>
          <w:p w14:paraId="233DF92B" w14:textId="77777777" w:rsidR="0060233A" w:rsidRDefault="0060233A" w:rsidP="00B21EED">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MF OWN</w:t>
            </w:r>
          </w:p>
        </w:tc>
        <w:tc>
          <w:tcPr>
            <w:tcW w:w="1545" w:type="dxa"/>
            <w:tcBorders>
              <w:top w:val="nil"/>
              <w:left w:val="nil"/>
              <w:bottom w:val="nil"/>
              <w:right w:val="nil"/>
            </w:tcBorders>
          </w:tcPr>
          <w:p w14:paraId="1B8CBD17"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4325</w:t>
            </w:r>
          </w:p>
        </w:tc>
        <w:tc>
          <w:tcPr>
            <w:tcW w:w="1545" w:type="dxa"/>
            <w:tcBorders>
              <w:top w:val="nil"/>
              <w:left w:val="nil"/>
              <w:bottom w:val="nil"/>
              <w:right w:val="nil"/>
            </w:tcBorders>
          </w:tcPr>
          <w:p w14:paraId="013EE65D"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33.031</w:t>
            </w:r>
          </w:p>
        </w:tc>
        <w:tc>
          <w:tcPr>
            <w:tcW w:w="1545" w:type="dxa"/>
            <w:tcBorders>
              <w:top w:val="nil"/>
              <w:left w:val="nil"/>
              <w:bottom w:val="nil"/>
              <w:right w:val="nil"/>
            </w:tcBorders>
          </w:tcPr>
          <w:p w14:paraId="65182A71"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30.490</w:t>
            </w:r>
          </w:p>
        </w:tc>
        <w:tc>
          <w:tcPr>
            <w:tcW w:w="1545" w:type="dxa"/>
            <w:tcBorders>
              <w:top w:val="nil"/>
              <w:left w:val="nil"/>
              <w:bottom w:val="nil"/>
              <w:right w:val="nil"/>
            </w:tcBorders>
          </w:tcPr>
          <w:p w14:paraId="6B2114C7"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18.861</w:t>
            </w:r>
          </w:p>
        </w:tc>
      </w:tr>
      <w:tr w:rsidR="0060233A" w14:paraId="5E8589DD" w14:textId="77777777" w:rsidTr="0060233A">
        <w:tblPrEx>
          <w:tblCellMar>
            <w:top w:w="0" w:type="dxa"/>
            <w:bottom w:w="0" w:type="dxa"/>
          </w:tblCellMar>
        </w:tblPrEx>
        <w:trPr>
          <w:trHeight w:val="319"/>
          <w:jc w:val="center"/>
        </w:trPr>
        <w:tc>
          <w:tcPr>
            <w:tcW w:w="1530" w:type="dxa"/>
            <w:tcBorders>
              <w:top w:val="nil"/>
              <w:left w:val="nil"/>
              <w:bottom w:val="nil"/>
              <w:right w:val="nil"/>
            </w:tcBorders>
          </w:tcPr>
          <w:p w14:paraId="49F2D3BF" w14:textId="77777777" w:rsidR="0060233A" w:rsidRDefault="0060233A" w:rsidP="00B21EED">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PF OWN</w:t>
            </w:r>
          </w:p>
        </w:tc>
        <w:tc>
          <w:tcPr>
            <w:tcW w:w="1545" w:type="dxa"/>
            <w:tcBorders>
              <w:top w:val="nil"/>
              <w:left w:val="nil"/>
              <w:bottom w:val="nil"/>
              <w:right w:val="nil"/>
            </w:tcBorders>
          </w:tcPr>
          <w:p w14:paraId="03B2160A"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4325</w:t>
            </w:r>
          </w:p>
        </w:tc>
        <w:tc>
          <w:tcPr>
            <w:tcW w:w="1545" w:type="dxa"/>
            <w:tcBorders>
              <w:top w:val="nil"/>
              <w:left w:val="nil"/>
              <w:bottom w:val="nil"/>
              <w:right w:val="nil"/>
            </w:tcBorders>
          </w:tcPr>
          <w:p w14:paraId="62043454"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2.557</w:t>
            </w:r>
          </w:p>
        </w:tc>
        <w:tc>
          <w:tcPr>
            <w:tcW w:w="1545" w:type="dxa"/>
            <w:tcBorders>
              <w:top w:val="nil"/>
              <w:left w:val="nil"/>
              <w:bottom w:val="nil"/>
              <w:right w:val="nil"/>
            </w:tcBorders>
          </w:tcPr>
          <w:p w14:paraId="56586B48"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2.296</w:t>
            </w:r>
          </w:p>
        </w:tc>
        <w:tc>
          <w:tcPr>
            <w:tcW w:w="1545" w:type="dxa"/>
            <w:tcBorders>
              <w:top w:val="nil"/>
              <w:left w:val="nil"/>
              <w:bottom w:val="nil"/>
              <w:right w:val="nil"/>
            </w:tcBorders>
          </w:tcPr>
          <w:p w14:paraId="19189129"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1.717</w:t>
            </w:r>
          </w:p>
        </w:tc>
      </w:tr>
      <w:tr w:rsidR="0060233A" w14:paraId="3A7247CA" w14:textId="77777777" w:rsidTr="0060233A">
        <w:tblPrEx>
          <w:tblCellMar>
            <w:top w:w="0" w:type="dxa"/>
            <w:bottom w:w="0" w:type="dxa"/>
          </w:tblCellMar>
        </w:tblPrEx>
        <w:trPr>
          <w:trHeight w:val="319"/>
          <w:jc w:val="center"/>
        </w:trPr>
        <w:tc>
          <w:tcPr>
            <w:tcW w:w="1530" w:type="dxa"/>
            <w:tcBorders>
              <w:top w:val="nil"/>
              <w:left w:val="nil"/>
              <w:bottom w:val="nil"/>
              <w:right w:val="nil"/>
            </w:tcBorders>
          </w:tcPr>
          <w:p w14:paraId="4406D76D" w14:textId="77777777" w:rsidR="0060233A" w:rsidRDefault="0060233A" w:rsidP="00B21EED">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AF OWN</w:t>
            </w:r>
          </w:p>
        </w:tc>
        <w:tc>
          <w:tcPr>
            <w:tcW w:w="1545" w:type="dxa"/>
            <w:tcBorders>
              <w:top w:val="nil"/>
              <w:left w:val="nil"/>
              <w:bottom w:val="nil"/>
              <w:right w:val="nil"/>
            </w:tcBorders>
          </w:tcPr>
          <w:p w14:paraId="558338E7"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4325</w:t>
            </w:r>
          </w:p>
        </w:tc>
        <w:tc>
          <w:tcPr>
            <w:tcW w:w="1545" w:type="dxa"/>
            <w:tcBorders>
              <w:top w:val="nil"/>
              <w:left w:val="nil"/>
              <w:bottom w:val="nil"/>
              <w:right w:val="nil"/>
            </w:tcBorders>
          </w:tcPr>
          <w:p w14:paraId="262ADAA0"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25.176</w:t>
            </w:r>
          </w:p>
        </w:tc>
        <w:tc>
          <w:tcPr>
            <w:tcW w:w="1545" w:type="dxa"/>
            <w:tcBorders>
              <w:top w:val="nil"/>
              <w:left w:val="nil"/>
              <w:bottom w:val="nil"/>
              <w:right w:val="nil"/>
            </w:tcBorders>
          </w:tcPr>
          <w:p w14:paraId="5511E465"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23.075</w:t>
            </w:r>
          </w:p>
        </w:tc>
        <w:tc>
          <w:tcPr>
            <w:tcW w:w="1545" w:type="dxa"/>
            <w:tcBorders>
              <w:top w:val="nil"/>
              <w:left w:val="nil"/>
              <w:bottom w:val="nil"/>
              <w:right w:val="nil"/>
            </w:tcBorders>
          </w:tcPr>
          <w:p w14:paraId="2A73E058"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15.283</w:t>
            </w:r>
          </w:p>
        </w:tc>
      </w:tr>
      <w:tr w:rsidR="0060233A" w14:paraId="7CB8A734" w14:textId="77777777" w:rsidTr="0060233A">
        <w:tblPrEx>
          <w:tblCellMar>
            <w:top w:w="0" w:type="dxa"/>
            <w:bottom w:w="0" w:type="dxa"/>
          </w:tblCellMar>
        </w:tblPrEx>
        <w:trPr>
          <w:trHeight w:val="319"/>
          <w:jc w:val="center"/>
        </w:trPr>
        <w:tc>
          <w:tcPr>
            <w:tcW w:w="1530" w:type="dxa"/>
            <w:tcBorders>
              <w:top w:val="nil"/>
              <w:left w:val="nil"/>
              <w:bottom w:val="nil"/>
              <w:right w:val="nil"/>
            </w:tcBorders>
          </w:tcPr>
          <w:p w14:paraId="4D38F696" w14:textId="77777777" w:rsidR="0060233A" w:rsidRDefault="0060233A" w:rsidP="00B21EED">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U OWN</w:t>
            </w:r>
          </w:p>
        </w:tc>
        <w:tc>
          <w:tcPr>
            <w:tcW w:w="1545" w:type="dxa"/>
            <w:tcBorders>
              <w:top w:val="nil"/>
              <w:left w:val="nil"/>
              <w:bottom w:val="nil"/>
              <w:right w:val="nil"/>
            </w:tcBorders>
          </w:tcPr>
          <w:p w14:paraId="1D58A90B"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4325</w:t>
            </w:r>
          </w:p>
        </w:tc>
        <w:tc>
          <w:tcPr>
            <w:tcW w:w="1545" w:type="dxa"/>
            <w:tcBorders>
              <w:top w:val="nil"/>
              <w:left w:val="nil"/>
              <w:bottom w:val="nil"/>
              <w:right w:val="nil"/>
            </w:tcBorders>
          </w:tcPr>
          <w:p w14:paraId="6D59C896"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5.757</w:t>
            </w:r>
          </w:p>
        </w:tc>
        <w:tc>
          <w:tcPr>
            <w:tcW w:w="1545" w:type="dxa"/>
            <w:tcBorders>
              <w:top w:val="nil"/>
              <w:left w:val="nil"/>
              <w:bottom w:val="nil"/>
              <w:right w:val="nil"/>
            </w:tcBorders>
          </w:tcPr>
          <w:p w14:paraId="2871082C"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4.400</w:t>
            </w:r>
          </w:p>
        </w:tc>
        <w:tc>
          <w:tcPr>
            <w:tcW w:w="1545" w:type="dxa"/>
            <w:tcBorders>
              <w:top w:val="nil"/>
              <w:left w:val="nil"/>
              <w:bottom w:val="nil"/>
              <w:right w:val="nil"/>
            </w:tcBorders>
          </w:tcPr>
          <w:p w14:paraId="13534632"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4.913</w:t>
            </w:r>
          </w:p>
        </w:tc>
      </w:tr>
      <w:tr w:rsidR="0060233A" w14:paraId="1194863C" w14:textId="77777777" w:rsidTr="0060233A">
        <w:tblPrEx>
          <w:tblCellMar>
            <w:top w:w="0" w:type="dxa"/>
            <w:bottom w:w="0" w:type="dxa"/>
          </w:tblCellMar>
        </w:tblPrEx>
        <w:trPr>
          <w:trHeight w:val="303"/>
          <w:jc w:val="center"/>
        </w:trPr>
        <w:tc>
          <w:tcPr>
            <w:tcW w:w="1530" w:type="dxa"/>
            <w:tcBorders>
              <w:top w:val="nil"/>
              <w:left w:val="nil"/>
              <w:bottom w:val="nil"/>
              <w:right w:val="nil"/>
            </w:tcBorders>
          </w:tcPr>
          <w:p w14:paraId="52F37B30" w14:textId="77777777" w:rsidR="0060233A" w:rsidRDefault="0060233A" w:rsidP="00B21EED">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indpt pct</w:t>
            </w:r>
          </w:p>
        </w:tc>
        <w:tc>
          <w:tcPr>
            <w:tcW w:w="1545" w:type="dxa"/>
            <w:tcBorders>
              <w:top w:val="nil"/>
              <w:left w:val="nil"/>
              <w:bottom w:val="nil"/>
              <w:right w:val="nil"/>
            </w:tcBorders>
          </w:tcPr>
          <w:p w14:paraId="61C9BFAB"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2696</w:t>
            </w:r>
          </w:p>
        </w:tc>
        <w:tc>
          <w:tcPr>
            <w:tcW w:w="1545" w:type="dxa"/>
            <w:tcBorders>
              <w:top w:val="nil"/>
              <w:left w:val="nil"/>
              <w:bottom w:val="nil"/>
              <w:right w:val="nil"/>
            </w:tcBorders>
          </w:tcPr>
          <w:p w14:paraId="13CAFE28"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.651</w:t>
            </w:r>
          </w:p>
        </w:tc>
        <w:tc>
          <w:tcPr>
            <w:tcW w:w="1545" w:type="dxa"/>
            <w:tcBorders>
              <w:top w:val="nil"/>
              <w:left w:val="nil"/>
              <w:bottom w:val="nil"/>
              <w:right w:val="nil"/>
            </w:tcBorders>
          </w:tcPr>
          <w:p w14:paraId="6D8501BF"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0.667</w:t>
            </w:r>
          </w:p>
        </w:tc>
        <w:tc>
          <w:tcPr>
            <w:tcW w:w="1545" w:type="dxa"/>
            <w:tcBorders>
              <w:top w:val="nil"/>
              <w:left w:val="nil"/>
              <w:bottom w:val="nil"/>
              <w:right w:val="nil"/>
            </w:tcBorders>
          </w:tcPr>
          <w:p w14:paraId="22A0E597"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.174</w:t>
            </w:r>
          </w:p>
        </w:tc>
      </w:tr>
      <w:tr w:rsidR="0060233A" w14:paraId="55CB1F66" w14:textId="77777777" w:rsidTr="0060233A">
        <w:tblPrEx>
          <w:tblCellMar>
            <w:top w:w="0" w:type="dxa"/>
            <w:bottom w:w="0" w:type="dxa"/>
          </w:tblCellMar>
        </w:tblPrEx>
        <w:trPr>
          <w:trHeight w:val="319"/>
          <w:jc w:val="center"/>
        </w:trPr>
        <w:tc>
          <w:tcPr>
            <w:tcW w:w="1530" w:type="dxa"/>
            <w:tcBorders>
              <w:top w:val="nil"/>
              <w:left w:val="nil"/>
              <w:bottom w:val="nil"/>
              <w:right w:val="nil"/>
            </w:tcBorders>
          </w:tcPr>
          <w:p w14:paraId="09EE5E01" w14:textId="77777777" w:rsidR="0060233A" w:rsidRDefault="0060233A" w:rsidP="00B21EED">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ppill rem</w:t>
            </w:r>
          </w:p>
        </w:tc>
        <w:tc>
          <w:tcPr>
            <w:tcW w:w="1545" w:type="dxa"/>
            <w:tcBorders>
              <w:top w:val="nil"/>
              <w:left w:val="nil"/>
              <w:bottom w:val="nil"/>
              <w:right w:val="nil"/>
            </w:tcBorders>
          </w:tcPr>
          <w:p w14:paraId="1898F44E"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3097</w:t>
            </w:r>
          </w:p>
        </w:tc>
        <w:tc>
          <w:tcPr>
            <w:tcW w:w="1545" w:type="dxa"/>
            <w:tcBorders>
              <w:top w:val="nil"/>
              <w:left w:val="nil"/>
              <w:bottom w:val="nil"/>
              <w:right w:val="nil"/>
            </w:tcBorders>
          </w:tcPr>
          <w:p w14:paraId="3EE100B2"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.013</w:t>
            </w:r>
          </w:p>
        </w:tc>
        <w:tc>
          <w:tcPr>
            <w:tcW w:w="1545" w:type="dxa"/>
            <w:tcBorders>
              <w:top w:val="nil"/>
              <w:left w:val="nil"/>
              <w:bottom w:val="nil"/>
              <w:right w:val="nil"/>
            </w:tcBorders>
          </w:tcPr>
          <w:p w14:paraId="58E47485"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0.000</w:t>
            </w:r>
          </w:p>
        </w:tc>
        <w:tc>
          <w:tcPr>
            <w:tcW w:w="1545" w:type="dxa"/>
            <w:tcBorders>
              <w:top w:val="nil"/>
              <w:left w:val="nil"/>
              <w:bottom w:val="nil"/>
              <w:right w:val="nil"/>
            </w:tcBorders>
          </w:tcPr>
          <w:p w14:paraId="4F56F393"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.112</w:t>
            </w:r>
          </w:p>
        </w:tc>
      </w:tr>
      <w:tr w:rsidR="0060233A" w14:paraId="354E1447" w14:textId="77777777" w:rsidTr="0060233A">
        <w:tblPrEx>
          <w:tblCellMar>
            <w:top w:w="0" w:type="dxa"/>
            <w:bottom w:w="0" w:type="dxa"/>
          </w:tblCellMar>
        </w:tblPrEx>
        <w:trPr>
          <w:trHeight w:val="319"/>
          <w:jc w:val="center"/>
        </w:trPr>
        <w:tc>
          <w:tcPr>
            <w:tcW w:w="1530" w:type="dxa"/>
            <w:tcBorders>
              <w:top w:val="nil"/>
              <w:left w:val="nil"/>
              <w:bottom w:val="nil"/>
              <w:right w:val="nil"/>
            </w:tcBorders>
          </w:tcPr>
          <w:p w14:paraId="6C807374" w14:textId="77777777" w:rsidR="0060233A" w:rsidRDefault="0060233A" w:rsidP="00B21EED">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ab sm</w:t>
            </w:r>
          </w:p>
        </w:tc>
        <w:tc>
          <w:tcPr>
            <w:tcW w:w="1545" w:type="dxa"/>
            <w:tcBorders>
              <w:top w:val="nil"/>
              <w:left w:val="nil"/>
              <w:bottom w:val="nil"/>
              <w:right w:val="nil"/>
            </w:tcBorders>
          </w:tcPr>
          <w:p w14:paraId="16DA1C75"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3097</w:t>
            </w:r>
          </w:p>
        </w:tc>
        <w:tc>
          <w:tcPr>
            <w:tcW w:w="1545" w:type="dxa"/>
            <w:tcBorders>
              <w:top w:val="nil"/>
              <w:left w:val="nil"/>
              <w:bottom w:val="nil"/>
              <w:right w:val="nil"/>
            </w:tcBorders>
          </w:tcPr>
          <w:p w14:paraId="48827CF6"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.005</w:t>
            </w:r>
          </w:p>
        </w:tc>
        <w:tc>
          <w:tcPr>
            <w:tcW w:w="1545" w:type="dxa"/>
            <w:tcBorders>
              <w:top w:val="nil"/>
              <w:left w:val="nil"/>
              <w:bottom w:val="nil"/>
              <w:right w:val="nil"/>
            </w:tcBorders>
          </w:tcPr>
          <w:p w14:paraId="5100B5A5"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0.000</w:t>
            </w:r>
          </w:p>
        </w:tc>
        <w:tc>
          <w:tcPr>
            <w:tcW w:w="1545" w:type="dxa"/>
            <w:tcBorders>
              <w:top w:val="nil"/>
              <w:left w:val="nil"/>
              <w:bottom w:val="nil"/>
              <w:right w:val="nil"/>
            </w:tcBorders>
          </w:tcPr>
          <w:p w14:paraId="23455156"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.072</w:t>
            </w:r>
          </w:p>
        </w:tc>
      </w:tr>
      <w:tr w:rsidR="0060233A" w14:paraId="12F8C75A" w14:textId="77777777" w:rsidTr="0060233A">
        <w:tblPrEx>
          <w:tblCellMar>
            <w:top w:w="0" w:type="dxa"/>
            <w:bottom w:w="0" w:type="dxa"/>
          </w:tblCellMar>
        </w:tblPrEx>
        <w:trPr>
          <w:trHeight w:val="943"/>
          <w:jc w:val="center"/>
        </w:trPr>
        <w:tc>
          <w:tcPr>
            <w:tcW w:w="1530" w:type="dxa"/>
            <w:tcBorders>
              <w:top w:val="nil"/>
              <w:left w:val="nil"/>
              <w:bottom w:val="nil"/>
              <w:right w:val="nil"/>
            </w:tcBorders>
          </w:tcPr>
          <w:p w14:paraId="0F6CBEF0" w14:textId="77777777" w:rsidR="0060233A" w:rsidRDefault="0060233A" w:rsidP="00B21EED">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DUALCLASS</w:t>
            </w:r>
          </w:p>
        </w:tc>
        <w:tc>
          <w:tcPr>
            <w:tcW w:w="1545" w:type="dxa"/>
            <w:tcBorders>
              <w:top w:val="nil"/>
              <w:left w:val="nil"/>
              <w:bottom w:val="nil"/>
              <w:right w:val="nil"/>
            </w:tcBorders>
          </w:tcPr>
          <w:p w14:paraId="59E5BA2E"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3097</w:t>
            </w:r>
          </w:p>
        </w:tc>
        <w:tc>
          <w:tcPr>
            <w:tcW w:w="1545" w:type="dxa"/>
            <w:tcBorders>
              <w:top w:val="nil"/>
              <w:left w:val="nil"/>
              <w:bottom w:val="nil"/>
              <w:right w:val="nil"/>
            </w:tcBorders>
          </w:tcPr>
          <w:p w14:paraId="5D244B01"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.118</w:t>
            </w:r>
          </w:p>
        </w:tc>
        <w:tc>
          <w:tcPr>
            <w:tcW w:w="1545" w:type="dxa"/>
            <w:tcBorders>
              <w:top w:val="nil"/>
              <w:left w:val="nil"/>
              <w:bottom w:val="nil"/>
              <w:right w:val="nil"/>
            </w:tcBorders>
          </w:tcPr>
          <w:p w14:paraId="545E4C77"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0.000</w:t>
            </w:r>
          </w:p>
        </w:tc>
        <w:tc>
          <w:tcPr>
            <w:tcW w:w="1545" w:type="dxa"/>
            <w:tcBorders>
              <w:top w:val="nil"/>
              <w:left w:val="nil"/>
              <w:bottom w:val="nil"/>
              <w:right w:val="nil"/>
            </w:tcBorders>
          </w:tcPr>
          <w:p w14:paraId="40A848AC"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.322</w:t>
            </w:r>
          </w:p>
        </w:tc>
      </w:tr>
      <w:tr w:rsidR="0060233A" w14:paraId="1FF34658" w14:textId="77777777" w:rsidTr="0060233A">
        <w:tblPrEx>
          <w:tblCellMar>
            <w:top w:w="0" w:type="dxa"/>
            <w:bottom w:w="0" w:type="dxa"/>
          </w:tblCellMar>
        </w:tblPrEx>
        <w:trPr>
          <w:trHeight w:val="319"/>
          <w:jc w:val="center"/>
        </w:trPr>
        <w:tc>
          <w:tcPr>
            <w:tcW w:w="1530" w:type="dxa"/>
            <w:tcBorders>
              <w:top w:val="nil"/>
              <w:left w:val="nil"/>
              <w:bottom w:val="single" w:sz="6" w:space="0" w:color="auto"/>
              <w:right w:val="nil"/>
            </w:tcBorders>
          </w:tcPr>
          <w:p w14:paraId="6D048B81" w14:textId="77777777" w:rsidR="0060233A" w:rsidRDefault="0060233A" w:rsidP="00B21EED">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ROA W</w:t>
            </w:r>
          </w:p>
        </w:tc>
        <w:tc>
          <w:tcPr>
            <w:tcW w:w="1545" w:type="dxa"/>
            <w:tcBorders>
              <w:top w:val="nil"/>
              <w:left w:val="nil"/>
              <w:bottom w:val="single" w:sz="6" w:space="0" w:color="auto"/>
              <w:right w:val="nil"/>
            </w:tcBorders>
          </w:tcPr>
          <w:p w14:paraId="6268BC76"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4324</w:t>
            </w:r>
          </w:p>
        </w:tc>
        <w:tc>
          <w:tcPr>
            <w:tcW w:w="1545" w:type="dxa"/>
            <w:tcBorders>
              <w:top w:val="nil"/>
              <w:left w:val="nil"/>
              <w:bottom w:val="single" w:sz="6" w:space="0" w:color="auto"/>
              <w:right w:val="nil"/>
            </w:tcBorders>
          </w:tcPr>
          <w:p w14:paraId="6712EA95"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.04</w:t>
            </w:r>
          </w:p>
        </w:tc>
        <w:tc>
          <w:tcPr>
            <w:tcW w:w="1545" w:type="dxa"/>
            <w:tcBorders>
              <w:top w:val="nil"/>
              <w:left w:val="nil"/>
              <w:bottom w:val="single" w:sz="6" w:space="0" w:color="auto"/>
              <w:right w:val="nil"/>
            </w:tcBorders>
          </w:tcPr>
          <w:p w14:paraId="5BBE4FA9"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0.042</w:t>
            </w:r>
          </w:p>
        </w:tc>
        <w:tc>
          <w:tcPr>
            <w:tcW w:w="1545" w:type="dxa"/>
            <w:tcBorders>
              <w:top w:val="nil"/>
              <w:left w:val="nil"/>
              <w:bottom w:val="single" w:sz="6" w:space="0" w:color="auto"/>
              <w:right w:val="nil"/>
            </w:tcBorders>
          </w:tcPr>
          <w:p w14:paraId="2F02F810" w14:textId="77777777" w:rsidR="0060233A" w:rsidRDefault="0060233A" w:rsidP="00B21EED">
            <w:pPr>
              <w:widowControl w:val="0"/>
              <w:autoSpaceDE w:val="0"/>
              <w:autoSpaceDN w:val="0"/>
              <w:adjustRightInd w:val="0"/>
              <w:spacing w:after="0" w:line="240" w:lineRule="auto"/>
              <w:jc w:val="right"/>
              <w:rPr>
                <w:rFonts w:ascii="Garamond" w:hAnsi="Garamond"/>
                <w:kern w:val="0"/>
                <w:sz w:val="20"/>
                <w:szCs w:val="20"/>
              </w:rPr>
            </w:pPr>
            <w:r>
              <w:rPr>
                <w:rFonts w:ascii="Garamond" w:hAnsi="Garamond"/>
                <w:kern w:val="0"/>
                <w:sz w:val="20"/>
                <w:szCs w:val="20"/>
              </w:rPr>
              <w:t>.089</w:t>
            </w:r>
          </w:p>
        </w:tc>
      </w:tr>
    </w:tbl>
    <w:p w14:paraId="56B8FD25" w14:textId="77777777" w:rsidR="0060233A" w:rsidRDefault="0060233A" w:rsidP="0060233A">
      <w:pPr>
        <w:jc w:val="both"/>
      </w:pPr>
    </w:p>
    <w:p w14:paraId="4BF7A825" w14:textId="5ADFEB48" w:rsidR="0060233A" w:rsidRDefault="0060233A" w:rsidP="0060233A">
      <w:pPr>
        <w:jc w:val="both"/>
      </w:pPr>
      <w:r>
        <w:lastRenderedPageBreak/>
        <w:t xml:space="preserve">Which is close to the original table presented in the paper. In particular, there is approximately 100 observations that I didn’t match with the paper. Now, the big difference in my replication, that will cause problems onwards, is the amount of links that I found in my replication. In particular, I got a 33% of total mutual fund shares holdings while the paper just found 25%. That is mainly explained by the active and unobserved </w:t>
      </w:r>
      <w:r w:rsidR="00DC0E2E">
        <w:t>funds, and thus, by construction of the variables, to our Passive Fund definition in the replication.</w:t>
      </w:r>
    </w:p>
    <w:p w14:paraId="77BC3A9A" w14:textId="4E744869" w:rsidR="00DC0E2E" w:rsidRDefault="00DC0E2E" w:rsidP="0060233A">
      <w:pPr>
        <w:jc w:val="both"/>
      </w:pPr>
      <w:r>
        <w:t xml:space="preserve">In general, the results that I got were really sensitive to changes in the way to classify the funds names (using algorithms such as matchit had different results than the approach that I followed (complete word in name). </w:t>
      </w:r>
    </w:p>
    <w:p w14:paraId="5C49E82D" w14:textId="4136F5BF" w:rsidR="00DC0E2E" w:rsidRDefault="00DC0E2E" w:rsidP="0060233A">
      <w:pPr>
        <w:jc w:val="both"/>
      </w:pPr>
      <w:r>
        <w:t>Another problem that is not in the table was with the market value timing in the paper and the prices used to generate the Market Cap/Value variables. Depending on the date used (and source), the variables were really different from each other.</w:t>
      </w:r>
    </w:p>
    <w:p w14:paraId="4131360A" w14:textId="47E08AE9" w:rsidR="00696C29" w:rsidRDefault="00696C29" w:rsidP="0060233A">
      <w:pPr>
        <w:jc w:val="both"/>
      </w:pPr>
      <w:r>
        <w:t>Other problem that I faced was that the MKT Cap variable in the algorithm was so big in the 3</w:t>
      </w:r>
      <w:r w:rsidRPr="00696C29">
        <w:rPr>
          <w:vertAlign w:val="superscript"/>
        </w:rPr>
        <w:t>rd</w:t>
      </w:r>
      <w:r>
        <w:t xml:space="preserve"> </w:t>
      </w:r>
      <w:r w:rsidR="00CD2295">
        <w:t xml:space="preserve">order polynomial that was </w:t>
      </w:r>
      <w:r w:rsidR="007B5CE0">
        <w:t>collinear and thus eliminated from the regression, as we can see in the table 7.</w:t>
      </w:r>
    </w:p>
    <w:p w14:paraId="654E2B49" w14:textId="1E497C80" w:rsidR="00696C29" w:rsidRDefault="00DC0E2E" w:rsidP="0060233A">
      <w:pPr>
        <w:jc w:val="both"/>
      </w:pPr>
      <w:r>
        <w:t>As a summary for the tables 2 to 7, the magnitudes generally don’t match the ones on the paper, but they have a decent performance in the sense that they have the same sign and closer if not best significance.</w:t>
      </w:r>
    </w:p>
    <w:p w14:paraId="11B600FB" w14:textId="041B3E42" w:rsidR="00DC0E2E" w:rsidRDefault="00DC0E2E" w:rsidP="0060233A">
      <w:pPr>
        <w:jc w:val="both"/>
      </w:pPr>
      <w:r>
        <w:t>The results are presented below:</w:t>
      </w:r>
    </w:p>
    <w:p w14:paraId="0F9773C2" w14:textId="198A7067" w:rsidR="00DC0E2E" w:rsidRDefault="00DC0E2E" w:rsidP="0060233A">
      <w:pPr>
        <w:jc w:val="both"/>
      </w:pPr>
      <w:r>
        <w:t>Table 2:</w:t>
      </w:r>
    </w:p>
    <w:tbl>
      <w:tblPr>
        <w:tblW w:w="0" w:type="auto"/>
        <w:jc w:val="center"/>
        <w:tblLayout w:type="fixed"/>
        <w:tblCellMar>
          <w:left w:w="75" w:type="dxa"/>
          <w:right w:w="75" w:type="dxa"/>
        </w:tblCellMar>
        <w:tblLook w:val="0000" w:firstRow="0" w:lastRow="0" w:firstColumn="0" w:lastColumn="0" w:noHBand="0" w:noVBand="0"/>
      </w:tblPr>
      <w:tblGrid>
        <w:gridCol w:w="1515"/>
        <w:gridCol w:w="2448"/>
        <w:gridCol w:w="2448"/>
        <w:gridCol w:w="1152"/>
        <w:gridCol w:w="1152"/>
        <w:gridCol w:w="1872"/>
      </w:tblGrid>
      <w:tr w:rsidR="00DC0E2E" w14:paraId="2DCD3F87" w14:textId="77777777" w:rsidTr="00B21EED">
        <w:tblPrEx>
          <w:tblCellMar>
            <w:top w:w="0" w:type="dxa"/>
            <w:bottom w:w="0" w:type="dxa"/>
          </w:tblCellMar>
        </w:tblPrEx>
        <w:trPr>
          <w:jc w:val="center"/>
        </w:trPr>
        <w:tc>
          <w:tcPr>
            <w:tcW w:w="1515" w:type="dxa"/>
            <w:tcBorders>
              <w:top w:val="single" w:sz="6" w:space="0" w:color="auto"/>
              <w:left w:val="nil"/>
              <w:bottom w:val="nil"/>
              <w:right w:val="nil"/>
            </w:tcBorders>
          </w:tcPr>
          <w:p w14:paraId="3834B2D4"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448" w:type="dxa"/>
            <w:tcBorders>
              <w:top w:val="single" w:sz="6" w:space="0" w:color="auto"/>
              <w:left w:val="nil"/>
              <w:bottom w:val="nil"/>
              <w:right w:val="nil"/>
            </w:tcBorders>
          </w:tcPr>
          <w:p w14:paraId="58BD4DA6"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448" w:type="dxa"/>
            <w:tcBorders>
              <w:top w:val="single" w:sz="6" w:space="0" w:color="auto"/>
              <w:left w:val="nil"/>
              <w:bottom w:val="nil"/>
              <w:right w:val="nil"/>
            </w:tcBorders>
          </w:tcPr>
          <w:p w14:paraId="7158C2F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152" w:type="dxa"/>
            <w:tcBorders>
              <w:top w:val="single" w:sz="6" w:space="0" w:color="auto"/>
              <w:left w:val="nil"/>
              <w:bottom w:val="nil"/>
              <w:right w:val="nil"/>
            </w:tcBorders>
          </w:tcPr>
          <w:p w14:paraId="753BE8D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1152" w:type="dxa"/>
            <w:tcBorders>
              <w:top w:val="single" w:sz="6" w:space="0" w:color="auto"/>
              <w:left w:val="nil"/>
              <w:bottom w:val="nil"/>
              <w:right w:val="nil"/>
            </w:tcBorders>
          </w:tcPr>
          <w:p w14:paraId="165FCCEF"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w:t>
            </w:r>
          </w:p>
        </w:tc>
        <w:tc>
          <w:tcPr>
            <w:tcW w:w="1872" w:type="dxa"/>
            <w:tcBorders>
              <w:top w:val="single" w:sz="6" w:space="0" w:color="auto"/>
              <w:left w:val="nil"/>
              <w:bottom w:val="nil"/>
              <w:right w:val="nil"/>
            </w:tcBorders>
          </w:tcPr>
          <w:p w14:paraId="74459E0D"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(5)</w:t>
            </w:r>
          </w:p>
        </w:tc>
      </w:tr>
      <w:tr w:rsidR="00DC0E2E" w14:paraId="7FF79EE9" w14:textId="77777777" w:rsidTr="00B21EED">
        <w:tblPrEx>
          <w:tblCellMar>
            <w:top w:w="0" w:type="dxa"/>
            <w:bottom w:w="0" w:type="dxa"/>
          </w:tblCellMar>
        </w:tblPrEx>
        <w:trPr>
          <w:jc w:val="center"/>
        </w:trPr>
        <w:tc>
          <w:tcPr>
            <w:tcW w:w="1515" w:type="dxa"/>
            <w:tcBorders>
              <w:top w:val="nil"/>
              <w:left w:val="nil"/>
              <w:bottom w:val="single" w:sz="6" w:space="0" w:color="auto"/>
              <w:right w:val="nil"/>
            </w:tcBorders>
          </w:tcPr>
          <w:p w14:paraId="360AD99D"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2448" w:type="dxa"/>
            <w:tcBorders>
              <w:top w:val="nil"/>
              <w:left w:val="nil"/>
              <w:bottom w:val="single" w:sz="6" w:space="0" w:color="auto"/>
              <w:right w:val="nil"/>
            </w:tcBorders>
          </w:tcPr>
          <w:p w14:paraId="594B1F0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All Mutual Funds</w:t>
            </w:r>
          </w:p>
        </w:tc>
        <w:tc>
          <w:tcPr>
            <w:tcW w:w="2448" w:type="dxa"/>
            <w:tcBorders>
              <w:top w:val="nil"/>
              <w:left w:val="nil"/>
              <w:bottom w:val="single" w:sz="6" w:space="0" w:color="auto"/>
              <w:right w:val="nil"/>
            </w:tcBorders>
          </w:tcPr>
          <w:p w14:paraId="31F1EB7E"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All Mutual Funds</w:t>
            </w:r>
          </w:p>
        </w:tc>
        <w:tc>
          <w:tcPr>
            <w:tcW w:w="1152" w:type="dxa"/>
            <w:tcBorders>
              <w:top w:val="nil"/>
              <w:left w:val="nil"/>
              <w:bottom w:val="single" w:sz="6" w:space="0" w:color="auto"/>
              <w:right w:val="nil"/>
            </w:tcBorders>
          </w:tcPr>
          <w:p w14:paraId="28E41119"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Passive</w:t>
            </w:r>
          </w:p>
        </w:tc>
        <w:tc>
          <w:tcPr>
            <w:tcW w:w="1152" w:type="dxa"/>
            <w:tcBorders>
              <w:top w:val="nil"/>
              <w:left w:val="nil"/>
              <w:bottom w:val="single" w:sz="6" w:space="0" w:color="auto"/>
              <w:right w:val="nil"/>
            </w:tcBorders>
          </w:tcPr>
          <w:p w14:paraId="5070BB21"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Active</w:t>
            </w:r>
          </w:p>
        </w:tc>
        <w:tc>
          <w:tcPr>
            <w:tcW w:w="1872" w:type="dxa"/>
            <w:tcBorders>
              <w:top w:val="nil"/>
              <w:left w:val="nil"/>
              <w:bottom w:val="single" w:sz="6" w:space="0" w:color="auto"/>
              <w:right w:val="nil"/>
            </w:tcBorders>
          </w:tcPr>
          <w:p w14:paraId="0FC7D308"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Unclassified</w:t>
            </w:r>
          </w:p>
        </w:tc>
      </w:tr>
      <w:tr w:rsidR="00DC0E2E" w14:paraId="3D341474" w14:textId="77777777" w:rsidTr="00B21EED">
        <w:tblPrEx>
          <w:tblCellMar>
            <w:top w:w="0" w:type="dxa"/>
            <w:bottom w:w="0" w:type="dxa"/>
          </w:tblCellMar>
        </w:tblPrEx>
        <w:trPr>
          <w:jc w:val="center"/>
        </w:trPr>
        <w:tc>
          <w:tcPr>
            <w:tcW w:w="1515" w:type="dxa"/>
            <w:tcBorders>
              <w:top w:val="nil"/>
              <w:left w:val="nil"/>
              <w:bottom w:val="nil"/>
              <w:right w:val="nil"/>
            </w:tcBorders>
          </w:tcPr>
          <w:p w14:paraId="59985C03"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448" w:type="dxa"/>
            <w:tcBorders>
              <w:top w:val="nil"/>
              <w:left w:val="nil"/>
              <w:bottom w:val="nil"/>
              <w:right w:val="nil"/>
            </w:tcBorders>
          </w:tcPr>
          <w:p w14:paraId="450EB33C"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448" w:type="dxa"/>
            <w:tcBorders>
              <w:top w:val="nil"/>
              <w:left w:val="nil"/>
              <w:bottom w:val="nil"/>
              <w:right w:val="nil"/>
            </w:tcBorders>
          </w:tcPr>
          <w:p w14:paraId="5FFEDDF6"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152" w:type="dxa"/>
            <w:tcBorders>
              <w:top w:val="nil"/>
              <w:left w:val="nil"/>
              <w:bottom w:val="nil"/>
              <w:right w:val="nil"/>
            </w:tcBorders>
          </w:tcPr>
          <w:p w14:paraId="4F96060D"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152" w:type="dxa"/>
            <w:tcBorders>
              <w:top w:val="nil"/>
              <w:left w:val="nil"/>
              <w:bottom w:val="nil"/>
              <w:right w:val="nil"/>
            </w:tcBorders>
          </w:tcPr>
          <w:p w14:paraId="4972F8D7"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872" w:type="dxa"/>
            <w:tcBorders>
              <w:top w:val="nil"/>
              <w:left w:val="nil"/>
              <w:bottom w:val="nil"/>
              <w:right w:val="nil"/>
            </w:tcBorders>
          </w:tcPr>
          <w:p w14:paraId="5AC11AF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C0E2E" w14:paraId="5778CE0E" w14:textId="77777777" w:rsidTr="00B21EED">
        <w:tblPrEx>
          <w:tblCellMar>
            <w:top w:w="0" w:type="dxa"/>
            <w:bottom w:w="0" w:type="dxa"/>
          </w:tblCellMar>
        </w:tblPrEx>
        <w:trPr>
          <w:jc w:val="center"/>
        </w:trPr>
        <w:tc>
          <w:tcPr>
            <w:tcW w:w="1515" w:type="dxa"/>
            <w:tcBorders>
              <w:top w:val="nil"/>
              <w:left w:val="nil"/>
              <w:bottom w:val="nil"/>
              <w:right w:val="nil"/>
            </w:tcBorders>
          </w:tcPr>
          <w:p w14:paraId="12016BC1"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top250</w:t>
            </w:r>
          </w:p>
        </w:tc>
        <w:tc>
          <w:tcPr>
            <w:tcW w:w="2448" w:type="dxa"/>
            <w:tcBorders>
              <w:top w:val="nil"/>
              <w:left w:val="nil"/>
              <w:bottom w:val="nil"/>
              <w:right w:val="nil"/>
            </w:tcBorders>
          </w:tcPr>
          <w:p w14:paraId="5B8F74C6"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4.532**</w:t>
            </w:r>
          </w:p>
        </w:tc>
        <w:tc>
          <w:tcPr>
            <w:tcW w:w="2448" w:type="dxa"/>
            <w:tcBorders>
              <w:top w:val="nil"/>
              <w:left w:val="nil"/>
              <w:bottom w:val="nil"/>
              <w:right w:val="nil"/>
            </w:tcBorders>
          </w:tcPr>
          <w:p w14:paraId="297FA978"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4.561**</w:t>
            </w:r>
          </w:p>
        </w:tc>
        <w:tc>
          <w:tcPr>
            <w:tcW w:w="1152" w:type="dxa"/>
            <w:tcBorders>
              <w:top w:val="nil"/>
              <w:left w:val="nil"/>
              <w:bottom w:val="nil"/>
              <w:right w:val="nil"/>
            </w:tcBorders>
          </w:tcPr>
          <w:p w14:paraId="21953CC2"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0.633**</w:t>
            </w:r>
          </w:p>
        </w:tc>
        <w:tc>
          <w:tcPr>
            <w:tcW w:w="1152" w:type="dxa"/>
            <w:tcBorders>
              <w:top w:val="nil"/>
              <w:left w:val="nil"/>
              <w:bottom w:val="nil"/>
              <w:right w:val="nil"/>
            </w:tcBorders>
          </w:tcPr>
          <w:p w14:paraId="7548A1FC"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3.253**</w:t>
            </w:r>
          </w:p>
        </w:tc>
        <w:tc>
          <w:tcPr>
            <w:tcW w:w="1872" w:type="dxa"/>
            <w:tcBorders>
              <w:top w:val="nil"/>
              <w:left w:val="nil"/>
              <w:bottom w:val="nil"/>
              <w:right w:val="nil"/>
            </w:tcBorders>
          </w:tcPr>
          <w:p w14:paraId="7E7B33A2"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0.882**</w:t>
            </w:r>
          </w:p>
        </w:tc>
      </w:tr>
      <w:tr w:rsidR="00DC0E2E" w14:paraId="0E8426B6" w14:textId="77777777" w:rsidTr="00B21EED">
        <w:tblPrEx>
          <w:tblCellMar>
            <w:top w:w="0" w:type="dxa"/>
            <w:bottom w:w="0" w:type="dxa"/>
          </w:tblCellMar>
        </w:tblPrEx>
        <w:trPr>
          <w:jc w:val="center"/>
        </w:trPr>
        <w:tc>
          <w:tcPr>
            <w:tcW w:w="1515" w:type="dxa"/>
            <w:tcBorders>
              <w:top w:val="nil"/>
              <w:left w:val="nil"/>
              <w:bottom w:val="nil"/>
              <w:right w:val="nil"/>
            </w:tcBorders>
          </w:tcPr>
          <w:p w14:paraId="5085C0D5"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448" w:type="dxa"/>
            <w:tcBorders>
              <w:top w:val="nil"/>
              <w:left w:val="nil"/>
              <w:bottom w:val="nil"/>
              <w:right w:val="nil"/>
            </w:tcBorders>
          </w:tcPr>
          <w:p w14:paraId="36438BBD"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(0.689)</w:t>
            </w:r>
          </w:p>
        </w:tc>
        <w:tc>
          <w:tcPr>
            <w:tcW w:w="2448" w:type="dxa"/>
            <w:tcBorders>
              <w:top w:val="nil"/>
              <w:left w:val="nil"/>
              <w:bottom w:val="nil"/>
              <w:right w:val="nil"/>
            </w:tcBorders>
          </w:tcPr>
          <w:p w14:paraId="58549BC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(0.690)</w:t>
            </w:r>
          </w:p>
        </w:tc>
        <w:tc>
          <w:tcPr>
            <w:tcW w:w="1152" w:type="dxa"/>
            <w:tcBorders>
              <w:top w:val="nil"/>
              <w:left w:val="nil"/>
              <w:bottom w:val="nil"/>
              <w:right w:val="nil"/>
            </w:tcBorders>
          </w:tcPr>
          <w:p w14:paraId="40E87A5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(0.048)</w:t>
            </w:r>
          </w:p>
        </w:tc>
        <w:tc>
          <w:tcPr>
            <w:tcW w:w="1152" w:type="dxa"/>
            <w:tcBorders>
              <w:top w:val="nil"/>
              <w:left w:val="nil"/>
              <w:bottom w:val="nil"/>
              <w:right w:val="nil"/>
            </w:tcBorders>
          </w:tcPr>
          <w:p w14:paraId="31A9D756"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(0.582)</w:t>
            </w:r>
          </w:p>
        </w:tc>
        <w:tc>
          <w:tcPr>
            <w:tcW w:w="1872" w:type="dxa"/>
            <w:tcBorders>
              <w:top w:val="nil"/>
              <w:left w:val="nil"/>
              <w:bottom w:val="nil"/>
              <w:right w:val="nil"/>
            </w:tcBorders>
          </w:tcPr>
          <w:p w14:paraId="5BB6CA8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(0.183)</w:t>
            </w:r>
          </w:p>
        </w:tc>
      </w:tr>
      <w:tr w:rsidR="00DC0E2E" w14:paraId="5999BF98" w14:textId="77777777" w:rsidTr="00B21EED">
        <w:tblPrEx>
          <w:tblCellMar>
            <w:top w:w="0" w:type="dxa"/>
            <w:bottom w:w="0" w:type="dxa"/>
          </w:tblCellMar>
        </w:tblPrEx>
        <w:trPr>
          <w:jc w:val="center"/>
        </w:trPr>
        <w:tc>
          <w:tcPr>
            <w:tcW w:w="1515" w:type="dxa"/>
            <w:tcBorders>
              <w:top w:val="nil"/>
              <w:left w:val="nil"/>
              <w:bottom w:val="nil"/>
              <w:right w:val="nil"/>
            </w:tcBorders>
          </w:tcPr>
          <w:p w14:paraId="7ECDD826"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448" w:type="dxa"/>
            <w:tcBorders>
              <w:top w:val="nil"/>
              <w:left w:val="nil"/>
              <w:bottom w:val="nil"/>
              <w:right w:val="nil"/>
            </w:tcBorders>
          </w:tcPr>
          <w:p w14:paraId="39EA274F"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448" w:type="dxa"/>
            <w:tcBorders>
              <w:top w:val="nil"/>
              <w:left w:val="nil"/>
              <w:bottom w:val="nil"/>
              <w:right w:val="nil"/>
            </w:tcBorders>
          </w:tcPr>
          <w:p w14:paraId="66F2E521"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152" w:type="dxa"/>
            <w:tcBorders>
              <w:top w:val="nil"/>
              <w:left w:val="nil"/>
              <w:bottom w:val="nil"/>
              <w:right w:val="nil"/>
            </w:tcBorders>
          </w:tcPr>
          <w:p w14:paraId="0F4CFE41"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152" w:type="dxa"/>
            <w:tcBorders>
              <w:top w:val="nil"/>
              <w:left w:val="nil"/>
              <w:bottom w:val="nil"/>
              <w:right w:val="nil"/>
            </w:tcBorders>
          </w:tcPr>
          <w:p w14:paraId="17C2C03C"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872" w:type="dxa"/>
            <w:tcBorders>
              <w:top w:val="nil"/>
              <w:left w:val="nil"/>
              <w:bottom w:val="nil"/>
              <w:right w:val="nil"/>
            </w:tcBorders>
          </w:tcPr>
          <w:p w14:paraId="25556F40"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C0E2E" w14:paraId="5084AC46" w14:textId="77777777" w:rsidTr="00B21EED">
        <w:tblPrEx>
          <w:tblBorders>
            <w:bottom w:val="single" w:sz="6" w:space="0" w:color="auto"/>
          </w:tblBorders>
          <w:tblCellMar>
            <w:top w:w="0" w:type="dxa"/>
            <w:bottom w:w="0" w:type="dxa"/>
          </w:tblCellMar>
        </w:tblPrEx>
        <w:trPr>
          <w:jc w:val="center"/>
        </w:trPr>
        <w:tc>
          <w:tcPr>
            <w:tcW w:w="1515" w:type="dxa"/>
            <w:tcBorders>
              <w:top w:val="nil"/>
              <w:left w:val="nil"/>
              <w:bottom w:val="single" w:sz="6" w:space="0" w:color="auto"/>
              <w:right w:val="nil"/>
            </w:tcBorders>
          </w:tcPr>
          <w:p w14:paraId="7A57FFC9"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2448" w:type="dxa"/>
            <w:tcBorders>
              <w:top w:val="nil"/>
              <w:left w:val="nil"/>
              <w:bottom w:val="single" w:sz="6" w:space="0" w:color="auto"/>
              <w:right w:val="nil"/>
            </w:tcBorders>
          </w:tcPr>
          <w:p w14:paraId="1CFCAC7F"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0.272</w:t>
            </w:r>
          </w:p>
        </w:tc>
        <w:tc>
          <w:tcPr>
            <w:tcW w:w="2448" w:type="dxa"/>
            <w:tcBorders>
              <w:top w:val="nil"/>
              <w:left w:val="nil"/>
              <w:bottom w:val="single" w:sz="6" w:space="0" w:color="auto"/>
              <w:right w:val="nil"/>
            </w:tcBorders>
          </w:tcPr>
          <w:p w14:paraId="24723BF6"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0.270</w:t>
            </w:r>
          </w:p>
        </w:tc>
        <w:tc>
          <w:tcPr>
            <w:tcW w:w="1152" w:type="dxa"/>
            <w:tcBorders>
              <w:top w:val="nil"/>
              <w:left w:val="nil"/>
              <w:bottom w:val="single" w:sz="6" w:space="0" w:color="auto"/>
              <w:right w:val="nil"/>
            </w:tcBorders>
          </w:tcPr>
          <w:p w14:paraId="4D730C3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0.569</w:t>
            </w:r>
          </w:p>
        </w:tc>
        <w:tc>
          <w:tcPr>
            <w:tcW w:w="1152" w:type="dxa"/>
            <w:tcBorders>
              <w:top w:val="nil"/>
              <w:left w:val="nil"/>
              <w:bottom w:val="single" w:sz="6" w:space="0" w:color="auto"/>
              <w:right w:val="nil"/>
            </w:tcBorders>
          </w:tcPr>
          <w:p w14:paraId="51A81DCD"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0.225</w:t>
            </w:r>
          </w:p>
        </w:tc>
        <w:tc>
          <w:tcPr>
            <w:tcW w:w="1872" w:type="dxa"/>
            <w:tcBorders>
              <w:top w:val="nil"/>
              <w:left w:val="nil"/>
              <w:bottom w:val="single" w:sz="6" w:space="0" w:color="auto"/>
              <w:right w:val="nil"/>
            </w:tcBorders>
          </w:tcPr>
          <w:p w14:paraId="398C256D"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0.229</w:t>
            </w:r>
          </w:p>
        </w:tc>
      </w:tr>
    </w:tbl>
    <w:p w14:paraId="0CD1E5EE" w14:textId="77777777" w:rsidR="00DC0E2E" w:rsidRDefault="00DC0E2E" w:rsidP="00DC0E2E">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Robust standard errors in parentheses</w:t>
      </w:r>
    </w:p>
    <w:p w14:paraId="6B6E8F89" w14:textId="77777777" w:rsidR="00DC0E2E" w:rsidRDefault="00DC0E2E" w:rsidP="00DC0E2E">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p&lt;0.01, * p&lt;0.10</w:t>
      </w:r>
    </w:p>
    <w:p w14:paraId="65F7D086" w14:textId="77777777" w:rsidR="00DC0E2E" w:rsidRDefault="00DC0E2E" w:rsidP="0060233A">
      <w:pPr>
        <w:jc w:val="both"/>
      </w:pPr>
    </w:p>
    <w:p w14:paraId="75B85722" w14:textId="62F15E62" w:rsidR="00DC0E2E" w:rsidRDefault="00DC0E2E" w:rsidP="0060233A">
      <w:pPr>
        <w:jc w:val="both"/>
      </w:pPr>
      <w:r>
        <w:t>Table 3:</w:t>
      </w:r>
    </w:p>
    <w:tbl>
      <w:tblPr>
        <w:tblW w:w="0" w:type="auto"/>
        <w:jc w:val="center"/>
        <w:tblLayout w:type="fixed"/>
        <w:tblCellMar>
          <w:left w:w="75" w:type="dxa"/>
          <w:right w:w="75" w:type="dxa"/>
        </w:tblCellMar>
        <w:tblLook w:val="0000" w:firstRow="0" w:lastRow="0" w:firstColumn="0" w:lastColumn="0" w:noHBand="0" w:noVBand="0"/>
      </w:tblPr>
      <w:tblGrid>
        <w:gridCol w:w="1515"/>
        <w:gridCol w:w="2160"/>
        <w:gridCol w:w="2160"/>
        <w:gridCol w:w="2160"/>
      </w:tblGrid>
      <w:tr w:rsidR="00DC0E2E" w14:paraId="510565D6" w14:textId="77777777" w:rsidTr="00B21EED">
        <w:tblPrEx>
          <w:tblCellMar>
            <w:top w:w="0" w:type="dxa"/>
            <w:bottom w:w="0" w:type="dxa"/>
          </w:tblCellMar>
        </w:tblPrEx>
        <w:trPr>
          <w:jc w:val="center"/>
        </w:trPr>
        <w:tc>
          <w:tcPr>
            <w:tcW w:w="1515" w:type="dxa"/>
            <w:tcBorders>
              <w:top w:val="single" w:sz="6" w:space="0" w:color="auto"/>
              <w:left w:val="nil"/>
              <w:bottom w:val="nil"/>
              <w:right w:val="nil"/>
            </w:tcBorders>
          </w:tcPr>
          <w:p w14:paraId="46917290"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single" w:sz="6" w:space="0" w:color="auto"/>
              <w:left w:val="nil"/>
              <w:bottom w:val="nil"/>
              <w:right w:val="nil"/>
            </w:tcBorders>
          </w:tcPr>
          <w:p w14:paraId="54E4C9EA"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160" w:type="dxa"/>
            <w:tcBorders>
              <w:top w:val="single" w:sz="6" w:space="0" w:color="auto"/>
              <w:left w:val="nil"/>
              <w:bottom w:val="nil"/>
              <w:right w:val="nil"/>
            </w:tcBorders>
          </w:tcPr>
          <w:p w14:paraId="6822FA69"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160" w:type="dxa"/>
            <w:tcBorders>
              <w:top w:val="single" w:sz="6" w:space="0" w:color="auto"/>
              <w:left w:val="nil"/>
              <w:bottom w:val="nil"/>
              <w:right w:val="nil"/>
            </w:tcBorders>
          </w:tcPr>
          <w:p w14:paraId="20ED774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DC0E2E" w14:paraId="31F40F84" w14:textId="77777777" w:rsidTr="00B21EED">
        <w:tblPrEx>
          <w:tblCellMar>
            <w:top w:w="0" w:type="dxa"/>
            <w:bottom w:w="0" w:type="dxa"/>
          </w:tblCellMar>
        </w:tblPrEx>
        <w:trPr>
          <w:jc w:val="center"/>
        </w:trPr>
        <w:tc>
          <w:tcPr>
            <w:tcW w:w="1515" w:type="dxa"/>
            <w:tcBorders>
              <w:top w:val="nil"/>
              <w:left w:val="nil"/>
              <w:bottom w:val="single" w:sz="6" w:space="0" w:color="auto"/>
              <w:right w:val="nil"/>
            </w:tcBorders>
          </w:tcPr>
          <w:p w14:paraId="57209F6D"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2160" w:type="dxa"/>
            <w:tcBorders>
              <w:top w:val="nil"/>
              <w:left w:val="nil"/>
              <w:bottom w:val="single" w:sz="6" w:space="0" w:color="auto"/>
              <w:right w:val="nil"/>
            </w:tcBorders>
          </w:tcPr>
          <w:p w14:paraId="19910CE4"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N=1</w:t>
            </w:r>
          </w:p>
        </w:tc>
        <w:tc>
          <w:tcPr>
            <w:tcW w:w="2160" w:type="dxa"/>
            <w:tcBorders>
              <w:top w:val="nil"/>
              <w:left w:val="nil"/>
              <w:bottom w:val="single" w:sz="6" w:space="0" w:color="auto"/>
              <w:right w:val="nil"/>
            </w:tcBorders>
          </w:tcPr>
          <w:p w14:paraId="6CA836B4"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N=2</w:t>
            </w:r>
          </w:p>
        </w:tc>
        <w:tc>
          <w:tcPr>
            <w:tcW w:w="2160" w:type="dxa"/>
            <w:tcBorders>
              <w:top w:val="nil"/>
              <w:left w:val="nil"/>
              <w:bottom w:val="single" w:sz="6" w:space="0" w:color="auto"/>
              <w:right w:val="nil"/>
            </w:tcBorders>
          </w:tcPr>
          <w:p w14:paraId="0C479A38"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N=3</w:t>
            </w:r>
          </w:p>
        </w:tc>
      </w:tr>
      <w:tr w:rsidR="00DC0E2E" w14:paraId="3EDD8B33" w14:textId="77777777" w:rsidTr="00B21EED">
        <w:tblPrEx>
          <w:tblCellMar>
            <w:top w:w="0" w:type="dxa"/>
            <w:bottom w:w="0" w:type="dxa"/>
          </w:tblCellMar>
        </w:tblPrEx>
        <w:trPr>
          <w:jc w:val="center"/>
        </w:trPr>
        <w:tc>
          <w:tcPr>
            <w:tcW w:w="1515" w:type="dxa"/>
            <w:tcBorders>
              <w:top w:val="nil"/>
              <w:left w:val="nil"/>
              <w:bottom w:val="nil"/>
              <w:right w:val="nil"/>
            </w:tcBorders>
          </w:tcPr>
          <w:p w14:paraId="7B040521"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nil"/>
              <w:left w:val="nil"/>
              <w:bottom w:val="nil"/>
              <w:right w:val="nil"/>
            </w:tcBorders>
          </w:tcPr>
          <w:p w14:paraId="6445BC72"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625B4C2F"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6386A10E"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C0E2E" w14:paraId="600BC15C" w14:textId="77777777" w:rsidTr="00B21EED">
        <w:tblPrEx>
          <w:tblCellMar>
            <w:top w:w="0" w:type="dxa"/>
            <w:bottom w:w="0" w:type="dxa"/>
          </w:tblCellMar>
        </w:tblPrEx>
        <w:trPr>
          <w:jc w:val="center"/>
        </w:trPr>
        <w:tc>
          <w:tcPr>
            <w:tcW w:w="1515" w:type="dxa"/>
            <w:tcBorders>
              <w:top w:val="nil"/>
              <w:left w:val="nil"/>
              <w:bottom w:val="nil"/>
              <w:right w:val="nil"/>
            </w:tcBorders>
          </w:tcPr>
          <w:p w14:paraId="5431F9B2"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top250</w:t>
            </w:r>
          </w:p>
        </w:tc>
        <w:tc>
          <w:tcPr>
            <w:tcW w:w="2160" w:type="dxa"/>
            <w:tcBorders>
              <w:top w:val="nil"/>
              <w:left w:val="nil"/>
              <w:bottom w:val="nil"/>
              <w:right w:val="nil"/>
            </w:tcBorders>
          </w:tcPr>
          <w:p w14:paraId="1C44F729"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0.414**</w:t>
            </w:r>
          </w:p>
        </w:tc>
        <w:tc>
          <w:tcPr>
            <w:tcW w:w="2160" w:type="dxa"/>
            <w:tcBorders>
              <w:top w:val="nil"/>
              <w:left w:val="nil"/>
              <w:bottom w:val="nil"/>
              <w:right w:val="nil"/>
            </w:tcBorders>
          </w:tcPr>
          <w:p w14:paraId="1CCA9D0A"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0.409**</w:t>
            </w:r>
          </w:p>
        </w:tc>
        <w:tc>
          <w:tcPr>
            <w:tcW w:w="2160" w:type="dxa"/>
            <w:tcBorders>
              <w:top w:val="nil"/>
              <w:left w:val="nil"/>
              <w:bottom w:val="nil"/>
              <w:right w:val="nil"/>
            </w:tcBorders>
          </w:tcPr>
          <w:p w14:paraId="23F74481"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0.368**</w:t>
            </w:r>
          </w:p>
        </w:tc>
      </w:tr>
      <w:tr w:rsidR="00DC0E2E" w14:paraId="73719826" w14:textId="77777777" w:rsidTr="00B21EED">
        <w:tblPrEx>
          <w:tblCellMar>
            <w:top w:w="0" w:type="dxa"/>
            <w:bottom w:w="0" w:type="dxa"/>
          </w:tblCellMar>
        </w:tblPrEx>
        <w:trPr>
          <w:jc w:val="center"/>
        </w:trPr>
        <w:tc>
          <w:tcPr>
            <w:tcW w:w="1515" w:type="dxa"/>
            <w:tcBorders>
              <w:top w:val="nil"/>
              <w:left w:val="nil"/>
              <w:bottom w:val="nil"/>
              <w:right w:val="nil"/>
            </w:tcBorders>
          </w:tcPr>
          <w:p w14:paraId="3E05BE9D"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nil"/>
              <w:left w:val="nil"/>
              <w:bottom w:val="nil"/>
              <w:right w:val="nil"/>
            </w:tcBorders>
          </w:tcPr>
          <w:p w14:paraId="7D6E5EDA"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(0.028)</w:t>
            </w:r>
          </w:p>
        </w:tc>
        <w:tc>
          <w:tcPr>
            <w:tcW w:w="2160" w:type="dxa"/>
            <w:tcBorders>
              <w:top w:val="nil"/>
              <w:left w:val="nil"/>
              <w:bottom w:val="nil"/>
              <w:right w:val="nil"/>
            </w:tcBorders>
          </w:tcPr>
          <w:p w14:paraId="0E39DEE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(0.029)</w:t>
            </w:r>
          </w:p>
        </w:tc>
        <w:tc>
          <w:tcPr>
            <w:tcW w:w="2160" w:type="dxa"/>
            <w:tcBorders>
              <w:top w:val="nil"/>
              <w:left w:val="nil"/>
              <w:bottom w:val="nil"/>
              <w:right w:val="nil"/>
            </w:tcBorders>
          </w:tcPr>
          <w:p w14:paraId="5D28708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(0.028)</w:t>
            </w:r>
          </w:p>
        </w:tc>
      </w:tr>
      <w:tr w:rsidR="00DC0E2E" w14:paraId="2AB37B4A" w14:textId="77777777" w:rsidTr="00B21EED">
        <w:tblPrEx>
          <w:tblCellMar>
            <w:top w:w="0" w:type="dxa"/>
            <w:bottom w:w="0" w:type="dxa"/>
          </w:tblCellMar>
        </w:tblPrEx>
        <w:trPr>
          <w:jc w:val="center"/>
        </w:trPr>
        <w:tc>
          <w:tcPr>
            <w:tcW w:w="1515" w:type="dxa"/>
            <w:tcBorders>
              <w:top w:val="nil"/>
              <w:left w:val="nil"/>
              <w:bottom w:val="nil"/>
              <w:right w:val="nil"/>
            </w:tcBorders>
          </w:tcPr>
          <w:p w14:paraId="67E6D0FB"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nil"/>
              <w:left w:val="nil"/>
              <w:bottom w:val="nil"/>
              <w:right w:val="nil"/>
            </w:tcBorders>
          </w:tcPr>
          <w:p w14:paraId="1CEC0BAC"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26887AD6"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5CDD23CE"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C0E2E" w14:paraId="55FDE6AA" w14:textId="77777777" w:rsidTr="00B21EED">
        <w:tblPrEx>
          <w:tblBorders>
            <w:bottom w:val="single" w:sz="6" w:space="0" w:color="auto"/>
          </w:tblBorders>
          <w:tblCellMar>
            <w:top w:w="0" w:type="dxa"/>
            <w:bottom w:w="0" w:type="dxa"/>
          </w:tblCellMar>
        </w:tblPrEx>
        <w:trPr>
          <w:jc w:val="center"/>
        </w:trPr>
        <w:tc>
          <w:tcPr>
            <w:tcW w:w="1515" w:type="dxa"/>
            <w:tcBorders>
              <w:top w:val="nil"/>
              <w:left w:val="nil"/>
              <w:bottom w:val="single" w:sz="6" w:space="0" w:color="auto"/>
              <w:right w:val="nil"/>
            </w:tcBorders>
          </w:tcPr>
          <w:p w14:paraId="428D9D79"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2160" w:type="dxa"/>
            <w:tcBorders>
              <w:top w:val="nil"/>
              <w:left w:val="nil"/>
              <w:bottom w:val="single" w:sz="6" w:space="0" w:color="auto"/>
              <w:right w:val="nil"/>
            </w:tcBorders>
          </w:tcPr>
          <w:p w14:paraId="4DDF11C2"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0.562</w:t>
            </w:r>
          </w:p>
        </w:tc>
        <w:tc>
          <w:tcPr>
            <w:tcW w:w="2160" w:type="dxa"/>
            <w:tcBorders>
              <w:top w:val="nil"/>
              <w:left w:val="nil"/>
              <w:bottom w:val="single" w:sz="6" w:space="0" w:color="auto"/>
              <w:right w:val="nil"/>
            </w:tcBorders>
          </w:tcPr>
          <w:p w14:paraId="01B92169"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0.563</w:t>
            </w:r>
          </w:p>
        </w:tc>
        <w:tc>
          <w:tcPr>
            <w:tcW w:w="2160" w:type="dxa"/>
            <w:tcBorders>
              <w:top w:val="nil"/>
              <w:left w:val="nil"/>
              <w:bottom w:val="single" w:sz="6" w:space="0" w:color="auto"/>
              <w:right w:val="nil"/>
            </w:tcBorders>
          </w:tcPr>
          <w:p w14:paraId="36437C22"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0.569</w:t>
            </w:r>
          </w:p>
        </w:tc>
      </w:tr>
    </w:tbl>
    <w:p w14:paraId="0886EF16" w14:textId="77777777" w:rsidR="00DC0E2E" w:rsidRDefault="00DC0E2E" w:rsidP="00DC0E2E">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Robust standard errors in parentheses</w:t>
      </w:r>
    </w:p>
    <w:p w14:paraId="3B8EE4FA" w14:textId="77777777" w:rsidR="00DC0E2E" w:rsidRDefault="00DC0E2E" w:rsidP="00DC0E2E">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p&lt;0.01, * p&lt;0.10</w:t>
      </w:r>
    </w:p>
    <w:p w14:paraId="19CC19F6" w14:textId="77777777" w:rsidR="00DC0E2E" w:rsidRDefault="00DC0E2E" w:rsidP="0060233A">
      <w:pPr>
        <w:jc w:val="both"/>
      </w:pPr>
    </w:p>
    <w:p w14:paraId="6DCA6692" w14:textId="0C8F5BD0" w:rsidR="00DC0E2E" w:rsidRDefault="00DC0E2E" w:rsidP="0060233A">
      <w:pPr>
        <w:jc w:val="both"/>
      </w:pPr>
      <w:r>
        <w:lastRenderedPageBreak/>
        <w:t>Table 4:</w:t>
      </w:r>
    </w:p>
    <w:tbl>
      <w:tblPr>
        <w:tblW w:w="0" w:type="auto"/>
        <w:jc w:val="center"/>
        <w:tblLayout w:type="fixed"/>
        <w:tblCellMar>
          <w:left w:w="75" w:type="dxa"/>
          <w:right w:w="75" w:type="dxa"/>
        </w:tblCellMar>
        <w:tblLook w:val="0000" w:firstRow="0" w:lastRow="0" w:firstColumn="0" w:lastColumn="0" w:noHBand="0" w:noVBand="0"/>
      </w:tblPr>
      <w:tblGrid>
        <w:gridCol w:w="1515"/>
        <w:gridCol w:w="2160"/>
        <w:gridCol w:w="2160"/>
        <w:gridCol w:w="2160"/>
      </w:tblGrid>
      <w:tr w:rsidR="00DC0E2E" w14:paraId="367319D5" w14:textId="77777777" w:rsidTr="00B21EED">
        <w:tblPrEx>
          <w:tblCellMar>
            <w:top w:w="0" w:type="dxa"/>
            <w:bottom w:w="0" w:type="dxa"/>
          </w:tblCellMar>
        </w:tblPrEx>
        <w:trPr>
          <w:jc w:val="center"/>
        </w:trPr>
        <w:tc>
          <w:tcPr>
            <w:tcW w:w="1515" w:type="dxa"/>
            <w:tcBorders>
              <w:top w:val="single" w:sz="6" w:space="0" w:color="auto"/>
              <w:left w:val="nil"/>
              <w:bottom w:val="nil"/>
              <w:right w:val="nil"/>
            </w:tcBorders>
          </w:tcPr>
          <w:p w14:paraId="4D3970E1"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single" w:sz="6" w:space="0" w:color="auto"/>
              <w:left w:val="nil"/>
              <w:bottom w:val="nil"/>
              <w:right w:val="nil"/>
            </w:tcBorders>
          </w:tcPr>
          <w:p w14:paraId="2FAC3DFB"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160" w:type="dxa"/>
            <w:tcBorders>
              <w:top w:val="single" w:sz="6" w:space="0" w:color="auto"/>
              <w:left w:val="nil"/>
              <w:bottom w:val="nil"/>
              <w:right w:val="nil"/>
            </w:tcBorders>
          </w:tcPr>
          <w:p w14:paraId="7DD2A2A4"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160" w:type="dxa"/>
            <w:tcBorders>
              <w:top w:val="single" w:sz="6" w:space="0" w:color="auto"/>
              <w:left w:val="nil"/>
              <w:bottom w:val="nil"/>
              <w:right w:val="nil"/>
            </w:tcBorders>
          </w:tcPr>
          <w:p w14:paraId="14B67354"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DC0E2E" w14:paraId="1E6A9002" w14:textId="77777777" w:rsidTr="00B21EED">
        <w:tblPrEx>
          <w:tblCellMar>
            <w:top w:w="0" w:type="dxa"/>
            <w:bottom w:w="0" w:type="dxa"/>
          </w:tblCellMar>
        </w:tblPrEx>
        <w:trPr>
          <w:jc w:val="center"/>
        </w:trPr>
        <w:tc>
          <w:tcPr>
            <w:tcW w:w="1515" w:type="dxa"/>
            <w:tcBorders>
              <w:top w:val="nil"/>
              <w:left w:val="nil"/>
              <w:bottom w:val="single" w:sz="6" w:space="0" w:color="auto"/>
              <w:right w:val="nil"/>
            </w:tcBorders>
          </w:tcPr>
          <w:p w14:paraId="78B2E2AF"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2160" w:type="dxa"/>
            <w:tcBorders>
              <w:top w:val="nil"/>
              <w:left w:val="nil"/>
              <w:bottom w:val="single" w:sz="6" w:space="0" w:color="auto"/>
              <w:right w:val="nil"/>
            </w:tcBorders>
          </w:tcPr>
          <w:p w14:paraId="01AF3968"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N=1</w:t>
            </w:r>
          </w:p>
        </w:tc>
        <w:tc>
          <w:tcPr>
            <w:tcW w:w="2160" w:type="dxa"/>
            <w:tcBorders>
              <w:top w:val="nil"/>
              <w:left w:val="nil"/>
              <w:bottom w:val="single" w:sz="6" w:space="0" w:color="auto"/>
              <w:right w:val="nil"/>
            </w:tcBorders>
          </w:tcPr>
          <w:p w14:paraId="3A39F890"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N=2</w:t>
            </w:r>
          </w:p>
        </w:tc>
        <w:tc>
          <w:tcPr>
            <w:tcW w:w="2160" w:type="dxa"/>
            <w:tcBorders>
              <w:top w:val="nil"/>
              <w:left w:val="nil"/>
              <w:bottom w:val="single" w:sz="6" w:space="0" w:color="auto"/>
              <w:right w:val="nil"/>
            </w:tcBorders>
          </w:tcPr>
          <w:p w14:paraId="5D01857A"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N=3</w:t>
            </w:r>
          </w:p>
        </w:tc>
      </w:tr>
      <w:tr w:rsidR="00DC0E2E" w14:paraId="1FB020BA" w14:textId="77777777" w:rsidTr="00B21EED">
        <w:tblPrEx>
          <w:tblCellMar>
            <w:top w:w="0" w:type="dxa"/>
            <w:bottom w:w="0" w:type="dxa"/>
          </w:tblCellMar>
        </w:tblPrEx>
        <w:trPr>
          <w:jc w:val="center"/>
        </w:trPr>
        <w:tc>
          <w:tcPr>
            <w:tcW w:w="1515" w:type="dxa"/>
            <w:tcBorders>
              <w:top w:val="nil"/>
              <w:left w:val="nil"/>
              <w:bottom w:val="nil"/>
              <w:right w:val="nil"/>
            </w:tcBorders>
          </w:tcPr>
          <w:p w14:paraId="79236BC6"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nil"/>
              <w:left w:val="nil"/>
              <w:bottom w:val="nil"/>
              <w:right w:val="nil"/>
            </w:tcBorders>
          </w:tcPr>
          <w:p w14:paraId="5EEA7CF8"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64C9219D"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131B76FA"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C0E2E" w14:paraId="1B4CA6DE" w14:textId="77777777" w:rsidTr="00B21EED">
        <w:tblPrEx>
          <w:tblCellMar>
            <w:top w:w="0" w:type="dxa"/>
            <w:bottom w:w="0" w:type="dxa"/>
          </w:tblCellMar>
        </w:tblPrEx>
        <w:trPr>
          <w:jc w:val="center"/>
        </w:trPr>
        <w:tc>
          <w:tcPr>
            <w:tcW w:w="1515" w:type="dxa"/>
            <w:tcBorders>
              <w:top w:val="nil"/>
              <w:left w:val="nil"/>
              <w:bottom w:val="nil"/>
              <w:right w:val="nil"/>
            </w:tcBorders>
          </w:tcPr>
          <w:p w14:paraId="42E4331F"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pas</w:t>
            </w:r>
          </w:p>
        </w:tc>
        <w:tc>
          <w:tcPr>
            <w:tcW w:w="2160" w:type="dxa"/>
            <w:tcBorders>
              <w:top w:val="nil"/>
              <w:left w:val="nil"/>
              <w:bottom w:val="nil"/>
              <w:right w:val="nil"/>
            </w:tcBorders>
          </w:tcPr>
          <w:p w14:paraId="478A04E7"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0.112**</w:t>
            </w:r>
          </w:p>
        </w:tc>
        <w:tc>
          <w:tcPr>
            <w:tcW w:w="2160" w:type="dxa"/>
            <w:tcBorders>
              <w:top w:val="nil"/>
              <w:left w:val="nil"/>
              <w:bottom w:val="nil"/>
              <w:right w:val="nil"/>
            </w:tcBorders>
          </w:tcPr>
          <w:p w14:paraId="14EAE730"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0.112**</w:t>
            </w:r>
          </w:p>
        </w:tc>
        <w:tc>
          <w:tcPr>
            <w:tcW w:w="2160" w:type="dxa"/>
            <w:tcBorders>
              <w:top w:val="nil"/>
              <w:left w:val="nil"/>
              <w:bottom w:val="nil"/>
              <w:right w:val="nil"/>
            </w:tcBorders>
          </w:tcPr>
          <w:p w14:paraId="12B3EB0A"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0.104**</w:t>
            </w:r>
          </w:p>
        </w:tc>
      </w:tr>
      <w:tr w:rsidR="00DC0E2E" w14:paraId="203A2E03" w14:textId="77777777" w:rsidTr="00B21EED">
        <w:tblPrEx>
          <w:tblCellMar>
            <w:top w:w="0" w:type="dxa"/>
            <w:bottom w:w="0" w:type="dxa"/>
          </w:tblCellMar>
        </w:tblPrEx>
        <w:trPr>
          <w:jc w:val="center"/>
        </w:trPr>
        <w:tc>
          <w:tcPr>
            <w:tcW w:w="1515" w:type="dxa"/>
            <w:tcBorders>
              <w:top w:val="nil"/>
              <w:left w:val="nil"/>
              <w:bottom w:val="nil"/>
              <w:right w:val="nil"/>
            </w:tcBorders>
          </w:tcPr>
          <w:p w14:paraId="66AA4A05"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nil"/>
              <w:left w:val="nil"/>
              <w:bottom w:val="nil"/>
              <w:right w:val="nil"/>
            </w:tcBorders>
          </w:tcPr>
          <w:p w14:paraId="2DE6849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(0.028)</w:t>
            </w:r>
          </w:p>
        </w:tc>
        <w:tc>
          <w:tcPr>
            <w:tcW w:w="2160" w:type="dxa"/>
            <w:tcBorders>
              <w:top w:val="nil"/>
              <w:left w:val="nil"/>
              <w:bottom w:val="nil"/>
              <w:right w:val="nil"/>
            </w:tcBorders>
          </w:tcPr>
          <w:p w14:paraId="7F78BE4F"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(0.028)</w:t>
            </w:r>
          </w:p>
        </w:tc>
        <w:tc>
          <w:tcPr>
            <w:tcW w:w="2160" w:type="dxa"/>
            <w:tcBorders>
              <w:top w:val="nil"/>
              <w:left w:val="nil"/>
              <w:bottom w:val="nil"/>
              <w:right w:val="nil"/>
            </w:tcBorders>
          </w:tcPr>
          <w:p w14:paraId="5629E4C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(0.030)</w:t>
            </w:r>
          </w:p>
        </w:tc>
      </w:tr>
      <w:tr w:rsidR="00DC0E2E" w14:paraId="5B3464C8" w14:textId="77777777" w:rsidTr="00B21EED">
        <w:tblPrEx>
          <w:tblCellMar>
            <w:top w:w="0" w:type="dxa"/>
            <w:bottom w:w="0" w:type="dxa"/>
          </w:tblCellMar>
        </w:tblPrEx>
        <w:trPr>
          <w:jc w:val="center"/>
        </w:trPr>
        <w:tc>
          <w:tcPr>
            <w:tcW w:w="1515" w:type="dxa"/>
            <w:tcBorders>
              <w:top w:val="nil"/>
              <w:left w:val="nil"/>
              <w:bottom w:val="nil"/>
              <w:right w:val="nil"/>
            </w:tcBorders>
          </w:tcPr>
          <w:p w14:paraId="7303F7C3"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nil"/>
              <w:left w:val="nil"/>
              <w:bottom w:val="nil"/>
              <w:right w:val="nil"/>
            </w:tcBorders>
          </w:tcPr>
          <w:p w14:paraId="7A44E966"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40BAEE1C"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5E4D6BFB"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C0E2E" w14:paraId="70C17D20" w14:textId="77777777" w:rsidTr="00B21EED">
        <w:tblPrEx>
          <w:tblCellMar>
            <w:top w:w="0" w:type="dxa"/>
            <w:bottom w:w="0" w:type="dxa"/>
          </w:tblCellMar>
        </w:tblPrEx>
        <w:trPr>
          <w:jc w:val="center"/>
        </w:trPr>
        <w:tc>
          <w:tcPr>
            <w:tcW w:w="1515" w:type="dxa"/>
            <w:tcBorders>
              <w:top w:val="nil"/>
              <w:left w:val="nil"/>
              <w:bottom w:val="nil"/>
              <w:right w:val="nil"/>
            </w:tcBorders>
          </w:tcPr>
          <w:p w14:paraId="040B3C61"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nil"/>
              <w:left w:val="nil"/>
              <w:bottom w:val="nil"/>
              <w:right w:val="nil"/>
            </w:tcBorders>
          </w:tcPr>
          <w:p w14:paraId="3E18020C"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3A1351AA"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1230AF4B"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C0E2E" w14:paraId="016E63EB" w14:textId="77777777" w:rsidTr="00B21EED">
        <w:tblPrEx>
          <w:tblCellMar>
            <w:top w:w="0" w:type="dxa"/>
            <w:bottom w:w="0" w:type="dxa"/>
          </w:tblCellMar>
        </w:tblPrEx>
        <w:trPr>
          <w:jc w:val="center"/>
        </w:trPr>
        <w:tc>
          <w:tcPr>
            <w:tcW w:w="1515" w:type="dxa"/>
            <w:tcBorders>
              <w:top w:val="nil"/>
              <w:left w:val="nil"/>
              <w:bottom w:val="single" w:sz="6" w:space="0" w:color="auto"/>
              <w:right w:val="nil"/>
            </w:tcBorders>
          </w:tcPr>
          <w:p w14:paraId="49EA2D42"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2160" w:type="dxa"/>
            <w:tcBorders>
              <w:top w:val="nil"/>
              <w:left w:val="nil"/>
              <w:bottom w:val="single" w:sz="6" w:space="0" w:color="auto"/>
              <w:right w:val="nil"/>
            </w:tcBorders>
          </w:tcPr>
          <w:p w14:paraId="37D727E6"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0.106</w:t>
            </w:r>
          </w:p>
        </w:tc>
        <w:tc>
          <w:tcPr>
            <w:tcW w:w="2160" w:type="dxa"/>
            <w:tcBorders>
              <w:top w:val="nil"/>
              <w:left w:val="nil"/>
              <w:bottom w:val="single" w:sz="6" w:space="0" w:color="auto"/>
              <w:right w:val="nil"/>
            </w:tcBorders>
          </w:tcPr>
          <w:p w14:paraId="5422841C"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0.105</w:t>
            </w:r>
          </w:p>
        </w:tc>
        <w:tc>
          <w:tcPr>
            <w:tcW w:w="2160" w:type="dxa"/>
            <w:tcBorders>
              <w:top w:val="nil"/>
              <w:left w:val="nil"/>
              <w:bottom w:val="single" w:sz="6" w:space="0" w:color="auto"/>
              <w:right w:val="nil"/>
            </w:tcBorders>
          </w:tcPr>
          <w:p w14:paraId="4B33130B"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0.120</w:t>
            </w:r>
          </w:p>
        </w:tc>
      </w:tr>
      <w:tr w:rsidR="00DC0E2E" w14:paraId="13BC25BB" w14:textId="77777777" w:rsidTr="00B21EED">
        <w:tblPrEx>
          <w:tblBorders>
            <w:bottom w:val="single" w:sz="6" w:space="0" w:color="auto"/>
          </w:tblBorders>
          <w:tblCellMar>
            <w:top w:w="0" w:type="dxa"/>
            <w:bottom w:w="0" w:type="dxa"/>
          </w:tblCellMar>
        </w:tblPrEx>
        <w:trPr>
          <w:jc w:val="center"/>
        </w:trPr>
        <w:tc>
          <w:tcPr>
            <w:tcW w:w="1515" w:type="dxa"/>
            <w:tcBorders>
              <w:top w:val="nil"/>
              <w:left w:val="nil"/>
              <w:bottom w:val="single" w:sz="6" w:space="0" w:color="auto"/>
              <w:right w:val="nil"/>
            </w:tcBorders>
          </w:tcPr>
          <w:p w14:paraId="02FBD676"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nil"/>
              <w:left w:val="nil"/>
              <w:bottom w:val="single" w:sz="6" w:space="0" w:color="auto"/>
              <w:right w:val="nil"/>
            </w:tcBorders>
          </w:tcPr>
          <w:p w14:paraId="125F272A"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single" w:sz="6" w:space="0" w:color="auto"/>
              <w:right w:val="nil"/>
            </w:tcBorders>
          </w:tcPr>
          <w:p w14:paraId="676E415E"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single" w:sz="6" w:space="0" w:color="auto"/>
              <w:right w:val="nil"/>
            </w:tcBorders>
          </w:tcPr>
          <w:p w14:paraId="0BCEB32B"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bl>
    <w:p w14:paraId="340037BF" w14:textId="77777777" w:rsidR="00DC0E2E" w:rsidRDefault="00DC0E2E" w:rsidP="00DC0E2E">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Robust standard errors in parentheses</w:t>
      </w:r>
    </w:p>
    <w:p w14:paraId="5A2862CA" w14:textId="77777777" w:rsidR="00DC0E2E" w:rsidRDefault="00DC0E2E" w:rsidP="00DC0E2E">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p&lt;0.01, * p&lt;0.10</w:t>
      </w:r>
    </w:p>
    <w:p w14:paraId="0A75897E" w14:textId="77777777" w:rsidR="00DC0E2E" w:rsidRDefault="00DC0E2E" w:rsidP="00DC0E2E">
      <w:pPr>
        <w:widowControl w:val="0"/>
        <w:autoSpaceDE w:val="0"/>
        <w:autoSpaceDN w:val="0"/>
        <w:adjustRightInd w:val="0"/>
        <w:spacing w:after="0" w:line="240" w:lineRule="auto"/>
        <w:jc w:val="center"/>
        <w:rPr>
          <w:rFonts w:ascii="Times New Roman" w:hAnsi="Times New Roman" w:cs="Times New Roman"/>
          <w:kern w:val="0"/>
          <w:sz w:val="24"/>
          <w:szCs w:val="24"/>
        </w:rPr>
      </w:pPr>
    </w:p>
    <w:p w14:paraId="2C09B058" w14:textId="77777777" w:rsidR="00DC0E2E" w:rsidRDefault="00DC0E2E" w:rsidP="0060233A">
      <w:pPr>
        <w:jc w:val="both"/>
      </w:pPr>
    </w:p>
    <w:p w14:paraId="5B4E8E33" w14:textId="0B2E5C16" w:rsidR="00DC0E2E" w:rsidRDefault="00DC0E2E" w:rsidP="0060233A">
      <w:pPr>
        <w:jc w:val="both"/>
      </w:pPr>
      <w:r>
        <w:t>Table 5:</w:t>
      </w:r>
    </w:p>
    <w:tbl>
      <w:tblPr>
        <w:tblW w:w="10543" w:type="dxa"/>
        <w:jc w:val="center"/>
        <w:tblLayout w:type="fixed"/>
        <w:tblCellMar>
          <w:left w:w="75" w:type="dxa"/>
          <w:right w:w="75" w:type="dxa"/>
        </w:tblCellMar>
        <w:tblLook w:val="0000" w:firstRow="0" w:lastRow="0" w:firstColumn="0" w:lastColumn="0" w:noHBand="0" w:noVBand="0"/>
      </w:tblPr>
      <w:tblGrid>
        <w:gridCol w:w="1465"/>
        <w:gridCol w:w="1513"/>
        <w:gridCol w:w="1513"/>
        <w:gridCol w:w="1513"/>
        <w:gridCol w:w="1513"/>
        <w:gridCol w:w="1513"/>
        <w:gridCol w:w="1513"/>
      </w:tblGrid>
      <w:tr w:rsidR="00DC0E2E" w14:paraId="142AFC24" w14:textId="77777777" w:rsidTr="00B21EED">
        <w:tblPrEx>
          <w:tblCellMar>
            <w:top w:w="0" w:type="dxa"/>
            <w:bottom w:w="0" w:type="dxa"/>
          </w:tblCellMar>
        </w:tblPrEx>
        <w:trPr>
          <w:trHeight w:val="248"/>
          <w:jc w:val="center"/>
        </w:trPr>
        <w:tc>
          <w:tcPr>
            <w:tcW w:w="1465" w:type="dxa"/>
            <w:tcBorders>
              <w:top w:val="single" w:sz="6" w:space="0" w:color="auto"/>
              <w:left w:val="nil"/>
              <w:bottom w:val="nil"/>
              <w:right w:val="nil"/>
            </w:tcBorders>
          </w:tcPr>
          <w:p w14:paraId="0E86EF5D"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1513" w:type="dxa"/>
            <w:tcBorders>
              <w:top w:val="single" w:sz="6" w:space="0" w:color="auto"/>
              <w:left w:val="nil"/>
              <w:bottom w:val="nil"/>
              <w:right w:val="nil"/>
            </w:tcBorders>
          </w:tcPr>
          <w:p w14:paraId="69997210"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513" w:type="dxa"/>
            <w:tcBorders>
              <w:top w:val="single" w:sz="6" w:space="0" w:color="auto"/>
              <w:left w:val="nil"/>
              <w:bottom w:val="nil"/>
              <w:right w:val="nil"/>
            </w:tcBorders>
          </w:tcPr>
          <w:p w14:paraId="3EB9C141"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513" w:type="dxa"/>
            <w:tcBorders>
              <w:top w:val="single" w:sz="6" w:space="0" w:color="auto"/>
              <w:left w:val="nil"/>
              <w:bottom w:val="nil"/>
              <w:right w:val="nil"/>
            </w:tcBorders>
          </w:tcPr>
          <w:p w14:paraId="7737B499"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1513" w:type="dxa"/>
            <w:tcBorders>
              <w:top w:val="single" w:sz="6" w:space="0" w:color="auto"/>
              <w:left w:val="nil"/>
              <w:bottom w:val="nil"/>
              <w:right w:val="nil"/>
            </w:tcBorders>
          </w:tcPr>
          <w:p w14:paraId="2F18578E"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w:t>
            </w:r>
          </w:p>
        </w:tc>
        <w:tc>
          <w:tcPr>
            <w:tcW w:w="1513" w:type="dxa"/>
            <w:tcBorders>
              <w:top w:val="single" w:sz="6" w:space="0" w:color="auto"/>
              <w:left w:val="nil"/>
              <w:bottom w:val="nil"/>
              <w:right w:val="nil"/>
            </w:tcBorders>
          </w:tcPr>
          <w:p w14:paraId="53E3B3BB"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(5)</w:t>
            </w:r>
          </w:p>
        </w:tc>
        <w:tc>
          <w:tcPr>
            <w:tcW w:w="1513" w:type="dxa"/>
            <w:tcBorders>
              <w:top w:val="single" w:sz="6" w:space="0" w:color="auto"/>
              <w:left w:val="nil"/>
              <w:bottom w:val="nil"/>
              <w:right w:val="nil"/>
            </w:tcBorders>
          </w:tcPr>
          <w:p w14:paraId="6173024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(6)</w:t>
            </w:r>
          </w:p>
        </w:tc>
      </w:tr>
      <w:tr w:rsidR="00DC0E2E" w14:paraId="795AB5D5" w14:textId="77777777" w:rsidTr="00B21EED">
        <w:tblPrEx>
          <w:tblCellMar>
            <w:top w:w="0" w:type="dxa"/>
            <w:bottom w:w="0" w:type="dxa"/>
          </w:tblCellMar>
        </w:tblPrEx>
        <w:trPr>
          <w:trHeight w:val="248"/>
          <w:jc w:val="center"/>
        </w:trPr>
        <w:tc>
          <w:tcPr>
            <w:tcW w:w="1465" w:type="dxa"/>
            <w:tcBorders>
              <w:top w:val="nil"/>
              <w:left w:val="nil"/>
              <w:bottom w:val="single" w:sz="6" w:space="0" w:color="auto"/>
              <w:right w:val="nil"/>
            </w:tcBorders>
          </w:tcPr>
          <w:p w14:paraId="5017BA35"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513" w:type="dxa"/>
            <w:tcBorders>
              <w:top w:val="nil"/>
              <w:left w:val="nil"/>
              <w:bottom w:val="single" w:sz="6" w:space="0" w:color="auto"/>
              <w:right w:val="nil"/>
            </w:tcBorders>
          </w:tcPr>
          <w:p w14:paraId="394F67E2"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N=1</w:t>
            </w:r>
          </w:p>
        </w:tc>
        <w:tc>
          <w:tcPr>
            <w:tcW w:w="1513" w:type="dxa"/>
            <w:tcBorders>
              <w:top w:val="nil"/>
              <w:left w:val="nil"/>
              <w:bottom w:val="single" w:sz="6" w:space="0" w:color="auto"/>
              <w:right w:val="nil"/>
            </w:tcBorders>
          </w:tcPr>
          <w:p w14:paraId="365120C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N=2</w:t>
            </w:r>
          </w:p>
        </w:tc>
        <w:tc>
          <w:tcPr>
            <w:tcW w:w="1513" w:type="dxa"/>
            <w:tcBorders>
              <w:top w:val="nil"/>
              <w:left w:val="nil"/>
              <w:bottom w:val="single" w:sz="6" w:space="0" w:color="auto"/>
              <w:right w:val="nil"/>
            </w:tcBorders>
          </w:tcPr>
          <w:p w14:paraId="6162ECF9"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N=3</w:t>
            </w:r>
          </w:p>
        </w:tc>
        <w:tc>
          <w:tcPr>
            <w:tcW w:w="1513" w:type="dxa"/>
            <w:tcBorders>
              <w:top w:val="nil"/>
              <w:left w:val="nil"/>
              <w:bottom w:val="single" w:sz="6" w:space="0" w:color="auto"/>
              <w:right w:val="nil"/>
            </w:tcBorders>
          </w:tcPr>
          <w:p w14:paraId="2B29EA4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N=1</w:t>
            </w:r>
          </w:p>
        </w:tc>
        <w:tc>
          <w:tcPr>
            <w:tcW w:w="1513" w:type="dxa"/>
            <w:tcBorders>
              <w:top w:val="nil"/>
              <w:left w:val="nil"/>
              <w:bottom w:val="single" w:sz="6" w:space="0" w:color="auto"/>
              <w:right w:val="nil"/>
            </w:tcBorders>
          </w:tcPr>
          <w:p w14:paraId="020D1C6E"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N=2</w:t>
            </w:r>
          </w:p>
        </w:tc>
        <w:tc>
          <w:tcPr>
            <w:tcW w:w="1513" w:type="dxa"/>
            <w:tcBorders>
              <w:top w:val="nil"/>
              <w:left w:val="nil"/>
              <w:bottom w:val="single" w:sz="6" w:space="0" w:color="auto"/>
              <w:right w:val="nil"/>
            </w:tcBorders>
          </w:tcPr>
          <w:p w14:paraId="4C0866C0"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N=3</w:t>
            </w:r>
          </w:p>
        </w:tc>
      </w:tr>
      <w:tr w:rsidR="00DC0E2E" w14:paraId="6915E46F" w14:textId="77777777" w:rsidTr="00B21EED">
        <w:tblPrEx>
          <w:tblCellMar>
            <w:top w:w="0" w:type="dxa"/>
            <w:bottom w:w="0" w:type="dxa"/>
          </w:tblCellMar>
        </w:tblPrEx>
        <w:trPr>
          <w:trHeight w:val="248"/>
          <w:jc w:val="center"/>
        </w:trPr>
        <w:tc>
          <w:tcPr>
            <w:tcW w:w="1465" w:type="dxa"/>
            <w:tcBorders>
              <w:top w:val="nil"/>
              <w:left w:val="nil"/>
              <w:bottom w:val="nil"/>
              <w:right w:val="nil"/>
            </w:tcBorders>
          </w:tcPr>
          <w:p w14:paraId="27FE944E"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1513" w:type="dxa"/>
            <w:tcBorders>
              <w:top w:val="nil"/>
              <w:left w:val="nil"/>
              <w:bottom w:val="nil"/>
              <w:right w:val="nil"/>
            </w:tcBorders>
          </w:tcPr>
          <w:p w14:paraId="6C8C4BC6"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5D43EA28"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117AEADC"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3390A3BC"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4EE62469"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6E0FA410"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C0E2E" w14:paraId="4807F1FB" w14:textId="77777777" w:rsidTr="00B21EED">
        <w:tblPrEx>
          <w:tblCellMar>
            <w:top w:w="0" w:type="dxa"/>
            <w:bottom w:w="0" w:type="dxa"/>
          </w:tblCellMar>
        </w:tblPrEx>
        <w:trPr>
          <w:trHeight w:val="248"/>
          <w:jc w:val="center"/>
        </w:trPr>
        <w:tc>
          <w:tcPr>
            <w:tcW w:w="1465" w:type="dxa"/>
            <w:tcBorders>
              <w:top w:val="nil"/>
              <w:left w:val="nil"/>
              <w:bottom w:val="nil"/>
              <w:right w:val="nil"/>
            </w:tcBorders>
          </w:tcPr>
          <w:p w14:paraId="07E96273"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pas</w:t>
            </w:r>
          </w:p>
        </w:tc>
        <w:tc>
          <w:tcPr>
            <w:tcW w:w="1513" w:type="dxa"/>
            <w:tcBorders>
              <w:top w:val="nil"/>
              <w:left w:val="nil"/>
              <w:bottom w:val="nil"/>
              <w:right w:val="nil"/>
            </w:tcBorders>
          </w:tcPr>
          <w:p w14:paraId="1F728D60"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0.177**</w:t>
            </w:r>
          </w:p>
        </w:tc>
        <w:tc>
          <w:tcPr>
            <w:tcW w:w="1513" w:type="dxa"/>
            <w:tcBorders>
              <w:top w:val="nil"/>
              <w:left w:val="nil"/>
              <w:bottom w:val="nil"/>
              <w:right w:val="nil"/>
            </w:tcBorders>
          </w:tcPr>
          <w:p w14:paraId="08A66D2D"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0.175**</w:t>
            </w:r>
          </w:p>
        </w:tc>
        <w:tc>
          <w:tcPr>
            <w:tcW w:w="1513" w:type="dxa"/>
            <w:tcBorders>
              <w:top w:val="nil"/>
              <w:left w:val="nil"/>
              <w:bottom w:val="nil"/>
              <w:right w:val="nil"/>
            </w:tcBorders>
          </w:tcPr>
          <w:p w14:paraId="73B70DE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0.161*</w:t>
            </w:r>
          </w:p>
        </w:tc>
        <w:tc>
          <w:tcPr>
            <w:tcW w:w="1513" w:type="dxa"/>
            <w:tcBorders>
              <w:top w:val="nil"/>
              <w:left w:val="nil"/>
              <w:bottom w:val="nil"/>
              <w:right w:val="nil"/>
            </w:tcBorders>
          </w:tcPr>
          <w:p w14:paraId="509CED0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0.088**</w:t>
            </w:r>
          </w:p>
        </w:tc>
        <w:tc>
          <w:tcPr>
            <w:tcW w:w="1513" w:type="dxa"/>
            <w:tcBorders>
              <w:top w:val="nil"/>
              <w:left w:val="nil"/>
              <w:bottom w:val="nil"/>
              <w:right w:val="nil"/>
            </w:tcBorders>
          </w:tcPr>
          <w:p w14:paraId="2F3DC92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0.079**</w:t>
            </w:r>
          </w:p>
        </w:tc>
        <w:tc>
          <w:tcPr>
            <w:tcW w:w="1513" w:type="dxa"/>
            <w:tcBorders>
              <w:top w:val="nil"/>
              <w:left w:val="nil"/>
              <w:bottom w:val="nil"/>
              <w:right w:val="nil"/>
            </w:tcBorders>
          </w:tcPr>
          <w:p w14:paraId="705A01E7"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0.079**</w:t>
            </w:r>
          </w:p>
        </w:tc>
      </w:tr>
      <w:tr w:rsidR="00DC0E2E" w14:paraId="34830496" w14:textId="77777777" w:rsidTr="00B21EED">
        <w:tblPrEx>
          <w:tblCellMar>
            <w:top w:w="0" w:type="dxa"/>
            <w:bottom w:w="0" w:type="dxa"/>
          </w:tblCellMar>
        </w:tblPrEx>
        <w:trPr>
          <w:trHeight w:val="248"/>
          <w:jc w:val="center"/>
        </w:trPr>
        <w:tc>
          <w:tcPr>
            <w:tcW w:w="1465" w:type="dxa"/>
            <w:tcBorders>
              <w:top w:val="nil"/>
              <w:left w:val="nil"/>
              <w:bottom w:val="nil"/>
              <w:right w:val="nil"/>
            </w:tcBorders>
          </w:tcPr>
          <w:p w14:paraId="73DAF5C9"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1513" w:type="dxa"/>
            <w:tcBorders>
              <w:top w:val="nil"/>
              <w:left w:val="nil"/>
              <w:bottom w:val="nil"/>
              <w:right w:val="nil"/>
            </w:tcBorders>
          </w:tcPr>
          <w:p w14:paraId="3214046D"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(0.061)</w:t>
            </w:r>
          </w:p>
        </w:tc>
        <w:tc>
          <w:tcPr>
            <w:tcW w:w="1513" w:type="dxa"/>
            <w:tcBorders>
              <w:top w:val="nil"/>
              <w:left w:val="nil"/>
              <w:bottom w:val="nil"/>
              <w:right w:val="nil"/>
            </w:tcBorders>
          </w:tcPr>
          <w:p w14:paraId="44FA8C5C"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(0.061)</w:t>
            </w:r>
          </w:p>
        </w:tc>
        <w:tc>
          <w:tcPr>
            <w:tcW w:w="1513" w:type="dxa"/>
            <w:tcBorders>
              <w:top w:val="nil"/>
              <w:left w:val="nil"/>
              <w:bottom w:val="nil"/>
              <w:right w:val="nil"/>
            </w:tcBorders>
          </w:tcPr>
          <w:p w14:paraId="5AE77931"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(0.063)</w:t>
            </w:r>
          </w:p>
        </w:tc>
        <w:tc>
          <w:tcPr>
            <w:tcW w:w="1513" w:type="dxa"/>
            <w:tcBorders>
              <w:top w:val="nil"/>
              <w:left w:val="nil"/>
              <w:bottom w:val="nil"/>
              <w:right w:val="nil"/>
            </w:tcBorders>
          </w:tcPr>
          <w:p w14:paraId="7D21297C"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(0.026)</w:t>
            </w:r>
          </w:p>
        </w:tc>
        <w:tc>
          <w:tcPr>
            <w:tcW w:w="1513" w:type="dxa"/>
            <w:tcBorders>
              <w:top w:val="nil"/>
              <w:left w:val="nil"/>
              <w:bottom w:val="nil"/>
              <w:right w:val="nil"/>
            </w:tcBorders>
          </w:tcPr>
          <w:p w14:paraId="7C416E5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(0.025)</w:t>
            </w:r>
          </w:p>
        </w:tc>
        <w:tc>
          <w:tcPr>
            <w:tcW w:w="1513" w:type="dxa"/>
            <w:tcBorders>
              <w:top w:val="nil"/>
              <w:left w:val="nil"/>
              <w:bottom w:val="nil"/>
              <w:right w:val="nil"/>
            </w:tcBorders>
          </w:tcPr>
          <w:p w14:paraId="7532AF7B"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(0.025)</w:t>
            </w:r>
          </w:p>
        </w:tc>
      </w:tr>
      <w:tr w:rsidR="00DC0E2E" w14:paraId="5B1179D4" w14:textId="77777777" w:rsidTr="00B21EED">
        <w:tblPrEx>
          <w:tblCellMar>
            <w:top w:w="0" w:type="dxa"/>
            <w:bottom w:w="0" w:type="dxa"/>
          </w:tblCellMar>
        </w:tblPrEx>
        <w:trPr>
          <w:trHeight w:val="248"/>
          <w:jc w:val="center"/>
        </w:trPr>
        <w:tc>
          <w:tcPr>
            <w:tcW w:w="1465" w:type="dxa"/>
            <w:tcBorders>
              <w:top w:val="nil"/>
              <w:left w:val="nil"/>
              <w:bottom w:val="nil"/>
              <w:right w:val="nil"/>
            </w:tcBorders>
          </w:tcPr>
          <w:p w14:paraId="2153AE8F"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1513" w:type="dxa"/>
            <w:tcBorders>
              <w:top w:val="nil"/>
              <w:left w:val="nil"/>
              <w:bottom w:val="nil"/>
              <w:right w:val="nil"/>
            </w:tcBorders>
          </w:tcPr>
          <w:p w14:paraId="225C630A"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4D504E39"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1CD5C78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5053A828"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3466EFE2"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6C0D7369" w14:textId="3A808D18"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C0E2E" w14:paraId="55C236D0" w14:textId="77777777" w:rsidTr="00B21EED">
        <w:tblPrEx>
          <w:tblCellMar>
            <w:top w:w="0" w:type="dxa"/>
            <w:bottom w:w="0" w:type="dxa"/>
          </w:tblCellMar>
        </w:tblPrEx>
        <w:trPr>
          <w:trHeight w:val="248"/>
          <w:jc w:val="center"/>
        </w:trPr>
        <w:tc>
          <w:tcPr>
            <w:tcW w:w="1465" w:type="dxa"/>
            <w:tcBorders>
              <w:top w:val="nil"/>
              <w:left w:val="nil"/>
              <w:bottom w:val="nil"/>
              <w:right w:val="nil"/>
            </w:tcBorders>
          </w:tcPr>
          <w:p w14:paraId="487BAF6E"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1513" w:type="dxa"/>
            <w:tcBorders>
              <w:top w:val="nil"/>
              <w:left w:val="nil"/>
              <w:bottom w:val="nil"/>
              <w:right w:val="nil"/>
            </w:tcBorders>
          </w:tcPr>
          <w:p w14:paraId="4C05DAA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17A18A97"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2B4E817F"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7DCAB947"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6532D852"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13" w:type="dxa"/>
            <w:tcBorders>
              <w:top w:val="nil"/>
              <w:left w:val="nil"/>
              <w:bottom w:val="nil"/>
              <w:right w:val="nil"/>
            </w:tcBorders>
          </w:tcPr>
          <w:p w14:paraId="6AA1A19F"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C0E2E" w14:paraId="29C9DBD2" w14:textId="77777777" w:rsidTr="00B21EED">
        <w:tblPrEx>
          <w:tblBorders>
            <w:bottom w:val="single" w:sz="6" w:space="0" w:color="auto"/>
          </w:tblBorders>
          <w:tblCellMar>
            <w:top w:w="0" w:type="dxa"/>
            <w:bottom w:w="0" w:type="dxa"/>
          </w:tblCellMar>
        </w:tblPrEx>
        <w:trPr>
          <w:trHeight w:val="248"/>
          <w:jc w:val="center"/>
        </w:trPr>
        <w:tc>
          <w:tcPr>
            <w:tcW w:w="1465" w:type="dxa"/>
            <w:tcBorders>
              <w:top w:val="nil"/>
              <w:left w:val="nil"/>
              <w:bottom w:val="single" w:sz="6" w:space="0" w:color="auto"/>
              <w:right w:val="nil"/>
            </w:tcBorders>
          </w:tcPr>
          <w:p w14:paraId="16BDB28A"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513" w:type="dxa"/>
            <w:tcBorders>
              <w:top w:val="nil"/>
              <w:left w:val="nil"/>
              <w:bottom w:val="single" w:sz="6" w:space="0" w:color="auto"/>
              <w:right w:val="nil"/>
            </w:tcBorders>
          </w:tcPr>
          <w:p w14:paraId="06771DF8"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0.070</w:t>
            </w:r>
          </w:p>
        </w:tc>
        <w:tc>
          <w:tcPr>
            <w:tcW w:w="1513" w:type="dxa"/>
            <w:tcBorders>
              <w:top w:val="nil"/>
              <w:left w:val="nil"/>
              <w:bottom w:val="single" w:sz="6" w:space="0" w:color="auto"/>
              <w:right w:val="nil"/>
            </w:tcBorders>
          </w:tcPr>
          <w:p w14:paraId="22C571A9"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0.072</w:t>
            </w:r>
          </w:p>
        </w:tc>
        <w:tc>
          <w:tcPr>
            <w:tcW w:w="1513" w:type="dxa"/>
            <w:tcBorders>
              <w:top w:val="nil"/>
              <w:left w:val="nil"/>
              <w:bottom w:val="single" w:sz="6" w:space="0" w:color="auto"/>
              <w:right w:val="nil"/>
            </w:tcBorders>
          </w:tcPr>
          <w:p w14:paraId="0BA62D9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0.091</w:t>
            </w:r>
          </w:p>
        </w:tc>
        <w:tc>
          <w:tcPr>
            <w:tcW w:w="1513" w:type="dxa"/>
            <w:tcBorders>
              <w:top w:val="nil"/>
              <w:left w:val="nil"/>
              <w:bottom w:val="single" w:sz="6" w:space="0" w:color="auto"/>
              <w:right w:val="nil"/>
            </w:tcBorders>
          </w:tcPr>
          <w:p w14:paraId="012F1754" w14:textId="4BF80FDB" w:rsidR="00DC0E2E" w:rsidRDefault="007B5CE0"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w:t>
            </w:r>
          </w:p>
        </w:tc>
        <w:tc>
          <w:tcPr>
            <w:tcW w:w="1513" w:type="dxa"/>
            <w:tcBorders>
              <w:top w:val="nil"/>
              <w:left w:val="nil"/>
              <w:bottom w:val="single" w:sz="6" w:space="0" w:color="auto"/>
              <w:right w:val="nil"/>
            </w:tcBorders>
          </w:tcPr>
          <w:p w14:paraId="069EAA77"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0.023</w:t>
            </w:r>
          </w:p>
        </w:tc>
        <w:tc>
          <w:tcPr>
            <w:tcW w:w="1513" w:type="dxa"/>
            <w:tcBorders>
              <w:top w:val="nil"/>
              <w:left w:val="nil"/>
              <w:bottom w:val="single" w:sz="6" w:space="0" w:color="auto"/>
              <w:right w:val="nil"/>
            </w:tcBorders>
          </w:tcPr>
          <w:p w14:paraId="0FFE4C82"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0.023</w:t>
            </w:r>
          </w:p>
        </w:tc>
      </w:tr>
    </w:tbl>
    <w:p w14:paraId="4002D186" w14:textId="77777777" w:rsidR="00DC0E2E" w:rsidRDefault="00DC0E2E" w:rsidP="00DC0E2E">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Robust standard errors in parentheses</w:t>
      </w:r>
    </w:p>
    <w:p w14:paraId="61C5780D" w14:textId="77777777" w:rsidR="00DC0E2E" w:rsidRDefault="00DC0E2E" w:rsidP="00DC0E2E">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p&lt;0.01, * p&lt;0.10</w:t>
      </w:r>
    </w:p>
    <w:p w14:paraId="729BE5A2" w14:textId="77777777" w:rsidR="00DC0E2E" w:rsidRDefault="00DC0E2E" w:rsidP="00DC0E2E">
      <w:pPr>
        <w:widowControl w:val="0"/>
        <w:autoSpaceDE w:val="0"/>
        <w:autoSpaceDN w:val="0"/>
        <w:adjustRightInd w:val="0"/>
        <w:spacing w:after="0" w:line="240" w:lineRule="auto"/>
        <w:jc w:val="center"/>
        <w:rPr>
          <w:rFonts w:ascii="Times New Roman" w:hAnsi="Times New Roman" w:cs="Times New Roman"/>
          <w:kern w:val="0"/>
          <w:sz w:val="24"/>
          <w:szCs w:val="24"/>
        </w:rPr>
      </w:pPr>
    </w:p>
    <w:p w14:paraId="38FE4AC3" w14:textId="61F63378" w:rsidR="00DC0E2E" w:rsidRDefault="00DC0E2E" w:rsidP="0060233A">
      <w:pPr>
        <w:jc w:val="both"/>
      </w:pPr>
      <w:r>
        <w:t xml:space="preserve">Table 6: </w:t>
      </w:r>
    </w:p>
    <w:tbl>
      <w:tblPr>
        <w:tblW w:w="10186" w:type="dxa"/>
        <w:jc w:val="center"/>
        <w:tblLayout w:type="fixed"/>
        <w:tblCellMar>
          <w:left w:w="75" w:type="dxa"/>
          <w:right w:w="75" w:type="dxa"/>
        </w:tblCellMar>
        <w:tblLook w:val="0000" w:firstRow="0" w:lastRow="0" w:firstColumn="0" w:lastColumn="0" w:noHBand="0" w:noVBand="0"/>
      </w:tblPr>
      <w:tblGrid>
        <w:gridCol w:w="1066"/>
        <w:gridCol w:w="454"/>
        <w:gridCol w:w="1066"/>
        <w:gridCol w:w="454"/>
        <w:gridCol w:w="1066"/>
        <w:gridCol w:w="454"/>
        <w:gridCol w:w="1066"/>
        <w:gridCol w:w="454"/>
        <w:gridCol w:w="1066"/>
        <w:gridCol w:w="454"/>
        <w:gridCol w:w="1066"/>
        <w:gridCol w:w="454"/>
        <w:gridCol w:w="1066"/>
      </w:tblGrid>
      <w:tr w:rsidR="00DC0E2E" w14:paraId="169DF116" w14:textId="77777777" w:rsidTr="00B21EED">
        <w:tblPrEx>
          <w:tblCellMar>
            <w:top w:w="0" w:type="dxa"/>
            <w:bottom w:w="0" w:type="dxa"/>
          </w:tblCellMar>
        </w:tblPrEx>
        <w:trPr>
          <w:trHeight w:val="258"/>
          <w:jc w:val="center"/>
        </w:trPr>
        <w:tc>
          <w:tcPr>
            <w:tcW w:w="1066" w:type="dxa"/>
            <w:tcBorders>
              <w:top w:val="single" w:sz="6" w:space="0" w:color="auto"/>
              <w:left w:val="nil"/>
              <w:bottom w:val="nil"/>
              <w:right w:val="nil"/>
            </w:tcBorders>
          </w:tcPr>
          <w:p w14:paraId="09A7B1B8"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1520" w:type="dxa"/>
            <w:gridSpan w:val="2"/>
            <w:tcBorders>
              <w:top w:val="single" w:sz="6" w:space="0" w:color="auto"/>
              <w:left w:val="nil"/>
              <w:bottom w:val="nil"/>
              <w:right w:val="nil"/>
            </w:tcBorders>
          </w:tcPr>
          <w:p w14:paraId="01598ED4"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520" w:type="dxa"/>
            <w:gridSpan w:val="2"/>
            <w:tcBorders>
              <w:top w:val="single" w:sz="6" w:space="0" w:color="auto"/>
              <w:left w:val="nil"/>
              <w:bottom w:val="nil"/>
              <w:right w:val="nil"/>
            </w:tcBorders>
          </w:tcPr>
          <w:p w14:paraId="63C90A38"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520" w:type="dxa"/>
            <w:gridSpan w:val="2"/>
            <w:tcBorders>
              <w:top w:val="single" w:sz="6" w:space="0" w:color="auto"/>
              <w:left w:val="nil"/>
              <w:bottom w:val="nil"/>
              <w:right w:val="nil"/>
            </w:tcBorders>
          </w:tcPr>
          <w:p w14:paraId="3299F0D2"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1520" w:type="dxa"/>
            <w:gridSpan w:val="2"/>
            <w:tcBorders>
              <w:top w:val="single" w:sz="6" w:space="0" w:color="auto"/>
              <w:left w:val="nil"/>
              <w:bottom w:val="nil"/>
              <w:right w:val="nil"/>
            </w:tcBorders>
          </w:tcPr>
          <w:p w14:paraId="56B86B80"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w:t>
            </w:r>
          </w:p>
        </w:tc>
        <w:tc>
          <w:tcPr>
            <w:tcW w:w="1520" w:type="dxa"/>
            <w:gridSpan w:val="2"/>
            <w:tcBorders>
              <w:top w:val="single" w:sz="6" w:space="0" w:color="auto"/>
              <w:left w:val="nil"/>
              <w:bottom w:val="nil"/>
              <w:right w:val="nil"/>
            </w:tcBorders>
          </w:tcPr>
          <w:p w14:paraId="7C00E4B7"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(5)</w:t>
            </w:r>
          </w:p>
        </w:tc>
        <w:tc>
          <w:tcPr>
            <w:tcW w:w="1520" w:type="dxa"/>
            <w:gridSpan w:val="2"/>
            <w:tcBorders>
              <w:top w:val="single" w:sz="6" w:space="0" w:color="auto"/>
              <w:left w:val="nil"/>
              <w:bottom w:val="nil"/>
              <w:right w:val="nil"/>
            </w:tcBorders>
          </w:tcPr>
          <w:p w14:paraId="49532ACE"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(6)</w:t>
            </w:r>
          </w:p>
        </w:tc>
      </w:tr>
      <w:tr w:rsidR="00DC0E2E" w14:paraId="5D9C5CF9" w14:textId="77777777" w:rsidTr="00B21EED">
        <w:tblPrEx>
          <w:tblCellMar>
            <w:top w:w="0" w:type="dxa"/>
            <w:bottom w:w="0" w:type="dxa"/>
          </w:tblCellMar>
        </w:tblPrEx>
        <w:trPr>
          <w:trHeight w:val="258"/>
          <w:jc w:val="center"/>
        </w:trPr>
        <w:tc>
          <w:tcPr>
            <w:tcW w:w="1066" w:type="dxa"/>
            <w:tcBorders>
              <w:top w:val="nil"/>
              <w:left w:val="nil"/>
              <w:bottom w:val="single" w:sz="6" w:space="0" w:color="auto"/>
              <w:right w:val="nil"/>
            </w:tcBorders>
          </w:tcPr>
          <w:p w14:paraId="4436A113"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520" w:type="dxa"/>
            <w:gridSpan w:val="2"/>
            <w:tcBorders>
              <w:top w:val="nil"/>
              <w:left w:val="nil"/>
              <w:bottom w:val="single" w:sz="6" w:space="0" w:color="auto"/>
              <w:right w:val="nil"/>
            </w:tcBorders>
          </w:tcPr>
          <w:p w14:paraId="7ECE25B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N=1</w:t>
            </w:r>
          </w:p>
        </w:tc>
        <w:tc>
          <w:tcPr>
            <w:tcW w:w="1520" w:type="dxa"/>
            <w:gridSpan w:val="2"/>
            <w:tcBorders>
              <w:top w:val="nil"/>
              <w:left w:val="nil"/>
              <w:bottom w:val="single" w:sz="6" w:space="0" w:color="auto"/>
              <w:right w:val="nil"/>
            </w:tcBorders>
          </w:tcPr>
          <w:p w14:paraId="45892F06"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N=2</w:t>
            </w:r>
          </w:p>
        </w:tc>
        <w:tc>
          <w:tcPr>
            <w:tcW w:w="1520" w:type="dxa"/>
            <w:gridSpan w:val="2"/>
            <w:tcBorders>
              <w:top w:val="nil"/>
              <w:left w:val="nil"/>
              <w:bottom w:val="single" w:sz="6" w:space="0" w:color="auto"/>
              <w:right w:val="nil"/>
            </w:tcBorders>
          </w:tcPr>
          <w:p w14:paraId="3ADDE1B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N=3</w:t>
            </w:r>
          </w:p>
        </w:tc>
        <w:tc>
          <w:tcPr>
            <w:tcW w:w="1520" w:type="dxa"/>
            <w:gridSpan w:val="2"/>
            <w:tcBorders>
              <w:top w:val="nil"/>
              <w:left w:val="nil"/>
              <w:bottom w:val="single" w:sz="6" w:space="0" w:color="auto"/>
              <w:right w:val="nil"/>
            </w:tcBorders>
          </w:tcPr>
          <w:p w14:paraId="6D289F2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N=1</w:t>
            </w:r>
          </w:p>
        </w:tc>
        <w:tc>
          <w:tcPr>
            <w:tcW w:w="1520" w:type="dxa"/>
            <w:gridSpan w:val="2"/>
            <w:tcBorders>
              <w:top w:val="nil"/>
              <w:left w:val="nil"/>
              <w:bottom w:val="single" w:sz="6" w:space="0" w:color="auto"/>
              <w:right w:val="nil"/>
            </w:tcBorders>
          </w:tcPr>
          <w:p w14:paraId="4A6DFF5F"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N=2</w:t>
            </w:r>
          </w:p>
        </w:tc>
        <w:tc>
          <w:tcPr>
            <w:tcW w:w="1520" w:type="dxa"/>
            <w:gridSpan w:val="2"/>
            <w:tcBorders>
              <w:top w:val="nil"/>
              <w:left w:val="nil"/>
              <w:bottom w:val="single" w:sz="6" w:space="0" w:color="auto"/>
              <w:right w:val="nil"/>
            </w:tcBorders>
          </w:tcPr>
          <w:p w14:paraId="78EAAA8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N=3</w:t>
            </w:r>
          </w:p>
        </w:tc>
      </w:tr>
      <w:tr w:rsidR="00DC0E2E" w14:paraId="5F26367E" w14:textId="77777777" w:rsidTr="00B21EED">
        <w:tblPrEx>
          <w:tblCellMar>
            <w:top w:w="0" w:type="dxa"/>
            <w:bottom w:w="0" w:type="dxa"/>
          </w:tblCellMar>
        </w:tblPrEx>
        <w:trPr>
          <w:trHeight w:val="258"/>
          <w:jc w:val="center"/>
        </w:trPr>
        <w:tc>
          <w:tcPr>
            <w:tcW w:w="1066" w:type="dxa"/>
            <w:tcBorders>
              <w:top w:val="nil"/>
              <w:left w:val="nil"/>
              <w:bottom w:val="nil"/>
              <w:right w:val="nil"/>
            </w:tcBorders>
          </w:tcPr>
          <w:p w14:paraId="52A7A030"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1520" w:type="dxa"/>
            <w:gridSpan w:val="2"/>
            <w:tcBorders>
              <w:top w:val="nil"/>
              <w:left w:val="nil"/>
              <w:bottom w:val="nil"/>
              <w:right w:val="nil"/>
            </w:tcBorders>
          </w:tcPr>
          <w:p w14:paraId="03B92237"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20" w:type="dxa"/>
            <w:gridSpan w:val="2"/>
            <w:tcBorders>
              <w:top w:val="nil"/>
              <w:left w:val="nil"/>
              <w:bottom w:val="nil"/>
              <w:right w:val="nil"/>
            </w:tcBorders>
          </w:tcPr>
          <w:p w14:paraId="7062441C"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20" w:type="dxa"/>
            <w:gridSpan w:val="2"/>
            <w:tcBorders>
              <w:top w:val="nil"/>
              <w:left w:val="nil"/>
              <w:bottom w:val="nil"/>
              <w:right w:val="nil"/>
            </w:tcBorders>
          </w:tcPr>
          <w:p w14:paraId="04DBE5DB"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20" w:type="dxa"/>
            <w:gridSpan w:val="2"/>
            <w:tcBorders>
              <w:top w:val="nil"/>
              <w:left w:val="nil"/>
              <w:bottom w:val="nil"/>
              <w:right w:val="nil"/>
            </w:tcBorders>
          </w:tcPr>
          <w:p w14:paraId="030DA37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20" w:type="dxa"/>
            <w:gridSpan w:val="2"/>
            <w:tcBorders>
              <w:top w:val="nil"/>
              <w:left w:val="nil"/>
              <w:bottom w:val="nil"/>
              <w:right w:val="nil"/>
            </w:tcBorders>
          </w:tcPr>
          <w:p w14:paraId="3D446904"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20" w:type="dxa"/>
            <w:gridSpan w:val="2"/>
            <w:tcBorders>
              <w:top w:val="nil"/>
              <w:left w:val="nil"/>
              <w:bottom w:val="nil"/>
              <w:right w:val="nil"/>
            </w:tcBorders>
          </w:tcPr>
          <w:p w14:paraId="047D8A10"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C0E2E" w14:paraId="029D0AE8" w14:textId="77777777" w:rsidTr="00B21EED">
        <w:tblPrEx>
          <w:tblCellMar>
            <w:top w:w="0" w:type="dxa"/>
            <w:bottom w:w="0" w:type="dxa"/>
          </w:tblCellMar>
        </w:tblPrEx>
        <w:trPr>
          <w:trHeight w:val="258"/>
          <w:jc w:val="center"/>
        </w:trPr>
        <w:tc>
          <w:tcPr>
            <w:tcW w:w="1066" w:type="dxa"/>
            <w:tcBorders>
              <w:top w:val="nil"/>
              <w:left w:val="nil"/>
              <w:bottom w:val="nil"/>
              <w:right w:val="nil"/>
            </w:tcBorders>
          </w:tcPr>
          <w:p w14:paraId="58055FD5"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pas</w:t>
            </w:r>
          </w:p>
        </w:tc>
        <w:tc>
          <w:tcPr>
            <w:tcW w:w="1520" w:type="dxa"/>
            <w:gridSpan w:val="2"/>
            <w:tcBorders>
              <w:top w:val="nil"/>
              <w:left w:val="nil"/>
              <w:bottom w:val="nil"/>
              <w:right w:val="nil"/>
            </w:tcBorders>
          </w:tcPr>
          <w:p w14:paraId="613A42F9"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0.023*</w:t>
            </w:r>
          </w:p>
        </w:tc>
        <w:tc>
          <w:tcPr>
            <w:tcW w:w="1520" w:type="dxa"/>
            <w:gridSpan w:val="2"/>
            <w:tcBorders>
              <w:top w:val="nil"/>
              <w:left w:val="nil"/>
              <w:bottom w:val="nil"/>
              <w:right w:val="nil"/>
            </w:tcBorders>
          </w:tcPr>
          <w:p w14:paraId="13282712"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0.024*</w:t>
            </w:r>
          </w:p>
        </w:tc>
        <w:tc>
          <w:tcPr>
            <w:tcW w:w="1520" w:type="dxa"/>
            <w:gridSpan w:val="2"/>
            <w:tcBorders>
              <w:top w:val="nil"/>
              <w:left w:val="nil"/>
              <w:bottom w:val="nil"/>
              <w:right w:val="nil"/>
            </w:tcBorders>
          </w:tcPr>
          <w:p w14:paraId="066FA480"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c>
          <w:tcPr>
            <w:tcW w:w="1520" w:type="dxa"/>
            <w:gridSpan w:val="2"/>
            <w:tcBorders>
              <w:top w:val="nil"/>
              <w:left w:val="nil"/>
              <w:bottom w:val="nil"/>
              <w:right w:val="nil"/>
            </w:tcBorders>
          </w:tcPr>
          <w:p w14:paraId="04067681"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0.017*</w:t>
            </w:r>
          </w:p>
        </w:tc>
        <w:tc>
          <w:tcPr>
            <w:tcW w:w="1520" w:type="dxa"/>
            <w:gridSpan w:val="2"/>
            <w:tcBorders>
              <w:top w:val="nil"/>
              <w:left w:val="nil"/>
              <w:bottom w:val="nil"/>
              <w:right w:val="nil"/>
            </w:tcBorders>
          </w:tcPr>
          <w:p w14:paraId="06FCE897"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0.016*</w:t>
            </w:r>
          </w:p>
        </w:tc>
        <w:tc>
          <w:tcPr>
            <w:tcW w:w="1520" w:type="dxa"/>
            <w:gridSpan w:val="2"/>
            <w:tcBorders>
              <w:top w:val="nil"/>
              <w:left w:val="nil"/>
              <w:bottom w:val="nil"/>
              <w:right w:val="nil"/>
            </w:tcBorders>
          </w:tcPr>
          <w:p w14:paraId="2F73A566"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0.017*</w:t>
            </w:r>
          </w:p>
        </w:tc>
      </w:tr>
      <w:tr w:rsidR="00DC0E2E" w14:paraId="2EF1DB5A" w14:textId="77777777" w:rsidTr="00B21EED">
        <w:tblPrEx>
          <w:tblCellMar>
            <w:top w:w="0" w:type="dxa"/>
            <w:bottom w:w="0" w:type="dxa"/>
          </w:tblCellMar>
        </w:tblPrEx>
        <w:trPr>
          <w:trHeight w:val="258"/>
          <w:jc w:val="center"/>
        </w:trPr>
        <w:tc>
          <w:tcPr>
            <w:tcW w:w="1066" w:type="dxa"/>
            <w:tcBorders>
              <w:top w:val="nil"/>
              <w:left w:val="nil"/>
              <w:bottom w:val="nil"/>
              <w:right w:val="nil"/>
            </w:tcBorders>
          </w:tcPr>
          <w:p w14:paraId="5DB81962"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1520" w:type="dxa"/>
            <w:gridSpan w:val="2"/>
            <w:tcBorders>
              <w:top w:val="nil"/>
              <w:left w:val="nil"/>
              <w:bottom w:val="nil"/>
              <w:right w:val="nil"/>
            </w:tcBorders>
          </w:tcPr>
          <w:p w14:paraId="7AB299CB"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c>
          <w:tcPr>
            <w:tcW w:w="1520" w:type="dxa"/>
            <w:gridSpan w:val="2"/>
            <w:tcBorders>
              <w:top w:val="nil"/>
              <w:left w:val="nil"/>
              <w:bottom w:val="nil"/>
              <w:right w:val="nil"/>
            </w:tcBorders>
          </w:tcPr>
          <w:p w14:paraId="30C305BF"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c>
          <w:tcPr>
            <w:tcW w:w="1520" w:type="dxa"/>
            <w:gridSpan w:val="2"/>
            <w:tcBorders>
              <w:top w:val="nil"/>
              <w:left w:val="nil"/>
              <w:bottom w:val="nil"/>
              <w:right w:val="nil"/>
            </w:tcBorders>
          </w:tcPr>
          <w:p w14:paraId="44C033BF"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c>
          <w:tcPr>
            <w:tcW w:w="1520" w:type="dxa"/>
            <w:gridSpan w:val="2"/>
            <w:tcBorders>
              <w:top w:val="nil"/>
              <w:left w:val="nil"/>
              <w:bottom w:val="nil"/>
              <w:right w:val="nil"/>
            </w:tcBorders>
          </w:tcPr>
          <w:p w14:paraId="1C8E0B8B"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(0.007)</w:t>
            </w:r>
          </w:p>
        </w:tc>
        <w:tc>
          <w:tcPr>
            <w:tcW w:w="1520" w:type="dxa"/>
            <w:gridSpan w:val="2"/>
            <w:tcBorders>
              <w:top w:val="nil"/>
              <w:left w:val="nil"/>
              <w:bottom w:val="nil"/>
              <w:right w:val="nil"/>
            </w:tcBorders>
          </w:tcPr>
          <w:p w14:paraId="105D8F38"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(0.007)</w:t>
            </w:r>
          </w:p>
        </w:tc>
        <w:tc>
          <w:tcPr>
            <w:tcW w:w="1520" w:type="dxa"/>
            <w:gridSpan w:val="2"/>
            <w:tcBorders>
              <w:top w:val="nil"/>
              <w:left w:val="nil"/>
              <w:bottom w:val="nil"/>
              <w:right w:val="nil"/>
            </w:tcBorders>
          </w:tcPr>
          <w:p w14:paraId="704C01E7" w14:textId="5455744E" w:rsidR="00DC0E2E" w:rsidRDefault="00DC0E2E" w:rsidP="00DC0E2E">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(0.007)</w:t>
            </w:r>
          </w:p>
        </w:tc>
      </w:tr>
      <w:tr w:rsidR="00DC0E2E" w14:paraId="0FE6B0B6" w14:textId="77777777" w:rsidTr="00B21EED">
        <w:tblPrEx>
          <w:tblBorders>
            <w:bottom w:val="single" w:sz="6" w:space="0" w:color="auto"/>
          </w:tblBorders>
          <w:tblCellMar>
            <w:top w:w="0" w:type="dxa"/>
            <w:bottom w:w="0" w:type="dxa"/>
          </w:tblCellMar>
        </w:tblPrEx>
        <w:trPr>
          <w:gridAfter w:val="1"/>
          <w:wAfter w:w="1066" w:type="dxa"/>
          <w:trHeight w:val="269"/>
          <w:jc w:val="center"/>
        </w:trPr>
        <w:tc>
          <w:tcPr>
            <w:tcW w:w="1520" w:type="dxa"/>
            <w:gridSpan w:val="2"/>
            <w:tcBorders>
              <w:top w:val="nil"/>
              <w:left w:val="nil"/>
              <w:bottom w:val="single" w:sz="6" w:space="0" w:color="auto"/>
              <w:right w:val="nil"/>
            </w:tcBorders>
          </w:tcPr>
          <w:p w14:paraId="0F78DCD9"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20" w:type="dxa"/>
            <w:gridSpan w:val="2"/>
            <w:tcBorders>
              <w:top w:val="nil"/>
              <w:left w:val="nil"/>
              <w:bottom w:val="single" w:sz="6" w:space="0" w:color="auto"/>
              <w:right w:val="nil"/>
            </w:tcBorders>
          </w:tcPr>
          <w:p w14:paraId="2ABD1972"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1520" w:type="dxa"/>
            <w:gridSpan w:val="2"/>
            <w:tcBorders>
              <w:top w:val="nil"/>
              <w:left w:val="nil"/>
              <w:bottom w:val="single" w:sz="6" w:space="0" w:color="auto"/>
              <w:right w:val="nil"/>
            </w:tcBorders>
          </w:tcPr>
          <w:p w14:paraId="3385EF20"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20" w:type="dxa"/>
            <w:gridSpan w:val="2"/>
            <w:tcBorders>
              <w:top w:val="nil"/>
              <w:left w:val="nil"/>
              <w:bottom w:val="single" w:sz="6" w:space="0" w:color="auto"/>
              <w:right w:val="nil"/>
            </w:tcBorders>
          </w:tcPr>
          <w:p w14:paraId="343367C2"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20" w:type="dxa"/>
            <w:gridSpan w:val="2"/>
            <w:tcBorders>
              <w:top w:val="nil"/>
              <w:left w:val="nil"/>
              <w:bottom w:val="single" w:sz="6" w:space="0" w:color="auto"/>
              <w:right w:val="nil"/>
            </w:tcBorders>
          </w:tcPr>
          <w:p w14:paraId="33203BBE"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520" w:type="dxa"/>
            <w:gridSpan w:val="2"/>
            <w:tcBorders>
              <w:top w:val="nil"/>
              <w:left w:val="nil"/>
              <w:bottom w:val="single" w:sz="6" w:space="0" w:color="auto"/>
              <w:right w:val="nil"/>
            </w:tcBorders>
          </w:tcPr>
          <w:p w14:paraId="76A0BFB0"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bl>
    <w:p w14:paraId="4A9B0174" w14:textId="35A8581D" w:rsidR="00DC0E2E" w:rsidRDefault="00DC0E2E" w:rsidP="0060233A">
      <w:pPr>
        <w:jc w:val="both"/>
      </w:pPr>
    </w:p>
    <w:p w14:paraId="0E70079F" w14:textId="7DCB96CB" w:rsidR="00DC0E2E" w:rsidRDefault="00DC0E2E" w:rsidP="0060233A">
      <w:pPr>
        <w:jc w:val="both"/>
      </w:pPr>
      <w:r>
        <w:t>Table 7:</w:t>
      </w:r>
    </w:p>
    <w:tbl>
      <w:tblPr>
        <w:tblW w:w="0" w:type="auto"/>
        <w:jc w:val="center"/>
        <w:tblLayout w:type="fixed"/>
        <w:tblCellMar>
          <w:left w:w="75" w:type="dxa"/>
          <w:right w:w="75" w:type="dxa"/>
        </w:tblCellMar>
        <w:tblLook w:val="0000" w:firstRow="0" w:lastRow="0" w:firstColumn="0" w:lastColumn="0" w:noHBand="0" w:noVBand="0"/>
      </w:tblPr>
      <w:tblGrid>
        <w:gridCol w:w="1515"/>
        <w:gridCol w:w="2160"/>
        <w:gridCol w:w="2160"/>
        <w:gridCol w:w="2160"/>
      </w:tblGrid>
      <w:tr w:rsidR="00DC0E2E" w14:paraId="0CD239A7" w14:textId="77777777" w:rsidTr="00B21EED">
        <w:tblPrEx>
          <w:tblCellMar>
            <w:top w:w="0" w:type="dxa"/>
            <w:bottom w:w="0" w:type="dxa"/>
          </w:tblCellMar>
        </w:tblPrEx>
        <w:trPr>
          <w:jc w:val="center"/>
        </w:trPr>
        <w:tc>
          <w:tcPr>
            <w:tcW w:w="1515" w:type="dxa"/>
            <w:tcBorders>
              <w:top w:val="single" w:sz="6" w:space="0" w:color="auto"/>
              <w:left w:val="nil"/>
              <w:bottom w:val="nil"/>
              <w:right w:val="nil"/>
            </w:tcBorders>
          </w:tcPr>
          <w:p w14:paraId="78CE2520"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single" w:sz="6" w:space="0" w:color="auto"/>
              <w:left w:val="nil"/>
              <w:bottom w:val="nil"/>
              <w:right w:val="nil"/>
            </w:tcBorders>
          </w:tcPr>
          <w:p w14:paraId="1773327D"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160" w:type="dxa"/>
            <w:tcBorders>
              <w:top w:val="single" w:sz="6" w:space="0" w:color="auto"/>
              <w:left w:val="nil"/>
              <w:bottom w:val="nil"/>
              <w:right w:val="nil"/>
            </w:tcBorders>
          </w:tcPr>
          <w:p w14:paraId="3964B49C"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160" w:type="dxa"/>
            <w:tcBorders>
              <w:top w:val="single" w:sz="6" w:space="0" w:color="auto"/>
              <w:left w:val="nil"/>
              <w:bottom w:val="nil"/>
              <w:right w:val="nil"/>
            </w:tcBorders>
          </w:tcPr>
          <w:p w14:paraId="67719E49"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DC0E2E" w14:paraId="51CD1C77" w14:textId="77777777" w:rsidTr="00B21EED">
        <w:tblPrEx>
          <w:tblCellMar>
            <w:top w:w="0" w:type="dxa"/>
            <w:bottom w:w="0" w:type="dxa"/>
          </w:tblCellMar>
        </w:tblPrEx>
        <w:trPr>
          <w:jc w:val="center"/>
        </w:trPr>
        <w:tc>
          <w:tcPr>
            <w:tcW w:w="1515" w:type="dxa"/>
            <w:tcBorders>
              <w:top w:val="nil"/>
              <w:left w:val="nil"/>
              <w:bottom w:val="single" w:sz="6" w:space="0" w:color="auto"/>
              <w:right w:val="nil"/>
            </w:tcBorders>
          </w:tcPr>
          <w:p w14:paraId="77FA7B0E"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2160" w:type="dxa"/>
            <w:tcBorders>
              <w:top w:val="nil"/>
              <w:left w:val="nil"/>
              <w:bottom w:val="single" w:sz="6" w:space="0" w:color="auto"/>
              <w:right w:val="nil"/>
            </w:tcBorders>
          </w:tcPr>
          <w:p w14:paraId="5F4FBB8D"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N=1</w:t>
            </w:r>
          </w:p>
        </w:tc>
        <w:tc>
          <w:tcPr>
            <w:tcW w:w="2160" w:type="dxa"/>
            <w:tcBorders>
              <w:top w:val="nil"/>
              <w:left w:val="nil"/>
              <w:bottom w:val="single" w:sz="6" w:space="0" w:color="auto"/>
              <w:right w:val="nil"/>
            </w:tcBorders>
          </w:tcPr>
          <w:p w14:paraId="10DAE69E"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N=2</w:t>
            </w:r>
          </w:p>
        </w:tc>
        <w:tc>
          <w:tcPr>
            <w:tcW w:w="2160" w:type="dxa"/>
            <w:tcBorders>
              <w:top w:val="nil"/>
              <w:left w:val="nil"/>
              <w:bottom w:val="single" w:sz="6" w:space="0" w:color="auto"/>
              <w:right w:val="nil"/>
            </w:tcBorders>
          </w:tcPr>
          <w:p w14:paraId="38CDFF6F"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Polynomial N=3</w:t>
            </w:r>
          </w:p>
        </w:tc>
      </w:tr>
      <w:tr w:rsidR="00DC0E2E" w14:paraId="654F3E41" w14:textId="77777777" w:rsidTr="00B21EED">
        <w:tblPrEx>
          <w:tblCellMar>
            <w:top w:w="0" w:type="dxa"/>
            <w:bottom w:w="0" w:type="dxa"/>
          </w:tblCellMar>
        </w:tblPrEx>
        <w:trPr>
          <w:jc w:val="center"/>
        </w:trPr>
        <w:tc>
          <w:tcPr>
            <w:tcW w:w="1515" w:type="dxa"/>
            <w:tcBorders>
              <w:top w:val="nil"/>
              <w:left w:val="nil"/>
              <w:bottom w:val="nil"/>
              <w:right w:val="nil"/>
            </w:tcBorders>
          </w:tcPr>
          <w:p w14:paraId="44C9E496"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nil"/>
              <w:left w:val="nil"/>
              <w:bottom w:val="nil"/>
              <w:right w:val="nil"/>
            </w:tcBorders>
          </w:tcPr>
          <w:p w14:paraId="105322CA"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606A601F"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6BF65CB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C0E2E" w14:paraId="2F531B95" w14:textId="77777777" w:rsidTr="00B21EED">
        <w:tblPrEx>
          <w:tblCellMar>
            <w:top w:w="0" w:type="dxa"/>
            <w:bottom w:w="0" w:type="dxa"/>
          </w:tblCellMar>
        </w:tblPrEx>
        <w:trPr>
          <w:jc w:val="center"/>
        </w:trPr>
        <w:tc>
          <w:tcPr>
            <w:tcW w:w="1515" w:type="dxa"/>
            <w:tcBorders>
              <w:top w:val="nil"/>
              <w:left w:val="nil"/>
              <w:bottom w:val="nil"/>
              <w:right w:val="nil"/>
            </w:tcBorders>
          </w:tcPr>
          <w:p w14:paraId="2C142DF0"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pas</w:t>
            </w:r>
          </w:p>
        </w:tc>
        <w:tc>
          <w:tcPr>
            <w:tcW w:w="2160" w:type="dxa"/>
            <w:tcBorders>
              <w:top w:val="nil"/>
              <w:left w:val="nil"/>
              <w:bottom w:val="nil"/>
              <w:right w:val="nil"/>
            </w:tcBorders>
          </w:tcPr>
          <w:p w14:paraId="1D33205D"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-0.093*</w:t>
            </w:r>
          </w:p>
        </w:tc>
        <w:tc>
          <w:tcPr>
            <w:tcW w:w="2160" w:type="dxa"/>
            <w:tcBorders>
              <w:top w:val="nil"/>
              <w:left w:val="nil"/>
              <w:bottom w:val="nil"/>
              <w:right w:val="nil"/>
            </w:tcBorders>
          </w:tcPr>
          <w:p w14:paraId="4D6D50E6"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-0.092*</w:t>
            </w:r>
          </w:p>
        </w:tc>
        <w:tc>
          <w:tcPr>
            <w:tcW w:w="2160" w:type="dxa"/>
            <w:tcBorders>
              <w:top w:val="nil"/>
              <w:left w:val="nil"/>
              <w:bottom w:val="nil"/>
              <w:right w:val="nil"/>
            </w:tcBorders>
          </w:tcPr>
          <w:p w14:paraId="75C55B79"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-0.062</w:t>
            </w:r>
          </w:p>
        </w:tc>
      </w:tr>
      <w:tr w:rsidR="00DC0E2E" w14:paraId="2BEE2647" w14:textId="77777777" w:rsidTr="00B21EED">
        <w:tblPrEx>
          <w:tblCellMar>
            <w:top w:w="0" w:type="dxa"/>
            <w:bottom w:w="0" w:type="dxa"/>
          </w:tblCellMar>
        </w:tblPrEx>
        <w:trPr>
          <w:jc w:val="center"/>
        </w:trPr>
        <w:tc>
          <w:tcPr>
            <w:tcW w:w="1515" w:type="dxa"/>
            <w:tcBorders>
              <w:top w:val="nil"/>
              <w:left w:val="nil"/>
              <w:bottom w:val="nil"/>
              <w:right w:val="nil"/>
            </w:tcBorders>
          </w:tcPr>
          <w:p w14:paraId="2255E8E4"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nil"/>
              <w:left w:val="nil"/>
              <w:bottom w:val="nil"/>
              <w:right w:val="nil"/>
            </w:tcBorders>
          </w:tcPr>
          <w:p w14:paraId="54D42A6D"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(0.054)</w:t>
            </w:r>
          </w:p>
        </w:tc>
        <w:tc>
          <w:tcPr>
            <w:tcW w:w="2160" w:type="dxa"/>
            <w:tcBorders>
              <w:top w:val="nil"/>
              <w:left w:val="nil"/>
              <w:bottom w:val="nil"/>
              <w:right w:val="nil"/>
            </w:tcBorders>
          </w:tcPr>
          <w:p w14:paraId="6A6C68E5"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(0.055)</w:t>
            </w:r>
          </w:p>
        </w:tc>
        <w:tc>
          <w:tcPr>
            <w:tcW w:w="2160" w:type="dxa"/>
            <w:tcBorders>
              <w:top w:val="nil"/>
              <w:left w:val="nil"/>
              <w:bottom w:val="nil"/>
              <w:right w:val="nil"/>
            </w:tcBorders>
          </w:tcPr>
          <w:p w14:paraId="5C00F61A"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(0.060)</w:t>
            </w:r>
          </w:p>
        </w:tc>
      </w:tr>
      <w:tr w:rsidR="00DC0E2E" w14:paraId="46DC0A5C" w14:textId="77777777" w:rsidTr="00B21EED">
        <w:tblPrEx>
          <w:tblCellMar>
            <w:top w:w="0" w:type="dxa"/>
            <w:bottom w:w="0" w:type="dxa"/>
          </w:tblCellMar>
        </w:tblPrEx>
        <w:trPr>
          <w:jc w:val="center"/>
        </w:trPr>
        <w:tc>
          <w:tcPr>
            <w:tcW w:w="1515" w:type="dxa"/>
            <w:tcBorders>
              <w:top w:val="nil"/>
              <w:left w:val="nil"/>
              <w:bottom w:val="nil"/>
              <w:right w:val="nil"/>
            </w:tcBorders>
          </w:tcPr>
          <w:p w14:paraId="6A3F3BAC"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p>
        </w:tc>
        <w:tc>
          <w:tcPr>
            <w:tcW w:w="2160" w:type="dxa"/>
            <w:tcBorders>
              <w:top w:val="nil"/>
              <w:left w:val="nil"/>
              <w:bottom w:val="nil"/>
              <w:right w:val="nil"/>
            </w:tcBorders>
          </w:tcPr>
          <w:p w14:paraId="16E1131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53A56E5B"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2160" w:type="dxa"/>
            <w:tcBorders>
              <w:top w:val="nil"/>
              <w:left w:val="nil"/>
              <w:bottom w:val="nil"/>
              <w:right w:val="nil"/>
            </w:tcBorders>
          </w:tcPr>
          <w:p w14:paraId="0C878A94"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DC0E2E" w14:paraId="5CF5C9CF" w14:textId="77777777" w:rsidTr="00B21EED">
        <w:tblPrEx>
          <w:tblBorders>
            <w:bottom w:val="single" w:sz="6" w:space="0" w:color="auto"/>
          </w:tblBorders>
          <w:tblCellMar>
            <w:top w:w="0" w:type="dxa"/>
            <w:bottom w:w="0" w:type="dxa"/>
          </w:tblCellMar>
        </w:tblPrEx>
        <w:trPr>
          <w:jc w:val="center"/>
        </w:trPr>
        <w:tc>
          <w:tcPr>
            <w:tcW w:w="1515" w:type="dxa"/>
            <w:tcBorders>
              <w:top w:val="nil"/>
              <w:left w:val="nil"/>
              <w:bottom w:val="single" w:sz="6" w:space="0" w:color="auto"/>
              <w:right w:val="nil"/>
            </w:tcBorders>
          </w:tcPr>
          <w:p w14:paraId="028646EA" w14:textId="77777777" w:rsidR="00DC0E2E" w:rsidRDefault="00DC0E2E" w:rsidP="00B21EED">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2160" w:type="dxa"/>
            <w:tcBorders>
              <w:top w:val="nil"/>
              <w:left w:val="nil"/>
              <w:bottom w:val="single" w:sz="6" w:space="0" w:color="auto"/>
              <w:right w:val="nil"/>
            </w:tcBorders>
          </w:tcPr>
          <w:p w14:paraId="745B2A2A"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0.058</w:t>
            </w:r>
          </w:p>
        </w:tc>
        <w:tc>
          <w:tcPr>
            <w:tcW w:w="2160" w:type="dxa"/>
            <w:tcBorders>
              <w:top w:val="nil"/>
              <w:left w:val="nil"/>
              <w:bottom w:val="single" w:sz="6" w:space="0" w:color="auto"/>
              <w:right w:val="nil"/>
            </w:tcBorders>
          </w:tcPr>
          <w:p w14:paraId="686D7F13"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0.058</w:t>
            </w:r>
          </w:p>
        </w:tc>
        <w:tc>
          <w:tcPr>
            <w:tcW w:w="2160" w:type="dxa"/>
            <w:tcBorders>
              <w:top w:val="nil"/>
              <w:left w:val="nil"/>
              <w:bottom w:val="single" w:sz="6" w:space="0" w:color="auto"/>
              <w:right w:val="nil"/>
            </w:tcBorders>
          </w:tcPr>
          <w:p w14:paraId="4BB0E95F" w14:textId="77777777" w:rsidR="00DC0E2E" w:rsidRDefault="00DC0E2E" w:rsidP="00B21EED">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0.076</w:t>
            </w:r>
          </w:p>
        </w:tc>
      </w:tr>
    </w:tbl>
    <w:p w14:paraId="5C4C0468" w14:textId="77777777" w:rsidR="00DC0E2E" w:rsidRDefault="00DC0E2E" w:rsidP="00DC0E2E">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Robust standard errors in parentheses</w:t>
      </w:r>
    </w:p>
    <w:p w14:paraId="6B51ED6F" w14:textId="77777777" w:rsidR="00DC0E2E" w:rsidRDefault="00DC0E2E" w:rsidP="00DC0E2E">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p&lt;0.01, * p&lt;0.10</w:t>
      </w:r>
    </w:p>
    <w:p w14:paraId="77AE82EB" w14:textId="2A993EF9" w:rsidR="00696C29" w:rsidRPr="00B53C99" w:rsidRDefault="00696C29" w:rsidP="0060233A">
      <w:pPr>
        <w:jc w:val="both"/>
      </w:pPr>
    </w:p>
    <w:sectPr w:rsidR="00696C29" w:rsidRPr="00B53C99" w:rsidSect="00B53C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17F8D"/>
    <w:multiLevelType w:val="hybridMultilevel"/>
    <w:tmpl w:val="2FD08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5628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99"/>
    <w:rsid w:val="000058DC"/>
    <w:rsid w:val="00061D21"/>
    <w:rsid w:val="002577A0"/>
    <w:rsid w:val="002A0F26"/>
    <w:rsid w:val="003F6108"/>
    <w:rsid w:val="005B70CF"/>
    <w:rsid w:val="0060233A"/>
    <w:rsid w:val="00696C29"/>
    <w:rsid w:val="007B5CE0"/>
    <w:rsid w:val="007C7554"/>
    <w:rsid w:val="00B53C99"/>
    <w:rsid w:val="00CD2295"/>
    <w:rsid w:val="00DC0E2E"/>
    <w:rsid w:val="00FB795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CC5B"/>
  <w15:chartTrackingRefBased/>
  <w15:docId w15:val="{811FE77C-4ABD-4A79-9C1C-A68E90FF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C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C9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53C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3C99"/>
    <w:rPr>
      <w:rFonts w:eastAsiaTheme="minorEastAsia"/>
      <w:color w:val="5A5A5A" w:themeColor="text1" w:themeTint="A5"/>
      <w:spacing w:val="15"/>
    </w:rPr>
  </w:style>
  <w:style w:type="paragraph" w:styleId="ListParagraph">
    <w:name w:val="List Paragraph"/>
    <w:basedOn w:val="Normal"/>
    <w:uiPriority w:val="34"/>
    <w:qFormat/>
    <w:rsid w:val="00B53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Villa Salas</dc:creator>
  <cp:keywords/>
  <dc:description/>
  <cp:lastModifiedBy>Giovanni Villa Salas</cp:lastModifiedBy>
  <cp:revision>5</cp:revision>
  <dcterms:created xsi:type="dcterms:W3CDTF">2024-02-27T13:50:00Z</dcterms:created>
  <dcterms:modified xsi:type="dcterms:W3CDTF">2024-02-27T13:53:00Z</dcterms:modified>
</cp:coreProperties>
</file>