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Besoin WebTrace pour l’affichage des Traces PIC dans PICUP</w:t>
      </w:r>
    </w:p>
    <w:p>
      <w:pPr>
        <w:spacing w:after="60"/>
        <w:jc w:val="center"/>
      </w:pPr>
      <w:r>
        <w:rPr>
          <w:i/>
          <w:color w:val="5A5A5A"/>
          <w:sz w:val="17"/>
        </w:rPr>
        <w:t>Document de cadrage court à destination de l’équipe WebTrace</w:t>
      </w:r>
    </w:p>
    <w:p>
      <w:pPr>
        <w:pStyle w:val="Heading1"/>
        <w:spacing w:before="60" w:after="20"/>
      </w:pPr>
      <w:r>
        <w:t>1. Contexte et objectif</w:t>
      </w:r>
    </w:p>
    <w:p>
      <w:pPr>
        <w:pStyle w:val="ListBullet"/>
        <w:spacing w:after="0" w:line="240" w:lineRule="auto"/>
        <w:ind w:left="238"/>
      </w:pPr>
      <w:r>
        <w:t>WebTrace est déployé sur 39 installations, une par Caisse Régionale.</w:t>
      </w:r>
    </w:p>
    <w:p>
      <w:pPr>
        <w:pStyle w:val="ListBullet"/>
        <w:spacing w:after="0" w:line="240" w:lineRule="auto"/>
        <w:ind w:left="238"/>
      </w:pPr>
      <w:r>
        <w:t>PICUP doit récupérer les traces des 39 installations via l’API HTTP exposée par WebTrace, avec le même contrat de données partout, puis les agréger dans la page « Traces PIC » et ses onglets.</w:t>
      </w:r>
    </w:p>
    <w:p>
      <w:pPr>
        <w:pStyle w:val="ListBullet"/>
        <w:spacing w:after="0" w:line="240" w:lineRule="auto"/>
        <w:ind w:left="238"/>
      </w:pPr>
      <w:r>
        <w:t>Les codes et noms des Caisses Régionales doivent provenir de l’API MAPS ; aucun nom de caisse ne doit être recréé ou maintenu manuellement dans WebTrace.</w:t>
      </w:r>
    </w:p>
    <w:p>
      <w:pPr>
        <w:pStyle w:val="Heading1"/>
        <w:spacing w:before="60" w:after="20"/>
      </w:pPr>
      <w:r>
        <w:t>2. Attendu côté WebTrace</w:t>
      </w:r>
    </w:p>
    <w:p>
      <w:pPr>
        <w:pStyle w:val="ListBullet"/>
        <w:spacing w:after="0" w:line="240" w:lineRule="auto"/>
        <w:ind w:left="238"/>
      </w:pPr>
      <w:r>
        <w:t>Exposer un endpoint de lecture sécurisé et stable (ex. GET /api/v1/traces), identique sur les 39 installations.</w:t>
      </w:r>
    </w:p>
    <w:p>
      <w:pPr>
        <w:pStyle w:val="ListBullet"/>
        <w:spacing w:after="0" w:line="240" w:lineRule="auto"/>
        <w:ind w:left="238"/>
      </w:pPr>
      <w:r>
        <w:t>Permettre filtres, pagination et récupération incrémentale (ex. afterId / modifiedAfter), sans accès direct de PICUP aux bases WebTrace.</w:t>
      </w:r>
    </w:p>
    <w:p>
      <w:pPr>
        <w:pStyle w:val="ListBullet"/>
        <w:spacing w:after="0" w:line="240" w:lineRule="auto"/>
        <w:ind w:left="238"/>
      </w:pPr>
      <w:r>
        <w:t>Fournir un identifiant unique et stable pour chaque trace ainsi que l’identité de la Caisse Régionale source.</w:t>
      </w:r>
    </w:p>
    <w:p>
      <w:pPr>
        <w:pStyle w:val="ListBullet"/>
        <w:spacing w:after="0" w:line="240" w:lineRule="auto"/>
        <w:ind w:left="238"/>
      </w:pPr>
      <w:r>
        <w:t>Prévoir un endpoint de santé simple (ex. GET /api/v1/health) pour connaître les installations joignables.</w:t>
      </w:r>
    </w:p>
    <w:p>
      <w:pPr>
        <w:pStyle w:val="Heading1"/>
        <w:spacing w:before="60" w:after="20"/>
      </w:pPr>
      <w:r>
        <w:t>3. Données minimales à retourner à PICUP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D9EAF7"/>
          </w:tcPr>
          <w:p>
            <w:r>
              <w:rPr>
                <w:b/>
                <w:sz w:val="16"/>
              </w:rPr>
              <w:t>Donnée</w:t>
            </w:r>
          </w:p>
        </w:tc>
        <w:tc>
          <w:tcPr>
            <w:tcW w:type="dxa" w:w="5241"/>
            <w:shd w:fill="D9EAF7"/>
          </w:tcPr>
          <w:p>
            <w:r>
              <w:rPr>
                <w:b/>
                <w:sz w:val="16"/>
              </w:rPr>
              <w:t>Utilisation dans PICUP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idTrace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Identifiant unique de la trace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dateHeure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Date/heure ISO 8601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codePIC / application + nom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Identifier le PIC ou l’application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version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Version concernée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typeTrace / typeEvenement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Classement dans le bon onglet + filtres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matricule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Recherche et affichage utilisateur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EDS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Recherche et affichage établissement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environnement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Production, recette, etc.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commentaire / détail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Détail de la trace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codeCaisse + nomCaisse MAPS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Identifier la Caisse Régionale source</w:t>
            </w:r>
          </w:p>
        </w:tc>
      </w:tr>
      <w:tr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catégorie / source</w:t>
            </w:r>
          </w:p>
        </w:tc>
        <w:tc>
          <w:tcPr>
            <w:tcW w:type="dxa" w:w="5241"/>
            <w:vAlign w:val="center"/>
          </w:tcPr>
          <w:p>
            <w:pPr>
              <w:spacing w:before="0" w:after="0" w:line="221" w:lineRule="auto"/>
            </w:pPr>
            <w:r>
              <w:rPr>
                <w:sz w:val="15"/>
              </w:rPr>
              <w:t>Distinguer Traces PIC, dernières connexions et Satambo</w:t>
            </w:r>
          </w:p>
        </w:tc>
      </w:tr>
    </w:tbl>
    <w:p>
      <w:pPr>
        <w:spacing w:before="40" w:after="0" w:line="228" w:lineRule="auto"/>
      </w:pPr>
      <w:r>
        <w:rPr>
          <w:b/>
        </w:rPr>
        <w:t xml:space="preserve">Onglets / compteurs : </w:t>
      </w:r>
      <w:r>
        <w:t>la réponse doit permettre d’obtenir le total des résultats et/ou le total par catégorie afin d’alimenter les compteurs des onglets.</w:t>
      </w:r>
    </w:p>
    <w:p>
      <w:pPr>
        <w:pStyle w:val="Heading1"/>
        <w:spacing w:before="60" w:after="20"/>
      </w:pPr>
      <w:r>
        <w:t>4. Filtres et pagination attendus</w:t>
      </w:r>
    </w:p>
    <w:p>
      <w:pPr>
        <w:pStyle w:val="ListBullet"/>
        <w:spacing w:after="0" w:line="240" w:lineRule="auto"/>
        <w:ind w:left="238"/>
      </w:pPr>
      <w:r>
        <w:t>Filtres : période/date, PIC ou application, type de trace, environnement, matricule et EDS.</w:t>
      </w:r>
    </w:p>
    <w:p>
      <w:pPr>
        <w:pStyle w:val="ListBullet"/>
        <w:spacing w:after="0" w:line="240" w:lineRule="auto"/>
        <w:ind w:left="238"/>
      </w:pPr>
      <w:r>
        <w:t>Pagination : pageSize + curseur/afterId, avec au minimum hasMore et total lorsque nécessaire.</w:t>
      </w:r>
    </w:p>
    <w:p>
      <w:pPr>
        <w:pStyle w:val="ListBullet"/>
        <w:spacing w:after="0" w:line="240" w:lineRule="auto"/>
        <w:ind w:left="238"/>
      </w:pPr>
      <w:r>
        <w:t>Tri déterministe, idéalement par date/heure puis identifiant.</w:t>
      </w:r>
    </w:p>
    <w:p>
      <w:pPr>
        <w:pStyle w:val="Heading1"/>
        <w:spacing w:before="60" w:after="20"/>
      </w:pPr>
      <w:r>
        <w:t>5. Résultat attendu</w:t>
      </w:r>
    </w:p>
    <w:p>
      <w:pPr>
        <w:spacing w:after="0" w:line="235" w:lineRule="auto"/>
      </w:pPr>
      <w:r>
        <w:rPr>
          <w:b/>
        </w:rPr>
        <w:t xml:space="preserve">PICUP doit pouvoir interroger les 39 installations, </w:t>
      </w:r>
      <w:r>
        <w:t>identifier correctement chaque Caisse Régionale grâce à MAPS, récupérer les traces sans doublon ni perte et alimenter les tableaux, filtres, recherches, détails, compteurs et onglets de la page « Traces PIC », notamment Traces PIC, dernières connexions et Satambo.</w:t>
      </w:r>
    </w:p>
    <w:sectPr w:rsidR="00FC693F" w:rsidRPr="0006063C" w:rsidSect="00034616">
      <w:footerReference w:type="default" r:id="rId9"/>
      <w:pgSz w:w="12240" w:h="15840"/>
      <w:pgMar w:top="595" w:right="879" w:bottom="59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PICUP / WebTrace — Besoin d’intégration des traces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