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Procédure d'arrêt contrôlé des services d'une infrastructure</w:t>
      </w:r>
    </w:p>
    <w:p>
      <w:pPr>
        <w:jc w:val="center"/>
      </w:pPr>
      <w:r>
        <w:rPr>
          <w:b/>
          <w:sz w:val="28"/>
        </w:rPr>
        <w:t>Documentation technique – Modèle générique</w:t>
        <w:br/>
      </w:r>
    </w:p>
    <w:p>
      <w:pPr>
        <w:pStyle w:val="Heading1"/>
      </w:pPr>
      <w:r>
        <w:t>1. Objectif</w:t>
      </w:r>
    </w:p>
    <w:p>
      <w:r>
        <w:t>Décrire une procédure standard permettant d'arrêter de manière sécurisée les composants d'une infrastructure informatique lors d'une maintenance, d'une migration ou d'une mise hors service planifiée.</w:t>
      </w:r>
    </w:p>
    <w:p>
      <w:pPr>
        <w:pStyle w:val="Heading1"/>
      </w:pPr>
      <w:r>
        <w:t>2. Prérequis</w:t>
      </w:r>
    </w:p>
    <w:p>
      <w:pPr>
        <w:pStyle w:val="ListBullet"/>
      </w:pPr>
      <w:r>
        <w:t>Valider la fenêtre de maintenance.</w:t>
      </w:r>
    </w:p>
    <w:p>
      <w:pPr>
        <w:pStyle w:val="ListBullet"/>
      </w:pPr>
      <w:r>
        <w:t>S'assurer qu'une sauvegarde récente est disponible.</w:t>
      </w:r>
    </w:p>
    <w:p>
      <w:pPr>
        <w:pStyle w:val="ListBullet"/>
      </w:pPr>
      <w:r>
        <w:t>Informer les utilisateurs concernés.</w:t>
      </w:r>
    </w:p>
    <w:p>
      <w:pPr>
        <w:pStyle w:val="ListBullet"/>
      </w:pPr>
      <w:r>
        <w:t>Vérifier les droits d'administration sur les serveurs.</w:t>
      </w:r>
    </w:p>
    <w:p>
      <w:pPr>
        <w:pStyle w:val="ListBullet"/>
      </w:pPr>
      <w:r>
        <w:t>Prévoir un plan de retour arrière en cas d'incident.</w:t>
      </w:r>
    </w:p>
    <w:p>
      <w:pPr>
        <w:pStyle w:val="Heading1"/>
      </w:pPr>
      <w:r>
        <w:t>3. Ordre recommandé des opérations</w:t>
      </w:r>
    </w:p>
    <w:p>
      <w:r>
        <w:t>1. Informer les utilisateurs et arrêter les traitements planifiés.</w:t>
      </w:r>
    </w:p>
    <w:p>
      <w:r>
        <w:t>2. Arrêter les applications ou services métier.</w:t>
      </w:r>
    </w:p>
    <w:p>
      <w:r>
        <w:t>3. Arrêter les sites Web (IIS ou Apache selon l'environnement).</w:t>
      </w:r>
    </w:p>
    <w:p>
      <w:r>
        <w:t>4. Désactiver les comptes SQL Server utilisés par les applications.</w:t>
      </w:r>
    </w:p>
    <w:p>
      <w:r>
        <w:t>5. Arrêter les services restants puis les serveurs.</w:t>
      </w:r>
    </w:p>
    <w:p>
      <w:pPr>
        <w:pStyle w:val="Heading1"/>
      </w:pPr>
      <w:r>
        <w:t>4. Arrêt des serveurs</w:t>
      </w:r>
    </w:p>
    <w:p>
      <w:pPr>
        <w:pStyle w:val="ListBullet"/>
      </w:pPr>
      <w:r>
        <w:t>Vérifier qu'aucun traitement critique n'est en cours.</w:t>
      </w:r>
    </w:p>
    <w:p>
      <w:pPr>
        <w:pStyle w:val="ListBullet"/>
      </w:pPr>
      <w:r>
        <w:t>Fermer les applications encore actives.</w:t>
      </w:r>
    </w:p>
    <w:p>
      <w:pPr>
        <w:pStyle w:val="ListBullet"/>
      </w:pPr>
      <w:r>
        <w:t>Arrêter proprement le système d'exploitation.</w:t>
      </w:r>
    </w:p>
    <w:p>
      <w:pPr>
        <w:pStyle w:val="ListBullet"/>
      </w:pPr>
      <w:r>
        <w:t>Contrôler que le serveur est complètement arrêté.</w:t>
      </w:r>
    </w:p>
    <w:p>
      <w:pPr>
        <w:pStyle w:val="Heading1"/>
      </w:pPr>
      <w:r>
        <w:t>5. Arrêt des sites ou pools IIS</w:t>
      </w:r>
    </w:p>
    <w:p>
      <w:pPr>
        <w:pStyle w:val="ListBullet"/>
      </w:pPr>
      <w:r>
        <w:t>Ouvrir le Gestionnaire IIS.</w:t>
      </w:r>
    </w:p>
    <w:p>
      <w:pPr>
        <w:pStyle w:val="ListBullet"/>
      </w:pPr>
      <w:r>
        <w:t>Identifier les sites Web concernés.</w:t>
      </w:r>
    </w:p>
    <w:p>
      <w:pPr>
        <w:pStyle w:val="ListBullet"/>
      </w:pPr>
      <w:r>
        <w:t>Arrêter le ou les sites Web.</w:t>
      </w:r>
    </w:p>
    <w:p>
      <w:pPr>
        <w:pStyle w:val="ListBullet"/>
      </w:pPr>
      <w:r>
        <w:t>Arrêter les pools d'applications associés si nécessaire.</w:t>
      </w:r>
    </w:p>
    <w:p>
      <w:pPr>
        <w:pStyle w:val="ListBullet"/>
      </w:pPr>
      <w:r>
        <w:t>Vérifier que l'état est bien « Arrêté ».</w:t>
      </w:r>
    </w:p>
    <w:p>
      <w:pPr>
        <w:pStyle w:val="Heading1"/>
      </w:pPr>
      <w:r>
        <w:t>6. Arrêt des sites Apache sans redémarrage</w:t>
      </w:r>
    </w:p>
    <w:p>
      <w:pPr>
        <w:pStyle w:val="ListBullet"/>
      </w:pPr>
      <w:r>
        <w:t>Identifier le service Apache concerné.</w:t>
      </w:r>
    </w:p>
    <w:p>
      <w:pPr>
        <w:pStyle w:val="ListBullet"/>
      </w:pPr>
      <w:r>
        <w:t>Arrêter le service Apache.</w:t>
      </w:r>
    </w:p>
    <w:p>
      <w:pPr>
        <w:pStyle w:val="ListBullet"/>
      </w:pPr>
      <w:r>
        <w:t>Désactiver le démarrage automatique afin d'éviter tout redémarrage après un redémarrage du serveur.</w:t>
      </w:r>
    </w:p>
    <w:p>
      <w:pPr>
        <w:pStyle w:val="ListBullet"/>
      </w:pPr>
      <w:r>
        <w:t>Vérifier que le service est bien arrêté et qu'aucun processus Apache n'est encore actif.</w:t>
      </w:r>
    </w:p>
    <w:p>
      <w:pPr>
        <w:pStyle w:val="Heading1"/>
      </w:pPr>
      <w:r>
        <w:t>7. Désactivation des comptes SQL Server</w:t>
      </w:r>
    </w:p>
    <w:p>
      <w:pPr>
        <w:pStyle w:val="ListBullet"/>
      </w:pPr>
      <w:r>
        <w:t>Identifier les comptes techniques utilisés par les applications.</w:t>
      </w:r>
    </w:p>
    <w:p>
      <w:pPr>
        <w:pStyle w:val="ListBullet"/>
      </w:pPr>
      <w:r>
        <w:t>Désactiver les comptes concernés.</w:t>
      </w:r>
    </w:p>
    <w:p>
      <w:pPr>
        <w:pStyle w:val="ListBullet"/>
      </w:pPr>
      <w:r>
        <w:t>Ne pas supprimer les comptes, sauf procédure spécifique.</w:t>
      </w:r>
    </w:p>
    <w:p>
      <w:pPr>
        <w:pStyle w:val="ListBullet"/>
      </w:pPr>
      <w:r>
        <w:t>Documenter les comptes désactivés et conserver une traçabilité.</w:t>
      </w:r>
    </w:p>
    <w:p>
      <w:pPr>
        <w:pStyle w:val="Heading1"/>
      </w:pPr>
      <w:r>
        <w:t>8. Vérifications finales</w:t>
      </w:r>
    </w:p>
    <w:p>
      <w:pPr>
        <w:pStyle w:val="ListBullet"/>
      </w:pPr>
      <w:r>
        <w:t>Confirmer que les serveurs prévus sont arrêtés.</w:t>
      </w:r>
    </w:p>
    <w:p>
      <w:pPr>
        <w:pStyle w:val="ListBullet"/>
      </w:pPr>
      <w:r>
        <w:t>Contrôler que les sites IIS sont arrêtés.</w:t>
      </w:r>
    </w:p>
    <w:p>
      <w:pPr>
        <w:pStyle w:val="ListBullet"/>
      </w:pPr>
      <w:r>
        <w:t>Contrôler que les services Apache sont arrêtés et non configurés pour redémarrer automatiquement.</w:t>
      </w:r>
    </w:p>
    <w:p>
      <w:pPr>
        <w:pStyle w:val="ListBullet"/>
      </w:pPr>
      <w:r>
        <w:t>Vérifier que les comptes SQL Server sont désactivés.</w:t>
      </w:r>
    </w:p>
    <w:p>
      <w:pPr>
        <w:pStyle w:val="ListBullet"/>
      </w:pPr>
      <w:r>
        <w:t>Consigner les opérations réalisées dans le compte rendu de maintenance.</w:t>
      </w:r>
    </w:p>
    <w:p>
      <w:pPr>
        <w:pStyle w:val="Heading1"/>
      </w:pPr>
      <w:r>
        <w:t>9. Bonnes pratiques</w:t>
      </w:r>
    </w:p>
    <w:p>
      <w:pPr>
        <w:pStyle w:val="ListBullet"/>
      </w:pPr>
      <w:r>
        <w:t>Toujours intervenir durant une fenêtre de maintenance validée.</w:t>
      </w:r>
    </w:p>
    <w:p>
      <w:pPr>
        <w:pStyle w:val="ListBullet"/>
      </w:pPr>
      <w:r>
        <w:t>Documenter chaque opération et son heure d'exécution.</w:t>
      </w:r>
    </w:p>
    <w:p>
      <w:pPr>
        <w:pStyle w:val="ListBullet"/>
      </w:pPr>
      <w:r>
        <w:t>Conserver les journaux système.</w:t>
      </w:r>
    </w:p>
    <w:p>
      <w:pPr>
        <w:pStyle w:val="ListBullet"/>
      </w:pPr>
      <w:r>
        <w:t>Faire valider la fin de l'intervention par les responsables concernés.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