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MOLECULAR CALCULATION REPORT</w:t>
      </w:r>
    </w:p>
    <w:p/>
    <w:p>
      <w:pPr>
        <w:spacing w:after="120"/>
        <w:jc w:val="center"/>
      </w:pPr>
      <w:r>
        <w:rPr>
          <w:b/>
          <w:sz w:val="28"/>
        </w:rPr>
        <w:t>1. MOLECULE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0" w:color="FFFFFF" w:space="0"/>
            </w:tcBorders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254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TOPOLOGY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0" w:color="FFFFFF" w:space="0"/>
            </w:tcBorders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2540000" cy="254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TOPOLOGY_cam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t>Figure 1: Chemical structure diagram with atomic numbering from two points of view.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0"/>
        <w:gridCol w:w="8000"/>
      </w:tblGrid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Directory name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QuChem</w:t>
            </w:r>
          </w:p>
        </w:tc>
      </w:tr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Formula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H2O</w:t>
            </w:r>
          </w:p>
        </w:tc>
      </w:tr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Charge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0</w:t>
            </w:r>
          </w:p>
        </w:tc>
      </w:tr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Spin multiplicity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1</w:t>
            </w:r>
          </w:p>
        </w:tc>
      </w:tr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Monoisotopic mass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18.01056 Da</w:t>
            </w:r>
          </w:p>
        </w:tc>
      </w:tr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InChI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1S/H2O/h1H2</w:t>
            </w:r>
          </w:p>
        </w:tc>
      </w:tr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0" w:color="FFFFFF" w:space="0"/>
            </w:tcBorders>
          </w:tcPr>
          <w:p>
            <w:r>
              <w:t>SMILES</w:t>
            </w:r>
          </w:p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0" w:color="FFFFFF" w:space="0"/>
              <w:end w:val="single" w:sz="2" w:color="000000" w:space="0"/>
            </w:tcBorders>
          </w:tcPr>
          <w:p>
            <w:r>
              <w:t>O</w:t>
            </w:r>
          </w:p>
        </w:tc>
      </w:tr>
    </w:tbl>
    <w:p/>
    <w:p>
      <w:pPr>
        <w:spacing w:after="120"/>
        <w:shd w:fill="008080"/>
      </w:pPr>
      <w:r>
        <w:rPr>
          <w:b/>
          <w:color w:val="FFFFFF"/>
          <w:sz w:val="28"/>
        </w:rPr>
        <w:t>2. COMPUTATIONAL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000"/>
        <w:gridCol w:w="1600"/>
      </w:tblGrid>
      <w:tr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2" w:color="000000" w:space="0"/>
            </w:tcBorders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Software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Gaussian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(2009+D.01)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Computational method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DFT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Functional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B3LYP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Basis set name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6-31G(d)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Number of basis set functions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19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Closed shell calculation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True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Requested SCF convergence on RMS and Max density matrix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1e-08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1e-06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Requested SCF convergence on energy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1e-06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Job type: Time-dependent calculation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Number of calculated excited states and spin state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5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['Singlet-A1' 'Singlet-A2' 'Singlet-B1' 'Singlet-B2']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Job type: Geometry optimization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Max Force value and threshold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0.000156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0.000450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RMS Force value and threshold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0.000101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0.000300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Max Displacement value and threshold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0.000578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0.001800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RMS Displacement value and threshold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0.000550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0.001200</w:t>
                  </w:r>
                </w:p>
              </w:tc>
            </w:tr>
            <w:tr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  <w:tc>
                <w:tcPr>
                  <w:tcW w:type="dxa" w:w="144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 xml:space="preserve"> </w:t>
                  </w:r>
                </w:p>
              </w:tc>
            </w:tr>
          </w:tbl>
          <w:p/>
        </w:tc>
        <w:tc>
          <w:tcPr>
            <w:tcW w:type="dxa" w:w="4320"/>
            <w:tcBorders>
              <w:top w:val="single" w:sz="0" w:color="FFFFFF" w:space="0"/>
              <w:bottom w:val="single" w:sz="0" w:color="FFFFFF" w:space="0"/>
              <w:start w:val="single" w:sz="2" w:color="000000" w:space="0"/>
              <w:end w:val="single" w:sz="2" w:color="000000" w:space="0"/>
            </w:tcBorders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100"/>
            </w:tblGrid>
            <w:tr>
              <w:tc>
                <w:tcPr>
                  <w:tcW w:type="dxa" w:w="432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test</w:t>
                  </w:r>
                </w:p>
              </w:tc>
            </w:tr>
            <w:tr>
              <w:tc>
                <w:tcPr>
                  <w:tcW w:type="dxa" w:w="432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test</w:t>
                  </w:r>
                </w:p>
              </w:tc>
            </w:tr>
            <w:tr>
              <w:tc>
                <w:tcPr>
                  <w:tcW w:type="dxa" w:w="432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test</w:t>
                  </w:r>
                </w:p>
              </w:tc>
            </w:tr>
            <w:tr>
              <w:tc>
                <w:tcPr>
                  <w:tcW w:type="dxa" w:w="4320"/>
                  <w:tcBorders>
                    <w:top w:val="single" w:sz="0" w:color="FFFFFF" w:space="0"/>
                    <w:bottom w:val="single" w:sz="0" w:color="FFFFFF" w:space="0"/>
                    <w:start w:val="single" w:sz="0" w:color="FFFFFF" w:space="0"/>
                    <w:end w:val="single" w:sz="0" w:color="FFFFFF" w:space="0"/>
                  </w:tcBorders>
                </w:tcPr>
                <w:p>
                  <w:r>
                    <w:t>test</w:t>
                  </w:r>
                </w:p>
              </w:tc>
            </w:tr>
          </w:tbl>
          <w:p/>
        </w:tc>
      </w:tr>
    </w:tbl>
    <w:p>
      <w:r>
        <w:br/>
        <w:t>Job type: Geometry optimization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