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0B2545"/>
          <w:sz w:val="26"/>
          <w:szCs w:val="26"/>
        </w:rPr>
        <w:t xml:space="preserve">UNIVERSIDAD TECNOLÓGICA METROPOLITANA</w:t>
      </w:r>
    </w:p>
    <w:p>
      <w:pPr>
        <w:jc w:val="center"/>
      </w:pPr>
      <w:r>
        <w:rPr>
          <w:sz w:val="22"/>
          <w:szCs w:val="22"/>
        </w:rPr>
        <w:t xml:space="preserve">Facultad de Ingeniería · Escuela de Informática y Computación</w:t>
      </w:r>
    </w:p>
    <w:p>
      <w:pPr>
        <w:spacing w:after="900"/>
        <w:jc w:val="center"/>
      </w:pPr>
      <w:r>
        <w:rPr>
          <w:sz w:val="22"/>
          <w:szCs w:val="22"/>
        </w:rPr>
        <w:t xml:space="preserve">Cátedra Gestión de Proyectos Informáticos (GPI) 2026-II · Sección 411</w:t>
      </w:r>
    </w:p>
    <w:p>
      <w:pPr>
        <w:spacing w:after="200"/>
        <w:jc w:val="center"/>
      </w:pPr>
      <w:r>
        <w:rPr>
          <w:b/>
          <w:bCs/>
          <w:color w:val="0B2545"/>
          <w:sz w:val="40"/>
          <w:szCs w:val="40"/>
        </w:rPr>
        <w:t xml:space="preserve">Informe de Evaluación Técnica y Económica</w:t>
      </w:r>
    </w:p>
    <w:p>
      <w:pPr>
        <w:spacing w:after="200"/>
        <w:jc w:val="center"/>
      </w:pPr>
      <w:r>
        <w:rPr>
          <w:b/>
          <w:bCs/>
          <w:color w:val="0B2545"/>
          <w:sz w:val="40"/>
          <w:szCs w:val="40"/>
        </w:rPr>
        <w:t xml:space="preserve">(Informe ERV) – Caso de Estudio PIA</w:t>
      </w:r>
    </w:p>
    <w:p>
      <w:pPr>
        <w:spacing w:after="700"/>
        <w:jc w:val="center"/>
      </w:pPr>
      <w:r>
        <w:rPr>
          <w:i/>
          <w:iCs/>
          <w:sz w:val="26"/>
          <w:szCs w:val="26"/>
        </w:rPr>
        <w:t xml:space="preserve">Integración del prototipo Vox-Causal AI (Inferencia Causal Multimodal) en la plataforma corporativa de Alloxentric SpA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1. </w:t>
      </w:r>
      <w:r>
        <w:rPr>
          <w:i/>
          <w:iCs/>
          <w:color w:val="444444"/>
          <w:sz w:val="18"/>
          <w:szCs w:val="18"/>
        </w:rPr>
        <w:t xml:space="preserve">Datos del informe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5"/>
        <w:gridCol w:w="6973"/>
      </w:tblGrid>
      <w:tr>
        <w:trPr>
          <w:tblHeader/>
        </w:trP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Cliente corporativo</w:t>
            </w:r>
          </w:p>
        </w:tc>
        <w:tc>
          <w:tcPr>
            <w:tcW w:type="dxa" w:w="69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Alloxentric SpA – casa matriz en Londres, Reino Unido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Sección / grupo</w:t>
            </w:r>
          </w:p>
        </w:tc>
        <w:tc>
          <w:tcPr>
            <w:tcW w:type="dxa" w:w="69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411 – Grupo 2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Docente</w:t>
            </w:r>
          </w:p>
        </w:tc>
        <w:tc>
          <w:tcPr>
            <w:tcW w:type="dxa" w:w="69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Dr. Oscar Magna Veloso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Desafío técnico del caso</w:t>
            </w:r>
          </w:p>
        </w:tc>
        <w:tc>
          <w:tcPr>
            <w:tcW w:type="dxa" w:w="69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Latencia de inferencia &lt; 250 ms, 1.500 llamadas concurrentes, error ATE ≤ 0,05 e integración con Azure (API Management, Service Bus, Blob Storage con SAS URLs, Azure OpenAI)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Entrega</w:t>
            </w:r>
          </w:p>
        </w:tc>
        <w:tc>
          <w:tcPr>
            <w:tcW w:type="dxa" w:w="69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28 de octubre de 2026 · repositorio del proyecto, carpeta /docs/erv</w:t>
            </w:r>
          </w:p>
        </w:tc>
      </w:tr>
    </w:tbl>
    <w:p>
      <w:pPr>
        <w:spacing w:after="120"/>
      </w:pPr>
    </w:p>
    <w:p>
      <w:pPr>
        <w:spacing w:after="60" w:before="300"/>
        <w:jc w:val="center"/>
      </w:pPr>
      <w:r>
        <w:rPr>
          <w:b/>
          <w:bCs/>
          <w:color w:val="0B2545"/>
          <w:sz w:val="22"/>
          <w:szCs w:val="22"/>
        </w:rPr>
        <w:t xml:space="preserve">Integrantes</w:t>
      </w:r>
    </w:p>
    <w:p>
      <w:pPr>
        <w:jc w:val="center"/>
      </w:pPr>
      <w:r>
        <w:rPr>
          <w:sz w:val="22"/>
          <w:szCs w:val="22"/>
        </w:rPr>
        <w:t xml:space="preserve">Giovanni Gabrielli · Martín Vera · Aylin Strajilevich · Cristóbal Muñoz</w:t>
      </w:r>
    </w:p>
    <w:p>
      <w:pPr>
        <w:pageBreakBefore/>
        <w:spacing w:after="200"/>
      </w:pPr>
      <w:r>
        <w:rPr>
          <w:b/>
          <w:bCs/>
          <w:color w:val="0B2545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300"/>
      </w:pPr>
      <w:r>
        <w:rPr>
          <w:i/>
          <w:iCs/>
          <w:color w:val="777777"/>
          <w:sz w:val="16"/>
          <w:szCs w:val="16"/>
        </w:rPr>
        <w:t xml:space="preserve">Nota: si el índice aparece vacío, en Word haga clic derecho sobre él y elija «Actualizar campos».</w:t>
      </w:r>
    </w:p>
    <w:p>
      <w:pPr>
        <w:pStyle w:val="Heading1"/>
        <w:pageBreakBefore/>
        <w:spacing w:after="200"/>
      </w:pPr>
      <w:r>
        <w:t xml:space="preserve">Resumen ejecutivo</w:t>
      </w:r>
    </w:p>
    <w:p>
      <w:pPr>
        <w:spacing w:after="120" w:line="276"/>
        <w:jc w:val="both"/>
      </w:pPr>
      <w:r>
        <w:t xml:space="preserve">Alloxentric SpA solicitó evaluar si conviene financiar e integrar en su plataforma SaaS el prototipo </w:t>
      </w:r>
      <w:r>
        <w:rPr>
          <w:b/>
          <w:bCs/>
        </w:rPr>
        <w:t xml:space="preserve">Vox-Causal AI</w:t>
      </w:r>
      <w:r>
        <w:t xml:space="preserve">, que identifica durante la llamada la </w:t>
      </w:r>
      <w:r>
        <w:rPr>
          <w:b/>
          <w:bCs/>
        </w:rPr>
        <w:t xml:space="preserve">causa raíz</w:t>
      </w:r>
      <w:r>
        <w:t xml:space="preserve"> de la insatisfacción del cliente y su riesgo de fuga, combinando análisis prosódico de la voz con Modelos Causales Estructurales (SCM/DAG). La evaluación se apoya en (1) una revisión del estado del arte y de soluciones comparables, (2) el diseño de la arquitectura de integración en Azure con un presupuesto de latencia, y (3) un modelo financiero a 5 años con precios públicos de AWS como referencia y supuestos de mercado citados.</w:t>
      </w:r>
    </w:p>
    <w:p>
      <w:pPr>
        <w:spacing w:after="120" w:line="276"/>
        <w:jc w:val="both"/>
      </w:pPr>
      <w:r>
        <w:rPr>
          <w:b/>
          <w:bCs/>
        </w:rPr>
        <w:t xml:space="preserve">Nota metodológica.</w:t>
      </w:r>
      <w:r>
        <w:t xml:space="preserve"> Por instrucción de la cátedra, los costos de infraestructura se estimaron con </w:t>
      </w:r>
      <w:r>
        <w:rPr>
          <w:b/>
          <w:bCs/>
        </w:rPr>
        <w:t xml:space="preserve">precios públicos de AWS en Londres (eu-west-2)</w:t>
      </w:r>
      <w:r>
        <w:t xml:space="preserve"> para el servicio equivalente a cada componente Azure del caso (Anexo B). Montos en dólares (US$).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2. </w:t>
      </w:r>
      <w:r>
        <w:rPr>
          <w:i/>
          <w:iCs/>
          <w:color w:val="444444"/>
          <w:sz w:val="18"/>
          <w:szCs w:val="18"/>
        </w:rPr>
        <w:t xml:space="preserve">Indicadores clave de la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0"/>
        <w:gridCol w:w="3075"/>
        <w:gridCol w:w="3693"/>
      </w:tblGrid>
      <w:tr>
        <w:trPr>
          <w:tblHeader/>
        </w:trP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/ resultado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Latencia de inferencia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&lt; 250 ms [CASO] · diseño p95 175 ms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Cumple con 75 ms de holgura (capítulo 4)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1.500 llamadas [CASO]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36 GPU y 12 nodos CPU en el pico, autoescalado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Precisión causal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Error ATE ≤ 0,05 [CASO]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Puerta de calidad en el pipeline antes de publicar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CAPEX / OPEX anual pleno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US$ 69.835 / US$ 281.383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800 HH del caso; cloud + 1 FTE MLOps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VAN después de impuestos (12,34%)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US$ 366.751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Crea valor en el escenario base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TIR / Payback / B/C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91,9% / 1,82 años / 1,54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Recupera la inversión en el año 2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Valor para el cliente</w:t>
            </w:r>
          </w:p>
        </w:tc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US$ 13,2 de ahorro por cada US$ 1 de recargo</w:t>
            </w:r>
          </w:p>
        </w:tc>
        <w:tc>
          <w:tcPr>
            <w:tcW w:type="dxa" w:w="369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Justifica el recargo de 20%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168BD" w:sz="8"/>
              <w:left w:val="single" w:color="1168BD" w:sz="8"/>
              <w:bottom w:val="single" w:color="1168BD" w:sz="8"/>
              <w:right w:val="single" w:color="1168BD" w:sz="8"/>
            </w:tcBorders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B2545"/>
              </w:rPr>
              <w:t xml:space="preserve">Dictamen: GO CONDICIONADO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El proyecto es técnica y económicamente viable en los escenarios base y optimista. El escenario pesimista (VAN −US$ 215.937) muestra que el valor depende del </w:t>
            </w:r>
            <w:r>
              <w:rPr>
                <w:b/>
                <w:bCs/>
                <w:sz w:val="20"/>
                <w:szCs w:val="20"/>
              </w:rPr>
              <w:t xml:space="preserve">precio aceptado por el mercado y de la adopción</w:t>
            </w:r>
            <w:r>
              <w:rPr>
                <w:sz w:val="20"/>
                <w:szCs w:val="20"/>
              </w:rPr>
              <w:t xml:space="preserve">. Se recomienda avanzar por fases con tres condiciones: prueba de carga que cumpla &lt; 250 ms con 1.500 llamadas, piloto que valide un recargo ≥ 15% (quiebre: 13,1%) y LLM de bajo costo fuera del camino crítico (capítulo 8).</w:t>
            </w:r>
          </w:p>
        </w:tc>
      </w:tr>
    </w:tbl>
    <w:p>
      <w:pPr>
        <w:pStyle w:val="Heading1"/>
        <w:keepNext/>
        <w:spacing w:after="200" w:before="240"/>
      </w:pPr>
      <w:r>
        <w:t xml:space="preserve">1. Contexto y problema</w:t>
      </w:r>
    </w:p>
    <w:p>
      <w:pPr>
        <w:spacing w:after="120" w:line="276"/>
        <w:jc w:val="both"/>
      </w:pPr>
      <w:r>
        <w:t xml:space="preserve">Alloxentric SpA, con casa matriz en Londres, procesa diariamente millones de interacciones de texto, audio y video en Microsoft Azure. Sus modelos de IA actuales son </w:t>
      </w:r>
      <w:r>
        <w:rPr>
          <w:b/>
          <w:bCs/>
        </w:rPr>
        <w:t xml:space="preserve">correlacionales</w:t>
      </w:r>
      <w:r>
        <w:t xml:space="preserve">: detectan sentimiento o tono, pero no explican </w:t>
      </w:r>
      <w:r>
        <w:rPr>
          <w:b/>
          <w:bCs/>
        </w:rPr>
        <w:t xml:space="preserve">por qué</w:t>
      </w:r>
      <w:r>
        <w:t xml:space="preserve"> el cliente está insatisfecho ni qué acción reduciría su riesgo de fuga. Vox-Causal AI aborda ese vacío con un DAG sobre las causas operativas de una llamada (transferencias, esperas, errores de cobro), ajustado por confusores como el historial de contacto del cliente, y con los rasgos prosódicos de la voz medidos en vivo.</w:t>
      </w:r>
    </w:p>
    <w:p>
      <w:pPr>
        <w:pStyle w:val="Heading2"/>
        <w:keepNext/>
        <w:spacing w:after="120" w:before="240"/>
      </w:pPr>
      <w:r>
        <w:t xml:space="preserve">1.1 Por qué IA causal y no correlacional</w:t>
      </w:r>
    </w:p>
    <w:p>
      <w:pPr>
        <w:spacing w:after="120" w:line="276"/>
        <w:jc w:val="both"/>
      </w:pPr>
      <w:r>
        <w:t xml:space="preserve">Un ejemplo numérico, verificable a mano, muestra el problema. Los clientes que </w:t>
      </w:r>
      <w:r>
        <w:rPr>
          <w:b/>
          <w:bCs/>
        </w:rPr>
        <w:t xml:space="preserve">ya habían llamado antes</w:t>
      </w:r>
      <w:r>
        <w:t xml:space="preserve"> son transferidos más a menudo y, además, se fugan más por sí solos: el contacto previo es un </w:t>
      </w:r>
      <w:r>
        <w:rPr>
          <w:b/>
          <w:bCs/>
        </w:rPr>
        <w:t xml:space="preserve">confusor</w:t>
      </w:r>
      <w:r>
        <w:t xml:space="preserve">. Dentro de cada segmento, ser transferido varias veces aumenta la fuga en exactamente </w:t>
      </w:r>
      <w:r>
        <w:rPr>
          <w:b/>
          <w:bCs/>
        </w:rPr>
        <w:t xml:space="preserve">8 puntos porcentuales</w:t>
      </w:r>
      <w:r>
        <w:t xml:space="preserve"> (el efecto real):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3. </w:t>
      </w:r>
      <w:r>
        <w:rPr>
          <w:i/>
          <w:iCs/>
          <w:color w:val="444444"/>
          <w:sz w:val="18"/>
          <w:szCs w:val="18"/>
        </w:rPr>
        <w:t xml:space="preserve">Ejemplo ilustrativo de sesgo por confusión (probabilidad de fuga a 90 días)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1047"/>
        <w:gridCol w:w="1466"/>
        <w:gridCol w:w="1780"/>
        <w:gridCol w:w="1466"/>
        <w:gridCol w:w="1365"/>
      </w:tblGrid>
      <w:tr>
        <w:trPr>
          <w:tblHeader/>
        </w:trPr>
        <w:tc>
          <w:tcPr>
            <w:tcW w:type="dxa" w:w="25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0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14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transferido</w:t>
            </w:r>
          </w:p>
        </w:tc>
        <w:tc>
          <w:tcPr>
            <w:tcW w:type="dxa" w:w="17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Fuga si transferido</w:t>
            </w:r>
          </w:p>
        </w:tc>
        <w:tc>
          <w:tcPr>
            <w:tcW w:type="dxa" w:w="14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Fuga si no</w:t>
            </w:r>
          </w:p>
        </w:tc>
        <w:tc>
          <w:tcPr>
            <w:tcW w:type="dxa" w:w="13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 real</w:t>
            </w:r>
          </w:p>
        </w:tc>
      </w:tr>
      <w:tr>
        <w:tc>
          <w:tcPr>
            <w:tcW w:type="dxa" w:w="25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 llamada previa</w:t>
            </w:r>
          </w:p>
        </w:tc>
        <w:tc>
          <w:tcPr>
            <w:tcW w:type="dxa" w:w="10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40%</w:t>
            </w:r>
          </w:p>
        </w:tc>
        <w:tc>
          <w:tcPr>
            <w:tcW w:type="dxa" w:w="14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60%</w:t>
            </w:r>
          </w:p>
        </w:tc>
        <w:tc>
          <w:tcPr>
            <w:tcW w:type="dxa" w:w="17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35%</w:t>
            </w:r>
          </w:p>
        </w:tc>
        <w:tc>
          <w:tcPr>
            <w:tcW w:type="dxa" w:w="14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27%</w:t>
            </w:r>
          </w:p>
        </w:tc>
        <w:tc>
          <w:tcPr>
            <w:tcW w:type="dxa" w:w="13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+8 pp</w:t>
            </w:r>
          </w:p>
        </w:tc>
      </w:tr>
      <w:tr>
        <w:tc>
          <w:tcPr>
            <w:tcW w:type="dxa" w:w="25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Primer contacto</w:t>
            </w:r>
          </w:p>
        </w:tc>
        <w:tc>
          <w:tcPr>
            <w:tcW w:type="dxa" w:w="104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60%</w:t>
            </w:r>
          </w:p>
        </w:tc>
        <w:tc>
          <w:tcPr>
            <w:tcW w:type="dxa" w:w="14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17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15%</w:t>
            </w:r>
          </w:p>
        </w:tc>
        <w:tc>
          <w:tcPr>
            <w:tcW w:type="dxa" w:w="14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7%</w:t>
            </w:r>
          </w:p>
        </w:tc>
        <w:tc>
          <w:tcPr>
            <w:tcW w:type="dxa" w:w="13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+8 pp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ejemplo construido por el equipo con asistencia de IA (Claude Opus, Anthropic).</w:t>
      </w:r>
    </w:p>
    <w:p>
      <w:pPr>
        <w:spacing w:after="120" w:line="276"/>
        <w:jc w:val="both"/>
      </w:pPr>
      <w:r>
        <w:t xml:space="preserve">Si se comparan directamente todos los clientes transferidos con los no transferidos, la fuga es </w:t>
      </w:r>
      <w:r>
        <w:rPr>
          <w:b/>
          <w:bCs/>
        </w:rPr>
        <w:t xml:space="preserve">27,3% frente a 12,2%</w:t>
      </w:r>
      <w:r>
        <w:t xml:space="preserve">: la lectura correlacional atribuye a las transferencias </w:t>
      </w:r>
      <w:r>
        <w:rPr>
          <w:b/>
          <w:bCs/>
        </w:rPr>
        <w:t xml:space="preserve">15,1 pp</w:t>
      </w:r>
      <w:r>
        <w:t xml:space="preserve">, casi el doble del efecto real, con un </w:t>
      </w:r>
      <w:r>
        <w:rPr>
          <w:b/>
          <w:bCs/>
        </w:rPr>
        <w:t xml:space="preserve">error de ATE de 0,071 &gt; 0,05</w:t>
      </w:r>
      <w:r>
        <w:t xml:space="preserve">. Ajustando por el confusor (criterio backdoor: promediar el efecto dentro de cada segmento) se recupera el efecto real de 8 pp. Por eso el caso usa el error de ATE como métrica de precisión: solo un método causal la cumple, y un operador guiado por correlaciones puede atacar la causa equivocada.</w:t>
      </w:r>
    </w:p>
    <w:p>
      <w:pPr>
        <w:pStyle w:val="Heading2"/>
        <w:keepNext/>
        <w:spacing w:after="120" w:before="240"/>
      </w:pPr>
      <w:r>
        <w:t xml:space="preserve">1.2 Estado del arte y soluciones comparables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4. </w:t>
      </w:r>
      <w:r>
        <w:rPr>
          <w:i/>
          <w:iCs/>
          <w:color w:val="444444"/>
          <w:sz w:val="18"/>
          <w:szCs w:val="18"/>
        </w:rPr>
        <w:t xml:space="preserve">Soluciones comparables en producción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2557"/>
        <w:gridCol w:w="2557"/>
        <w:gridCol w:w="2361"/>
      </w:tblGrid>
      <w:tr>
        <w:trPr>
          <w:tblHeader/>
        </w:trPr>
        <w:tc>
          <w:tcPr>
            <w:tcW w:type="dxa" w:w="21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Solución / caso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reportado</w:t>
            </w:r>
          </w:p>
        </w:tc>
        <w:tc>
          <w:tcPr>
            <w:tcW w:type="dxa" w:w="23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Brecha frente a Vox-Causal</w:t>
            </w:r>
          </w:p>
        </w:tc>
      </w:tr>
      <w:tr>
        <w:tc>
          <w:tcPr>
            <w:tcW w:type="dxa" w:w="21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Cogito en MetLife (EE. UU.)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Analiza tono, ritmo y frecuencia de palabras en vivo y sugiere ajustes al agente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+13% satisfacción y +3,5% resolución al primer contacto en 10 centros</w:t>
            </w:r>
          </w:p>
        </w:tc>
        <w:tc>
          <w:tcPr>
            <w:tcW w:type="dxa" w:w="23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Detecta cómo suena la llamada, no por qué el cliente está molesto</w:t>
            </w:r>
          </w:p>
        </w:tc>
      </w:tr>
      <w:tr>
        <w:tc>
          <w:tcPr>
            <w:tcW w:type="dxa" w:w="21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Microsoft Copilot for Service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Asistente de agentes con IA generativa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−12% de AHT (programa de acceso anticipado, 2023)</w:t>
            </w:r>
          </w:p>
        </w:tc>
        <w:tc>
          <w:tcPr>
            <w:tcW w:type="dxa" w:w="23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Recomienda contenido; no atribuye causa</w:t>
            </w:r>
          </w:p>
        </w:tc>
      </w:tr>
      <w:tr>
        <w:tc>
          <w:tcPr>
            <w:tcW w:type="dxa" w:w="21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Google Agent Assist en TTEC y YouTube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Sugerencias de conocimiento y resúmenes en vivo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TTEC: −11% de AHT; YouTube: −23% de AHT con agentes conversacionales</w:t>
            </w:r>
          </w:p>
        </w:tc>
        <w:tc>
          <w:tcPr>
            <w:tcW w:type="dxa" w:w="23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Correlacional; no estima efectos</w:t>
            </w:r>
          </w:p>
        </w:tc>
      </w:tr>
      <w:tr>
        <w:tc>
          <w:tcPr>
            <w:tcW w:type="dxa" w:w="21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Five9 Agent Assist en TruConnect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Transcripción y notas automáticas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−30 s de AHT en tres meses</w:t>
            </w:r>
          </w:p>
        </w:tc>
        <w:tc>
          <w:tcPr>
            <w:tcW w:type="dxa" w:w="23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Automatiza documentación; no diagnostica</w:t>
            </w:r>
          </w:p>
        </w:tc>
      </w:tr>
      <w:tr>
        <w:tc>
          <w:tcPr>
            <w:tcW w:type="dxa" w:w="21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Uber CausalML · Microsoft EconML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Librerías de ML causal (efectos heterogéneos, CATE)</w:t>
            </w:r>
          </w:p>
        </w:tc>
        <w:tc>
          <w:tcPr>
            <w:tcW w:type="dxa" w:w="25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Uso en producción para focalizar campañas y personalizar ofertas</w:t>
            </w:r>
          </w:p>
        </w:tc>
        <w:tc>
          <w:tcPr>
            <w:tcW w:type="dxa" w:w="236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Procesamiento por lotes en marketing, no streaming de voz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Best Practice AI (MetLife); CX Today (2023); Google Cloud (2024); Business Wire (2021); repositorio uber/causalml. Ver Referencias.</w:t>
      </w:r>
    </w:p>
    <w:p>
      <w:pPr>
        <w:spacing w:after="120" w:line="276"/>
        <w:jc w:val="both"/>
      </w:pPr>
      <w:r>
        <w:rPr>
          <w:b/>
          <w:bCs/>
        </w:rPr>
        <w:t xml:space="preserve">Lecciones.</w:t>
      </w:r>
      <w:r>
        <w:t xml:space="preserve"> (1) Las reducciones de tiempo de manejo reportadas (</w:t>
      </w:r>
      <w:r>
        <w:rPr>
          <w:b/>
          <w:bCs/>
        </w:rPr>
        <w:t xml:space="preserve">11% a 23%</w:t>
      </w:r>
      <w:r>
        <w:t xml:space="preserve">) hacen </w:t>
      </w:r>
      <w:r>
        <w:rPr>
          <w:b/>
          <w:bCs/>
        </w:rPr>
        <w:t xml:space="preserve">plausible</w:t>
      </w:r>
      <w:r>
        <w:t xml:space="preserve"> el 15% de reducción de TTR del caso, que se ubica dentro del rango; el capítulo 8 también evalúa el valor con 11%. (2) Ninguna solución revisada estima </w:t>
      </w:r>
      <w:r>
        <w:rPr>
          <w:b/>
          <w:bCs/>
        </w:rPr>
        <w:t xml:space="preserve">efectos causales en vivo</w:t>
      </w:r>
      <w:r>
        <w:t xml:space="preserve">: todas detectan emoción, sentimiento o contenido. Esa es la diferenciación que sostiene el recargo de 20%. (3) Desde el </w:t>
      </w:r>
      <w:r>
        <w:rPr>
          <w:b/>
          <w:bCs/>
        </w:rPr>
        <w:t xml:space="preserve">2 de febrero de 2025</w:t>
      </w:r>
      <w:r>
        <w:t xml:space="preserve"> el </w:t>
      </w:r>
      <w:r>
        <w:rPr>
          <w:b/>
          <w:bCs/>
        </w:rPr>
        <w:t xml:space="preserve">EU AI Act (art. 5.1.f)</w:t>
      </w:r>
      <w:r>
        <w:t xml:space="preserve"> prohíbe los sistemas de reconocimiento de emociones a partir de datos biométricos en el lugar de trabajo, con ejemplos explícitos de monitoreo de agentes de call center. Por eso el diseño analiza </w:t>
      </w:r>
      <w:r>
        <w:rPr>
          <w:b/>
          <w:bCs/>
        </w:rPr>
        <w:t xml:space="preserve">solo la voz del cliente</w:t>
      </w:r>
      <w:r>
        <w:t xml:space="preserve"> y nunca la del operador.</w:t>
      </w:r>
    </w:p>
    <w:p>
      <w:pPr>
        <w:pStyle w:val="Heading2"/>
        <w:keepNext/>
        <w:spacing w:after="120" w:before="240"/>
      </w:pPr>
      <w:r>
        <w:t xml:space="preserve">1.3 Objetivos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Evaluar la compatibilidad técnica del prototipo con la arquitectura Azure de Alloxentric y la factibilidad de los KPI del caso, resolviendo el incidente de latencia y seguridad.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Estimar CAPEX y OPEX con fuentes verificables y calcular VAN, TIR, Payback y B/C.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Emitir un dictamen GO / NO-GO con sus condiciones, riesgos y hoja de ruta.</w:t>
      </w:r>
    </w:p>
    <w:p>
      <w:pPr>
        <w:pStyle w:val="Heading1"/>
        <w:keepNext/>
        <w:spacing w:after="200" w:before="240"/>
      </w:pPr>
      <w:r>
        <w:t xml:space="preserve">2. Gestión y control del proyecto (EVM)</w:t>
      </w:r>
    </w:p>
    <w:p>
      <w:pPr>
        <w:spacing w:after="120" w:line="276"/>
        <w:jc w:val="both"/>
      </w:pPr>
      <w:r>
        <w:t xml:space="preserve">La línea base del proyecto de integración corresponde a las </w:t>
      </w:r>
      <w:r>
        <w:rPr>
          <w:b/>
          <w:bCs/>
        </w:rPr>
        <w:t xml:space="preserve">800 horas-hombre</w:t>
      </w:r>
      <w:r>
        <w:t xml:space="preserve"> del caso (BAC = US$ 54.982 a US$ 68,73/h), distribuidas en </w:t>
      </w:r>
      <w:r>
        <w:rPr>
          <w:b/>
          <w:bCs/>
        </w:rPr>
        <w:t xml:space="preserve">siete paquetes de trabajo durante 10 semanas</w:t>
      </w:r>
      <w:r>
        <w:t xml:space="preserve">. La fecha de corte es el cierre de la semana 6. </w:t>
      </w:r>
      <w:r>
        <w:rPr>
          <w:b/>
          <w:bCs/>
        </w:rPr>
        <w:t xml:space="preserve">Origen de los datos:</w:t>
      </w:r>
      <w:r>
        <w:t xml:space="preserve"> PV desde la línea base; EV y AC como </w:t>
      </w:r>
      <w:r>
        <w:rPr>
          <w:b/>
          <w:bCs/>
        </w:rPr>
        <w:t xml:space="preserve">escenario de control simulado</w:t>
      </w:r>
      <w:r>
        <w:t xml:space="preserve"> para el ejercicio académico (el proyecto aún no se ejecuta), incluido el retrabajo de integración y seguridad provocado por el incidente de latencia y seguridad (capítulo 4).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5. </w:t>
      </w:r>
      <w:r>
        <w:rPr>
          <w:i/>
          <w:iCs/>
          <w:color w:val="444444"/>
          <w:sz w:val="18"/>
          <w:szCs w:val="18"/>
        </w:rPr>
        <w:t xml:space="preserve">Estructura de desglose del trabajo (EDT) y valor ganado al corte de la semana 6 (horas)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"/>
        <w:gridCol w:w="3730"/>
        <w:gridCol w:w="932"/>
        <w:gridCol w:w="725"/>
        <w:gridCol w:w="725"/>
        <w:gridCol w:w="725"/>
        <w:gridCol w:w="725"/>
        <w:gridCol w:w="777"/>
        <w:gridCol w:w="781"/>
      </w:tblGrid>
      <w:tr>
        <w:trPr>
          <w:tblHeader/>
        </w:trP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 de trabajo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SPI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CPI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Gestión, gobernanza y evaluación de impacto (DPIA)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S1–S10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1,00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0,90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Refactorización y contenerización del prototipo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S1–S4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158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1,00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0,95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Integración Azure (APIM, Service Bus, Blob SAS, Web PubSub)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S3–S7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96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118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0,80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0,81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Pipeline MLOps y motor causal (Azure ML)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S2–S7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160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133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140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142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1,05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0,99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Seguridad y cumplimiento (SAS, TLS, aislamiento, UK GDPR)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S5–S8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90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45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0,89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0,83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Pruebas SQA y desempeño (latencia, concurrencia, ATE)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S6–S10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0,75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0,90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Despliegue canario y transferencia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S9–S10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70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1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7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Total proyecto</w:t>
            </w:r>
          </w:p>
        </w:tc>
        <w:tc>
          <w:tcPr>
            <w:tcW w:type="dxa" w:w="9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S1–S10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508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480</w:t>
            </w:r>
          </w:p>
        </w:tc>
        <w:tc>
          <w:tcPr>
            <w:tcW w:type="dxa" w:w="7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526</w:t>
            </w:r>
          </w:p>
        </w:tc>
        <w:tc>
          <w:tcPr>
            <w:tcW w:type="dxa" w:w="7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0,945</w:t>
            </w:r>
          </w:p>
        </w:tc>
        <w:tc>
          <w:tcPr>
            <w:tcW w:type="dxa" w:w="7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0,913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línea base del equipo sobre las 800 HH [CASO]; EV y AC simulados; Elaborado por el Grupo 2 con asistencia de IA (Claude Opus, Anthropic); revisado por el equipo.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67375" cy="3257550"/>
            <wp:effectExtent t="0" r="0" b="0" l="0"/>
            <wp:docPr id="1" name="evm_curva_s" descr="Curva S: PV, EV y AC acumulados en % del BAC, con pronóstico al término. Elaborado por el Grupo 2 con asistencia de IA (Claude Opus, Anthropic); revisado por el equipo." title="Curva S: PV, EV y AC acumulados en % del BAC, con pronóstico al término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1. </w:t>
      </w:r>
      <w:r>
        <w:rPr>
          <w:i/>
          <w:iCs/>
          <w:color w:val="444444"/>
          <w:sz w:val="18"/>
          <w:szCs w:val="18"/>
        </w:rPr>
        <w:t xml:space="preserve">Curva S: PV, EV y AC acumulados en % del BAC, con pronóstico al término. Elaborado por el Grupo 2 con asistencia de IA (Claude Opus, Anthropic); revisado por el equipo.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305175"/>
            <wp:effectExtent t="0" r="0" b="0" l="0"/>
            <wp:docPr id="2" name="evm_cuadrante" descr="Cuadrante de desempeño (CPI vs. SPI) con la escala de clasificación; trayectoria semanal hasta el corte. Elaborado por el Grupo 2 con asistencia de IA (Claude Opus, Anthropic); revisado por el equipo." title="Cuadrante de desempeño (CPI vs. SPI) con la escala de clasificación; trayectoria semanal hasta el corte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2. </w:t>
      </w:r>
      <w:r>
        <w:rPr>
          <w:i/>
          <w:iCs/>
          <w:color w:val="444444"/>
          <w:sz w:val="18"/>
          <w:szCs w:val="18"/>
        </w:rPr>
        <w:t xml:space="preserve">Cuadrante de desempeño (CPI vs. SPI) con la escala de clasificación; trayectoria semanal hasta el corte. Elaborado por el Grupo 2 con asistencia de IA (Claude Opus, Anthropic); revisado por el equipo.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6. </w:t>
      </w:r>
      <w:r>
        <w:rPr>
          <w:i/>
          <w:iCs/>
          <w:color w:val="444444"/>
          <w:sz w:val="18"/>
          <w:szCs w:val="18"/>
        </w:rPr>
        <w:t xml:space="preserve">Indicadores EVM al corte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2255"/>
        <w:gridCol w:w="4308"/>
      </w:tblGrid>
      <w:tr>
        <w:trPr>
          <w:tblHeader/>
        </w:trP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SV = EV − PV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−28 h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Atraso concentrado en la integración Azure (paquete 3)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CV = EV − AC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−46 h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Sobrecosto por retrabajo de integración y seguridad (paquetes 3 y 5)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SPI / CPI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94,5% / 91,3%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Cuadrante III (atrasado y sobre presupuesto) · clasificación </w:t>
            </w:r>
            <w:r>
              <w:rPr>
                <w:color w:val="222222"/>
                <w:sz w:val="18"/>
                <w:szCs w:val="18"/>
              </w:rPr>
              <w:t xml:space="preserve">Marginal</w:t>
            </w:r>
            <w:r>
              <w:rPr>
                <w:color w:val="222222"/>
                <w:sz w:val="18"/>
                <w:szCs w:val="18"/>
              </w:rPr>
              <w:t xml:space="preserve"> (CPI y SPI ≥ 0,90)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EAC = BAC / CPI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877 h (US$ 60.256)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Desvío final estimado de 77 h (9,6%)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Reserva de contingencia (15%)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120 h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Cubre el desvío: se consumiría el 64%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TCPI = (BAC − EV) / (BAC − AC)</w:t>
            </w:r>
          </w:p>
        </w:tc>
        <w:tc>
          <w:tcPr>
            <w:tcW w:type="dxa" w:w="22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1,168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Eficiencia exigente para cerrar en el BAC; se gestiona con la reserva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fórmulas PMI (PMBOK, 7.ª ed.) aplicadas a la EDT anterior.</w:t>
      </w:r>
    </w:p>
    <w:p>
      <w:pPr>
        <w:spacing w:after="120" w:line="276"/>
        <w:jc w:val="both"/>
      </w:pPr>
      <w:r>
        <w:rPr>
          <w:b/>
          <w:bCs/>
        </w:rPr>
        <w:t xml:space="preserve">Acciones correctivas:</w:t>
      </w:r>
      <w:r>
        <w:t xml:space="preserve"> (1) congelar el alcance de los paquetes 3 y 5 en los controles ya definidos; (2) reutilizar plantillas de infraestructura como código para los recursos de Azure; (3) aprobar formalmente el uso de la reserva para el retrabajo del incidente, con seguimiento semanal del CPI.</w:t>
      </w:r>
    </w:p>
    <w:p>
      <w:pPr>
        <w:pStyle w:val="Heading1"/>
        <w:keepNext/>
        <w:spacing w:after="200" w:before="240"/>
      </w:pPr>
      <w:r>
        <w:t xml:space="preserve">3. Arquitectura C4</w:t>
      </w:r>
    </w:p>
    <w:p>
      <w:pPr>
        <w:spacing w:after="120" w:line="276"/>
        <w:jc w:val="both"/>
      </w:pPr>
      <w:r>
        <w:t xml:space="preserve">Para evaluar la viabilidad técnica, el equipo abstrajo la solución con el </w:t>
      </w:r>
      <w:r>
        <w:rPr>
          <w:b/>
          <w:bCs/>
        </w:rPr>
        <w:t xml:space="preserve">Modelo C4</w:t>
      </w:r>
      <w:r>
        <w:t xml:space="preserve"> (Simon Brown) sobre la arquitectura Azure existente de Alloxentric. El prototipo (Python 3.12, FastAPI, DoWhy/EconML) es compatible con la plataforma; los ajustes requeridos se resumen a continuación.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7. </w:t>
      </w:r>
      <w:r>
        <w:rPr>
          <w:i/>
          <w:iCs/>
          <w:color w:val="444444"/>
          <w:sz w:val="18"/>
          <w:szCs w:val="18"/>
        </w:rPr>
        <w:t xml:space="preserve">Compatibilidad del prototipo con los servicios Azure de Alloxentric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2665"/>
        <w:gridCol w:w="1332"/>
        <w:gridCol w:w="3283"/>
      </w:tblGrid>
      <w:tr>
        <w:trPr>
          <w:tblHeader/>
        </w:trP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existente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Vox-Causal AI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Ajuste requerido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API Management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Publicar APIs de consulta de insights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Definir políticas JWT y cuotas para el nuevo producto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Service Bus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Explicaciones asíncronas y auditoría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Crear colas explain-requests y audit-events con DLQ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Blob Storage + SAS URLs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Almacenar audio de llamadas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Migrar a SAS de delegación de usuario de 15 min (buena práctica UK GDPR)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OpenAI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Explicación en lenguaje natural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Sacar del camino crítico; filtrar PII antes del prompt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Python 3.12 + FastAPI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Servicios del prototipo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Contenerizar y agregar endpoints gRPC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DoWhy / EconML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Motor causal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328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Precalcular efectos offline; en línea solo evaluar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La arquitectura sigue tres principios: </w:t>
      </w:r>
      <w:r>
        <w:rPr>
          <w:b/>
          <w:bCs/>
        </w:rPr>
        <w:t xml:space="preserve">(1) separación del camino crítico</w:t>
      </w:r>
      <w:r>
        <w:t xml:space="preserve">, todo lo que debe responder en menos de 250 ms corre en un servicio síncrono y liviano, y lo lento (Azure OpenAI, auditoría) va por Azure Service Bus; </w:t>
      </w:r>
      <w:r>
        <w:rPr>
          <w:b/>
          <w:bCs/>
        </w:rPr>
        <w:t xml:space="preserve">(2) aislamiento entre batch y tiempo real</w:t>
      </w:r>
      <w:r>
        <w:t xml:space="preserve">, el entrenamiento ocurre en Azure ML y en línea solo se ejecutan modelos aprobados; </w:t>
      </w:r>
      <w:r>
        <w:rPr>
          <w:b/>
          <w:bCs/>
        </w:rPr>
        <w:t xml:space="preserve">(3) seguridad y observabilidad por diseño</w:t>
      </w:r>
      <w:r>
        <w:t xml:space="preserve">, con TLS, SAS de delegación de usuario y telemetría de extremo a extremo.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8. </w:t>
      </w:r>
      <w:r>
        <w:rPr>
          <w:i/>
          <w:iCs/>
          <w:color w:val="444444"/>
          <w:sz w:val="18"/>
          <w:szCs w:val="18"/>
        </w:rPr>
        <w:t xml:space="preserve">Stack tecnológico por capa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3691"/>
        <w:gridCol w:w="4307"/>
      </w:tblGrid>
      <w:tr>
        <w:trPr>
          <w:tblHeader/>
        </w:trP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React + TypeScript (escritorio del agente)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Estándar de la plataforma; recibe insights por WebSocket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Entrada / API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API Management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Gateway existente: autenticación JWT (Entra ID), cuotas, versionado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Servicios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Python 3.12 + FastAPI en contenedores Docker sobre AKS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Mismo stack del prototipo; FastAPI es asíncrono y soporta gRPC/WebSocket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Inferencia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ONNX Runtime (GPU), openSMILE eGeMAPS, DoWhy / EconML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ONNX reduce latencia del codificador; DoWhy/EconML son las librerías del prototipo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Mensajería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Service Bus (colas y tópicos AMQP con DLQ)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Arquitectura asíncrona existente; reintentos y dead-letter nativos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Web PubSub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Entrega por WebSocket a miles de escritorios sin mantener conexiones en los pods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Datos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Blob Storage (audio), Cosmos DB (sesión), PostgreSQL Flexible (insights y auditoría)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Cada almacén según patrón de acceso: objetos, baja latencia, relacional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IA generativa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OpenAI (asíncrono)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Explicaciones en lenguaje natural fuera del camino crítico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MLOps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 Pipelines + Model Registry, GitHub Actions, Azure Container Registry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Linaje y versionado de modelos; CI/CD reproducible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Observabilidad / seguridad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Monitor, App Insights, Key Vault, Managed Identity, Private Endpoints</w:t>
            </w:r>
          </w:p>
        </w:tc>
        <w:tc>
          <w:tcPr>
            <w:tcW w:type="dxa" w:w="43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Métricas p95, secretos sin credenciales en código, tráfico privado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elaboración propia del Grupo 2 a partir del caso PIA; Elaborado por el Grupo 2 con asistencia de IA (Claude Opus, Anthropic); revisado por el equipo.</w:t>
      </w:r>
    </w:p>
    <w:p>
      <w:pPr>
        <w:pStyle w:val="Heading2"/>
        <w:keepNext/>
        <w:spacing w:after="120" w:before="240"/>
      </w:pPr>
      <w:r>
        <w:t xml:space="preserve">3.1 Nivel 1 – Contexto</w:t>
      </w:r>
    </w:p>
    <w:p>
      <w:pPr>
        <w:spacing w:after="120" w:line="276"/>
        <w:jc w:val="both"/>
      </w:pPr>
      <w:r>
        <w:t xml:space="preserve">Actores: </w:t>
      </w:r>
      <w:r>
        <w:rPr>
          <w:b/>
          <w:bCs/>
        </w:rPr>
        <w:t xml:space="preserve">operador</w:t>
      </w:r>
      <w:r>
        <w:t xml:space="preserve"> (recibe causa raíz y riesgo de fuga), </w:t>
      </w:r>
      <w:r>
        <w:rPr>
          <w:b/>
          <w:bCs/>
        </w:rPr>
        <w:t xml:space="preserve">supervisor/analista CX</w:t>
      </w:r>
      <w:r>
        <w:t xml:space="preserve"> y </w:t>
      </w:r>
      <w:r>
        <w:rPr>
          <w:b/>
          <w:bCs/>
        </w:rPr>
        <w:t xml:space="preserve">equipo MLOps</w:t>
      </w:r>
      <w:r>
        <w:t xml:space="preserve">. Sistemas externos: telefonía/CCaaS del cliente, CRM, </w:t>
      </w:r>
      <w:r>
        <w:rPr>
          <w:b/>
          <w:bCs/>
        </w:rPr>
        <w:t xml:space="preserve">Azure OpenAI</w:t>
      </w:r>
      <w:r>
        <w:t xml:space="preserve"> (solo redacta explicaciones, no decide la causa) y </w:t>
      </w:r>
      <w:r>
        <w:rPr>
          <w:b/>
          <w:bCs/>
        </w:rPr>
        <w:t xml:space="preserve">Microsoft Entra ID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714500"/>
            <wp:effectExtent t="0" r="0" b="0" l="0"/>
            <wp:docPr id="3" name="c4_n1_contexto" descr="C4 Nivel 1 – Diagrama de Contexto. Elaborado por el Grupo 2 con asistencia de IA (Claude Opus, Anthropic); revisado por el equipo." title="C4 Nivel 1 – Diagrama de Contexto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3. </w:t>
      </w:r>
      <w:r>
        <w:rPr>
          <w:i/>
          <w:iCs/>
          <w:color w:val="444444"/>
          <w:sz w:val="18"/>
          <w:szCs w:val="18"/>
        </w:rPr>
        <w:t xml:space="preserve">C4 Nivel 1 – Diagrama de Contexto. Elaborado por el Grupo 2 con asistencia de IA (Claude Opus, Anthropic); revisado por el equipo.</w:t>
      </w:r>
    </w:p>
    <w:p>
      <w:pPr>
        <w:pStyle w:val="Heading2"/>
        <w:keepNext/>
        <w:spacing w:after="120" w:before="240"/>
      </w:pPr>
      <w:r>
        <w:t xml:space="preserve">3.2 Nivel 2 – Contenedores</w:t>
      </w:r>
    </w:p>
    <w:p>
      <w:pPr>
        <w:spacing w:after="120" w:line="276"/>
        <w:jc w:val="both"/>
      </w:pPr>
      <w:r>
        <w:t xml:space="preserve">El flujo crítico es </w:t>
      </w:r>
      <w:r>
        <w:rPr>
          <w:b/>
          <w:bCs/>
        </w:rPr>
        <w:t xml:space="preserve">CCaaS → Media Ingest Gateway → Servicio de Inferencia → Web PubSub → Escritorio del agente</w:t>
      </w:r>
      <w:r>
        <w:t xml:space="preserve">. Las explicaciones siguen la ruta </w:t>
      </w:r>
      <w:r>
        <w:rPr>
          <w:b/>
          <w:bCs/>
        </w:rPr>
        <w:t xml:space="preserve">Servicio de Inferencia → Service Bus → Worker → Azure OpenAI</w:t>
      </w:r>
      <w:r>
        <w:t xml:space="preserve">, que nunca bloquea al operador.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05400" cy="5848350"/>
            <wp:effectExtent t="0" r="0" b="0" l="0"/>
            <wp:docPr id="4" name="c4_n2_contenedores" descr="C4 Nivel 2 – Diagrama de Contenedores. Elaborado por el Grupo 2 con asistencia de IA (Claude Opus, Anthropic); revisado por el equipo." title="C4 Nivel 2 – Diagrama de Contenedores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4. </w:t>
      </w:r>
      <w:r>
        <w:rPr>
          <w:i/>
          <w:iCs/>
          <w:color w:val="444444"/>
          <w:sz w:val="18"/>
          <w:szCs w:val="18"/>
        </w:rPr>
        <w:t xml:space="preserve">C4 Nivel 2 – Diagrama de Contenedores. Elaborado por el Grupo 2 con asistencia de IA (Claude Opus, Anthropic); revisado por el equipo.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9. </w:t>
      </w:r>
      <w:r>
        <w:rPr>
          <w:i/>
          <w:iCs/>
          <w:color w:val="444444"/>
          <w:sz w:val="18"/>
          <w:szCs w:val="18"/>
        </w:rPr>
        <w:t xml:space="preserve">Responsabilidad de cada contenedor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0"/>
        <w:gridCol w:w="2665"/>
        <w:gridCol w:w="4103"/>
      </w:tblGrid>
      <w:tr>
        <w:trPr>
          <w:tblHeader/>
        </w:trP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Contenedor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Escritorio del agente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Mostrar causa raíz, riesgo de fuga y guion sugerido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API Management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Gateway gestionado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Autenticación, cuotas y versionado de APIs REST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 Ingest Gateway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FastAPI · AKS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Recibir audio, crear ventanas de 2 s, copiar a Blob y enrutar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 de Inferencia Vox-Causal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FastAPI · ONNX GPU · DoWhy/EconML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Prosodia + inferencia causal en línea, p95 &lt; 250 ms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Web PubSub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PaaS WebSocket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Empujar insights a los escritorios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Service Bus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Colas/tópicos AMQP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Desacoplar explicaciones y auditoría; DLQ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Worker de explicación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Python · AKS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Llamar a Azure OpenAI con prompts sin PII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Blob Storage / Cosmos DB / PostgreSQL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PaaS de datos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Audio cifrado 30 días / estado de sesión / insights y auditoría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Machine Learning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Pipelines + Registry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Entrenar, validar y versionar modelos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Monitor / App Insights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OpenTelemetry</w:t>
            </w:r>
          </w:p>
        </w:tc>
        <w:tc>
          <w:tcPr>
            <w:tcW w:type="dxa" w:w="410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Métricas p95, errores, drift y alertas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3.3 Nivel 3 – Componentes del Servicio de Inferencia</w:t>
      </w:r>
    </w:p>
    <w:p>
      <w:pPr>
        <w:spacing w:after="120" w:line="276"/>
        <w:jc w:val="both"/>
      </w:pPr>
      <w:r>
        <w:t xml:space="preserve">El </w:t>
      </w:r>
      <w:r>
        <w:rPr>
          <w:b/>
          <w:bCs/>
        </w:rPr>
        <w:t xml:space="preserve">Stream Receiver</w:t>
      </w:r>
      <w:r>
        <w:t xml:space="preserve"> agrupa frames de 20 ms en ventanas de 2 s; el </w:t>
      </w:r>
      <w:r>
        <w:rPr>
          <w:b/>
          <w:bCs/>
        </w:rPr>
        <w:t xml:space="preserve">Extractor prosódico</w:t>
      </w:r>
      <w:r>
        <w:t xml:space="preserve"> calcula el conjunto eGeMAPS; el </w:t>
      </w:r>
      <w:r>
        <w:rPr>
          <w:b/>
          <w:bCs/>
        </w:rPr>
        <w:t xml:space="preserve">Codificador acústico</w:t>
      </w:r>
      <w:r>
        <w:t xml:space="preserve"> (ONNX en GPU) produce un embedding; el </w:t>
      </w:r>
      <w:r>
        <w:rPr>
          <w:b/>
          <w:bCs/>
        </w:rPr>
        <w:t xml:space="preserve">Estimador de efecto causal</w:t>
      </w:r>
      <w:r>
        <w:t xml:space="preserve"> evalúa modelos EconML </w:t>
      </w:r>
      <w:r>
        <w:rPr>
          <w:b/>
          <w:bCs/>
        </w:rPr>
        <w:t xml:space="preserve">precalculados</w:t>
      </w:r>
      <w:r>
        <w:t xml:space="preserve"> sobre el DAG del registro; el </w:t>
      </w:r>
      <w:r>
        <w:rPr>
          <w:b/>
          <w:bCs/>
        </w:rPr>
        <w:t xml:space="preserve">Ranking</w:t>
      </w:r>
      <w:r>
        <w:t xml:space="preserve"> entrega las tres causas más probables y la probabilidad de fuga; el </w:t>
      </w:r>
      <w:r>
        <w:rPr>
          <w:b/>
          <w:bCs/>
        </w:rPr>
        <w:t xml:space="preserve">Latency Guard</w:t>
      </w:r>
      <w:r>
        <w:t xml:space="preserve"> protege el presupuesto de tiempo con un fallback, y el </w:t>
      </w:r>
      <w:r>
        <w:rPr>
          <w:b/>
          <w:bCs/>
        </w:rPr>
        <w:t xml:space="preserve">Telemetry &amp; Audit Logger</w:t>
      </w:r>
      <w:r>
        <w:t xml:space="preserve"> registra cada decisión.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95900" cy="5848350"/>
            <wp:effectExtent t="0" r="0" b="0" l="0"/>
            <wp:docPr id="5" name="c4_n3_componentes" descr="C4 Nivel 3 – Componentes del Servicio de Inferencia Vox-Causal. Elaborado por el Grupo 2 con asistencia de IA (Claude Opus, Anthropic); revisado por el equipo." title="C4 Nivel 3 – Componentes del Servicio de Inferencia Vox-Causal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5. </w:t>
      </w:r>
      <w:r>
        <w:rPr>
          <w:i/>
          <w:iCs/>
          <w:color w:val="444444"/>
          <w:sz w:val="18"/>
          <w:szCs w:val="18"/>
        </w:rPr>
        <w:t xml:space="preserve">C4 Nivel 3 – Componentes del Servicio de Inferencia Vox-Causal. Elaborado por el Grupo 2 con asistencia de IA (Claude Opus, Anthropic); revisado por el equipo.</w:t>
      </w:r>
    </w:p>
    <w:p>
      <w:pPr>
        <w:pStyle w:val="Heading1"/>
        <w:keepNext/>
        <w:spacing w:after="200" w:before="240"/>
      </w:pPr>
      <w:r>
        <w:t xml:space="preserve">4. Pipeline MLOps, inferencia y resolución del incidente</w:t>
      </w:r>
    </w:p>
    <w:p>
      <w:pPr>
        <w:spacing w:after="120" w:line="276"/>
        <w:jc w:val="both"/>
      </w:pPr>
      <w:r>
        <w:t xml:space="preserve">El pipeline tiene tres carriles: </w:t>
      </w:r>
      <w:r>
        <w:rPr>
          <w:b/>
          <w:bCs/>
        </w:rPr>
        <w:t xml:space="preserve">A. entrenamiento offline</w:t>
      </w:r>
      <w:r>
        <w:t xml:space="preserve"> en Azure ML con una puerta de calidad (error ATE ≤ 0,05 y refutadores DoWhy), </w:t>
      </w:r>
      <w:r>
        <w:rPr>
          <w:b/>
          <w:bCs/>
        </w:rPr>
        <w:t xml:space="preserve">B. inferencia en línea</w:t>
      </w:r>
      <w:r>
        <w:t xml:space="preserve"> por llamada y </w:t>
      </w:r>
      <w:r>
        <w:rPr>
          <w:b/>
          <w:bCs/>
        </w:rPr>
        <w:t xml:space="preserve">C. ruta asíncrona</w:t>
      </w:r>
      <w:r>
        <w:t xml:space="preserve"> con reintentos, cola de mensajes fallidos (DLQ), fallback, telemetría, auditoría y detección de drift que gatilla un nuevo entrenamiento. Los carriles A y B solo se conectan a través del modelo aprobado en el registro. El mapeo etapa por etapa y los contratos de los servicios están en el Anexo 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57500"/>
            <wp:effectExtent t="0" r="0" b="0" l="0"/>
            <wp:docPr id="6" name="pipeline_mlops" descr="Pipeline MLOps y servicios de inferencia: ingesta, preprocesamiento, invocación del modelo, errores/fallbacks y telemetría. Elaborado por el Grupo 2 con asistencia de IA (Claude Opus, Anthropic); revisado por el equipo." title="Pipeline MLOps y servicios de inferencia: ingesta, preprocesamiento, invocación del modelo, errores/fallbacks y telemetría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6. </w:t>
      </w:r>
      <w:r>
        <w:rPr>
          <w:i/>
          <w:iCs/>
          <w:color w:val="444444"/>
          <w:sz w:val="18"/>
          <w:szCs w:val="18"/>
        </w:rPr>
        <w:t xml:space="preserve">Pipeline MLOps y servicios de inferencia: ingesta, preprocesamiento, invocación del modelo, errores/fallbacks y telemetría. Elaborado por el Grupo 2 con asistencia de IA (Claude Opus, Anthropic); revisado por el equipo.</w:t>
      </w:r>
    </w:p>
    <w:p>
      <w:pPr>
        <w:pStyle w:val="Heading2"/>
        <w:keepNext/>
        <w:spacing w:after="120" w:before="240"/>
      </w:pPr>
      <w:r>
        <w:t xml:space="preserve">4.1 Resolución del incidente de latencia y seguridad</w:t>
      </w:r>
    </w:p>
    <w:p>
      <w:pPr>
        <w:spacing w:after="120" w:line="276"/>
        <w:jc w:val="both"/>
      </w:pPr>
      <w:r>
        <w:rPr>
          <w:b/>
          <w:bCs/>
        </w:rPr>
        <w:t xml:space="preserve">Incidente.</w:t>
      </w:r>
      <w:r>
        <w:t xml:space="preserve"> El caso exige que la inferencia sobre el flujo prosódico responda en </w:t>
      </w:r>
      <w:r>
        <w:rPr>
          <w:b/>
          <w:bCs/>
        </w:rPr>
        <w:t xml:space="preserve">menos de 250 ms</w:t>
      </w:r>
      <w:r>
        <w:t xml:space="preserve">, que el prototipo se integre con la arquitectura existente —donde los audios se leen desde Blob Storage mediante </w:t>
      </w:r>
      <w:r>
        <w:rPr>
          <w:b/>
          <w:bCs/>
        </w:rPr>
        <w:t xml:space="preserve">SAS URLs</w:t>
      </w:r>
      <w:r>
        <w:t xml:space="preserve">— y que los datos de voz de clientes del Reino Unido cumplan </w:t>
      </w:r>
      <w:r>
        <w:rPr>
          <w:b/>
          <w:bCs/>
        </w:rPr>
        <w:t xml:space="preserve">UK GDPR</w:t>
      </w:r>
      <w:r>
        <w:t xml:space="preserve">. Conectado tal como funcionaba en el sandbox, el prototipo no cumplía ni la meta de latencia ni los requisitos de seguridad.</w:t>
      </w:r>
    </w:p>
    <w:p>
      <w:pPr>
        <w:spacing w:after="120" w:line="276"/>
        <w:jc w:val="both"/>
      </w:pPr>
      <w:r>
        <w:rPr>
          <w:b/>
          <w:bCs/>
        </w:rPr>
        <w:t xml:space="preserve">Causa raíz.</w:t>
      </w:r>
      <w:r>
        <w:t xml:space="preserve"> El prototipo encadenaba en una sola solicitud componentes incompatibles con la meta: la respuesta de </w:t>
      </w:r>
      <w:r>
        <w:rPr>
          <w:b/>
          <w:bCs/>
        </w:rPr>
        <w:t xml:space="preserve">Azure OpenAI</w:t>
      </w:r>
      <w:r>
        <w:t xml:space="preserve"> crece con el número de tokens generados; la estimación causal con </w:t>
      </w:r>
      <w:r>
        <w:rPr>
          <w:b/>
          <w:bCs/>
        </w:rPr>
        <w:t xml:space="preserve">DoWhy/EconML</w:t>
      </w:r>
      <w:r>
        <w:t xml:space="preserve"> reajusta modelos sobre todo el conjunto de datos (una operación por lotes), y el acceso a audios usaba </w:t>
      </w:r>
      <w:r>
        <w:rPr>
          <w:b/>
          <w:bCs/>
        </w:rPr>
        <w:t xml:space="preserve">SAS firmadas con la clave de la cuenta</w:t>
      </w:r>
      <w:r>
        <w:t xml:space="preserve"> y de larga duración. Una SAS no cifra: es un token de autorización; el cifrado en tránsito lo aporta </w:t>
      </w:r>
      <w:r>
        <w:rPr>
          <w:b/>
          <w:bCs/>
        </w:rPr>
        <w:t xml:space="preserve">TLS</w:t>
      </w:r>
      <w:r>
        <w:t xml:space="preserve">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10. </w:t>
      </w:r>
      <w:r>
        <w:rPr>
          <w:i/>
          <w:iCs/>
          <w:color w:val="444444"/>
          <w:sz w:val="18"/>
          <w:szCs w:val="18"/>
        </w:rPr>
        <w:t xml:space="preserve">Decisiones arquitectónicas frente al incidente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2637"/>
        <w:gridCol w:w="1927"/>
        <w:gridCol w:w="1927"/>
        <w:gridCol w:w="2640"/>
      </w:tblGrid>
      <w:tr>
        <w:trPr>
          <w:tblHeader/>
        </w:trP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Respaldo</w:t>
            </w:r>
          </w:p>
        </w:tc>
      </w:tr>
      <w:t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D1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Separar camino crítico (síncrono) y ruta asíncrona por Service Bus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Nada lento en la ruta en vivo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Una sola API que infiere y explica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 latencia de Azure OpenAI depende de los tokens generados (Microsoft Learn)</w:t>
            </w:r>
          </w:p>
        </w:tc>
      </w:tr>
      <w:t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D2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Efectos causales precalculados offline; en línea solo se evalúan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Reestimar en la llamada no cabe en 250 ms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DoWhy/EconML completo en línea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Evaluar el modelo ≈ 35 ms vs. reentrenar (minutos)</w:t>
            </w:r>
          </w:p>
        </w:tc>
      </w:tr>
      <w:t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D3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Codificador ONNX en GPU y transporte gRPC/WebSocket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Menor tiempo de cómputo y serialización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PyTorch en CPU con REST/JSON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Presupuesto de 45 ms por ventana (ver presupuesto de latencia)</w:t>
            </w:r>
          </w:p>
        </w:tc>
      </w:tr>
      <w:t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D4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SAS de delegación de usuario (Entra ID), solo HTTPS, 15 min, mínimo privilegio; TLS 1.3; región UK South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Seguridad de los audios y UK GDPR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SAS con clave de cuenta y larga duración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Microsoft recomienda la SAS de delegación, HTTPS siempre y expiración corta</w:t>
            </w:r>
          </w:p>
        </w:tc>
      </w:tr>
      <w:t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D5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Aislamiento batch / tiempo real: node pools, subredes, almacenamiento e identidades separados; solo comparten el registro (lectura)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El entrenamiento no compite con la API ni expone datos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Mismo clúster y colas compartidas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 de aislamiento: reentrenar durante la carga sin variar el p95 &gt; 5%</w:t>
            </w:r>
          </w:p>
        </w:tc>
      </w:tr>
      <w:tr>
        <w:tc>
          <w:tcPr>
            <w:tcW w:type="dxa" w:w="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D6</w:t>
            </w:r>
          </w:p>
        </w:tc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Analizar solo el canal del cliente, seudonimizar y no enviar PII al LLM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UK GDPR y EU AI Act art. 5.1.f</w:t>
            </w:r>
          </w:p>
        </w:tc>
        <w:tc>
          <w:tcPr>
            <w:tcW w:type="dxa" w:w="192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Analizar ambas voces</w:t>
            </w:r>
          </w:p>
        </w:tc>
        <w:tc>
          <w:tcPr>
            <w:tcW w:type="dxa" w:w="2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Prohibición de reconocimiento de emociones de trabajadores desde 02-02-2025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elaboración propia del Grupo 2; Microsoft Learn (SAS, latencia de Azure OpenAI); EU AI Act. Elaborado por el Grupo 2 con asistencia de IA (Claude Opus, Anthropic); revisado por el equipo.</w:t>
      </w:r>
    </w:p>
    <w:p>
      <w:pPr>
        <w:spacing w:after="120" w:line="276"/>
        <w:jc w:val="both"/>
      </w:pPr>
      <w:r>
        <w:rPr>
          <w:b/>
          <w:bCs/>
        </w:rPr>
        <w:t xml:space="preserve">Presupuesto de latencia.</w:t>
      </w:r>
      <w:r>
        <w:t xml:space="preserve"> La referencia es la conversación humana: la Recomendación </w:t>
      </w:r>
      <w:r>
        <w:rPr>
          <w:b/>
          <w:bCs/>
        </w:rPr>
        <w:t xml:space="preserve">ITU-T G.114</w:t>
      </w:r>
      <w:r>
        <w:t xml:space="preserve"> indica que con un retardo en un sentido menor a 150 ms la mayoría de las aplicaciones de voz es transparente para el usuario. El camino crítico suma </w:t>
      </w:r>
      <w:r>
        <w:rPr>
          <w:b/>
          <w:bCs/>
        </w:rPr>
        <w:t xml:space="preserve">175 ms en p95</w:t>
      </w:r>
      <w:r>
        <w:t xml:space="preserve">, con 75 ms de holgura bajo los 250 ms del caso.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247900"/>
            <wp:effectExtent t="0" r="0" b="0" l="0"/>
            <wp:docPr id="7" name="latencia" descr="Presupuesto de latencia del camino crítico por ventana de audio. Elaborado por el Grupo 2 con asistencia de IA (Claude Opus, Anthropic); revisado por el equipo." title="Presupuesto de latencia del camino crítico por ventana de audio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7. </w:t>
      </w:r>
      <w:r>
        <w:rPr>
          <w:i/>
          <w:iCs/>
          <w:color w:val="444444"/>
          <w:sz w:val="18"/>
          <w:szCs w:val="18"/>
        </w:rPr>
        <w:t xml:space="preserve">Presupuesto de latencia del camino crítico por ventana de audio. Elaborado por el Grupo 2 con asistencia de IA (Claude Opus, Anthropic); revisado por el equipo.</w:t>
      </w:r>
    </w:p>
    <w:p>
      <w:pPr>
        <w:spacing w:after="120" w:line="276"/>
        <w:jc w:val="both"/>
      </w:pPr>
      <w:r>
        <w:rPr>
          <w:b/>
          <w:bCs/>
        </w:rPr>
        <w:t xml:space="preserve">Verificación.</w:t>
      </w:r>
      <w:r>
        <w:t xml:space="preserve"> (1) Prueba de carga de una semana con 1.500 llamadas concurrentes (incluida en el CAPEX); (2) pruebas de seguridad: rechazo de HTTP y de TLS &lt; 1.2, SAS que expira a los 15 minutos, escaneo de PII en los prompts; (3) prueba de aislamiento descrita en D5. </w:t>
      </w:r>
      <w:r>
        <w:rPr>
          <w:b/>
          <w:bCs/>
        </w:rPr>
        <w:t xml:space="preserve">Riesgo residual:</w:t>
      </w:r>
      <w:r>
        <w:t xml:space="preserve"> si para cumplir la latencia cada GPU procesa menos streams que los 50 supuestos, el costo sube; el proyecto sigue siendo rentable mientras se procesen al menos </w:t>
      </w:r>
      <w:r>
        <w:rPr>
          <w:b/>
          <w:bCs/>
        </w:rPr>
        <w:t xml:space="preserve">19 streams por GPU</w:t>
      </w:r>
      <w:r>
        <w:t xml:space="preserve"> (capítulo 7).</w:t>
      </w:r>
    </w:p>
    <w:p>
      <w:pPr>
        <w:pStyle w:val="Heading1"/>
        <w:keepNext/>
        <w:spacing w:after="200" w:before="240"/>
      </w:pPr>
      <w:r>
        <w:t xml:space="preserve">5. Evidencia del repositorio</w:t>
      </w:r>
    </w:p>
    <w:p>
      <w:pPr>
        <w:spacing w:after="120" w:line="276"/>
        <w:jc w:val="both"/>
      </w:pPr>
      <w:r>
        <w:t xml:space="preserve">El repositorio oficial del proyecto está en </w:t>
      </w:r>
      <w:r>
        <w:rPr>
          <w:b/>
          <w:bCs/>
        </w:rPr>
        <w:t xml:space="preserve">GitHub: https://github.com/GiovanniGabrielli33/gpi-411-grupo2-voxcausal</w:t>
      </w:r>
      <w:r>
        <w:t xml:space="preserve">. Según la pauta, el Informe ERV y la presentación se alojan en la carpeta </w:t>
      </w:r>
      <w:r>
        <w:rPr>
          <w:b/>
          <w:bCs/>
        </w:rPr>
        <w:t xml:space="preserve">/docs/erv</w:t>
      </w:r>
      <w:r>
        <w:t xml:space="preserve">, junto con los diagramas y los gráficos de control que respaldan la evaluación.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11. </w:t>
      </w:r>
      <w:r>
        <w:rPr>
          <w:i/>
          <w:iCs/>
          <w:color w:val="444444"/>
          <w:sz w:val="18"/>
          <w:szCs w:val="18"/>
        </w:rPr>
        <w:t xml:space="preserve">Estructura del repositorio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0"/>
        <w:gridCol w:w="6768"/>
      </w:tblGrid>
      <w:tr>
        <w:trPr>
          <w:tblHeader/>
        </w:trP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Carpeta</w:t>
            </w:r>
          </w:p>
        </w:tc>
        <w:tc>
          <w:tcPr>
            <w:tcW w:type="dxa" w:w="676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/README.md</w:t>
            </w:r>
          </w:p>
        </w:tc>
        <w:tc>
          <w:tcPr>
            <w:tcW w:type="dxa" w:w="676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Descripción del caso, integrantes, dictamen y enlace a la carpeta Drive /GPI-Taller Arquitectura/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/docs/erv</w:t>
            </w:r>
          </w:p>
        </w:tc>
        <w:tc>
          <w:tcPr>
            <w:tcW w:type="dxa" w:w="676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Informe ERV (Word y PDF) y presentación del caso; subcarpeta /figuras con los gráficos de costos, flujo de caja, sensibilidad, latencia y ahorro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/docs/arquitectura</w:t>
            </w:r>
          </w:p>
        </w:tc>
        <w:tc>
          <w:tcPr>
            <w:tcW w:type="dxa" w:w="676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Diagramas C4 niveles 1, 2 y 3 y pipeline MLOps en alta resolución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/docs/gestion</w:t>
            </w:r>
          </w:p>
        </w:tc>
        <w:tc>
          <w:tcPr>
            <w:tcW w:type="dxa" w:w="676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Curva S y cuadrante de desempeño EVM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/src · /tests</w:t>
            </w:r>
          </w:p>
        </w:tc>
        <w:tc>
          <w:tcPr>
            <w:tcW w:type="dxa" w:w="676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Reservadas para el código y las pruebas de la solución; se completan en la fase de integración si el dictamen es GO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Flujo de ramas:</w:t>
      </w:r>
      <w:r>
        <w:t xml:space="preserve"> la rama </w:t>
      </w:r>
      <w:r>
        <w:rPr>
          <w:b/>
          <w:bCs/>
        </w:rPr>
        <w:t xml:space="preserve">main</w:t>
      </w:r>
      <w:r>
        <w:t xml:space="preserve"> contiene la versión entregada; el trabajo del informe se desarrolla en la rama </w:t>
      </w:r>
      <w:r>
        <w:rPr>
          <w:b/>
          <w:bCs/>
        </w:rPr>
        <w:t xml:space="preserve">feature/erv</w:t>
      </w:r>
      <w:r>
        <w:t xml:space="preserve"> y se integra a main mediante un </w:t>
      </w:r>
      <w:r>
        <w:rPr>
          <w:b/>
          <w:bCs/>
        </w:rPr>
        <w:t xml:space="preserve">pull request</w:t>
      </w:r>
      <w:r>
        <w:t xml:space="preserve"> revisado por otro integrante, de modo que el historial de commits deja trazabilidad de cada cambio.</w:t>
      </w:r>
    </w:p>
    <w:p>
      <w:pPr>
        <w:pStyle w:val="Heading1"/>
        <w:keepNext/>
        <w:spacing w:after="200" w:before="240"/>
      </w:pPr>
      <w:r>
        <w:t xml:space="preserve">6. Métricas objetivas de software e IA</w:t>
      </w:r>
    </w:p>
    <w:p>
      <w:pPr>
        <w:spacing w:after="120" w:line="276"/>
        <w:jc w:val="both"/>
      </w:pPr>
      <w:r>
        <w:t xml:space="preserve">Cada métrica tiene una meta, un método de medición y un criterio de aceptación que se exige antes de la puesta en producción. Son </w:t>
      </w:r>
      <w:r>
        <w:rPr>
          <w:b/>
          <w:bCs/>
        </w:rPr>
        <w:t xml:space="preserve">criterios de aceptación</w:t>
      </w:r>
      <w:r>
        <w:t xml:space="preserve">; los valores medidos se obtendrán en la prueba de carga y en el pipeline de CI.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12. </w:t>
      </w:r>
      <w:r>
        <w:rPr>
          <w:i/>
          <w:iCs/>
          <w:color w:val="444444"/>
          <w:sz w:val="18"/>
          <w:szCs w:val="18"/>
        </w:rPr>
        <w:t xml:space="preserve">Métricas, metas y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050"/>
        <w:gridCol w:w="3486"/>
        <w:gridCol w:w="2462"/>
      </w:tblGrid>
      <w:tr>
        <w:trPr>
          <w:tblHeader/>
        </w:trP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mide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Precisión causal</w:t>
            </w:r>
          </w:p>
        </w:tc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Error ATE ≤ 0,05 [CASO]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Datos de prueba con efecto conocido (como el ejemplo del capítulo 1) + refutadores DoWhy (placebo, causa común aleatoria, subconjunto)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Error ≤ 0,05 y las tres refutaciones aprobadas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Latencia</w:t>
            </w:r>
          </w:p>
        </w:tc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&lt; 250 ms [CASO]; diseño p95 175 ms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Telemetría p50/p95/p99 por componente en App Insights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p95 &lt; 250 ms con 1.500 llamadas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1.500 llamadas sin degradación [CASO]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 de carga de una semana a escala pico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Tasa de fallback &lt; 2% y error &lt; 1%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Cobertura SQA</w:t>
            </w:r>
          </w:p>
        </w:tc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≥ 80% de líneas en /src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Pruebas unitarias e integración en GitHub Actions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 bloqueado bajo el umbral</w:t>
            </w:r>
          </w:p>
        </w:tc>
      </w:tr>
      <w:tr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Deuda técnica</w:t>
            </w:r>
          </w:p>
        </w:tc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≤ 4 h (método SQALE)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SonarQube / SonarCloud en cada PR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Calificación A; el CI bloquea si empeora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240"/>
      </w:pPr>
      <w:r>
        <w:t xml:space="preserve">7. Evaluación financiera ERV</w:t>
      </w:r>
    </w:p>
    <w:p>
      <w:pPr>
        <w:spacing w:after="120" w:line="276"/>
        <w:jc w:val="both"/>
      </w:pPr>
      <w:r>
        <w:t xml:space="preserve">Modelo anual a </w:t>
      </w:r>
      <w:r>
        <w:rPr>
          <w:b/>
          <w:bCs/>
        </w:rPr>
        <w:t xml:space="preserve">5 años</w:t>
      </w:r>
      <w:r>
        <w:t xml:space="preserve"> sin valor terminal, en dólares, </w:t>
      </w:r>
      <w:r>
        <w:rPr>
          <w:b/>
          <w:bCs/>
        </w:rPr>
        <w:t xml:space="preserve">después de impuestos</w:t>
      </w:r>
      <w:r>
        <w:t xml:space="preserve"> (impuesto corporativo UK de 25%, Finance Act 2025; CAPEX amortizado en 5 años). </w:t>
      </w:r>
      <w:r>
        <w:rPr>
          <w:b/>
          <w:bCs/>
        </w:rPr>
        <w:t xml:space="preserve">Tasa de descuento: 12,34%</w:t>
      </w:r>
      <w:r>
        <w:t xml:space="preserve"> = costo de capital del sector Software (System &amp; Application) de Damodaran (ene-2026, 9,34%) + 3 pp de premio por riesgo de innovación. La justificación de cada dato está en el Anexo A.</w:t>
      </w:r>
    </w:p>
    <w:p>
      <w:pPr>
        <w:pStyle w:val="Heading2"/>
        <w:keepNext/>
        <w:spacing w:after="120" w:before="240"/>
      </w:pPr>
      <w:r>
        <w:t xml:space="preserve">7.1 CAPEX y OPEX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13. </w:t>
      </w:r>
      <w:r>
        <w:rPr>
          <w:i/>
          <w:iCs/>
          <w:color w:val="444444"/>
          <w:sz w:val="18"/>
          <w:szCs w:val="18"/>
        </w:rPr>
        <w:t xml:space="preserve">CAPEX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5"/>
        <w:gridCol w:w="5536"/>
        <w:gridCol w:w="1437"/>
      </w:tblGrid>
      <w:tr>
        <w:trPr>
          <w:tblHeader/>
        </w:trP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55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14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US$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Desarrollo e integración</w:t>
            </w:r>
          </w:p>
        </w:tc>
        <w:tc>
          <w:tcPr>
            <w:tcW w:type="dxa" w:w="55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800 HH [CASO] × US$ 68,73 (salario ML Engineer UK £68.444 + 30% de carga, 1.740 h/año, 1,344 US$/£)</w:t>
            </w:r>
          </w:p>
        </w:tc>
        <w:tc>
          <w:tcPr>
            <w:tcW w:type="dxa" w:w="14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54.982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55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15% del desarrollo</w:t>
            </w:r>
          </w:p>
        </w:tc>
        <w:tc>
          <w:tcPr>
            <w:tcW w:type="dxa" w:w="14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8.247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 de carga a escala pico</w:t>
            </w:r>
          </w:p>
        </w:tc>
        <w:tc>
          <w:tcPr>
            <w:tcW w:type="dxa" w:w="55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168 h × (36 GPU + 12 CPU) on-demand [AWS]</w:t>
            </w:r>
          </w:p>
        </w:tc>
        <w:tc>
          <w:tcPr>
            <w:tcW w:type="dxa" w:w="14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6.606</w:t>
            </w:r>
          </w:p>
        </w:tc>
      </w:tr>
      <w:tr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Total CAPEX</w:t>
            </w:r>
          </w:p>
        </w:tc>
        <w:tc>
          <w:tcPr>
            <w:tcW w:type="dxa" w:w="553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69.835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El OPEX cloud se dimensionó con un perfil semanal de demanda de contact center UK (factor de carga 31,8%, </w:t>
      </w:r>
      <w:r>
        <w:rPr>
          <w:b/>
          <w:bCs/>
        </w:rPr>
        <w:t xml:space="preserve">3,38 millones de llamadas al mes</w:t>
      </w:r>
      <w:r>
        <w:t xml:space="preserve"> a plena adopción, AHT 6 min 10 s). El cómputo GPU es </w:t>
      </w:r>
      <w:r>
        <w:rPr>
          <w:b/>
          <w:bCs/>
        </w:rPr>
        <w:t xml:space="preserve">63% del OPEX cloud</w:t>
      </w:r>
      <w:r>
        <w:t xml:space="preserve">; el personal MLOps (1 FTE) representa el 42% del OPEX total.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24450" cy="2447925"/>
            <wp:effectExtent t="0" r="0" b="0" l="0"/>
            <wp:docPr id="8" name="opex_desglose" descr="Desglose del OPEX cloud mensual a plena adopción. Elaborado por el Grupo 2 con asistencia de IA (Claude Opus, Anthropic); revisado por el equipo." title="Desglose del OPEX cloud mensual a plena adopción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8. </w:t>
      </w:r>
      <w:r>
        <w:rPr>
          <w:i/>
          <w:iCs/>
          <w:color w:val="444444"/>
          <w:sz w:val="18"/>
          <w:szCs w:val="18"/>
        </w:rPr>
        <w:t xml:space="preserve">Desglose del OPEX cloud mensual a plena adopción. Elaborado por el Grupo 2 con asistencia de IA (Claude Opus, Anthropic); revisado por el equipo.</w:t>
      </w:r>
    </w:p>
    <w:p>
      <w:pPr>
        <w:pStyle w:val="Heading2"/>
        <w:keepNext/>
        <w:spacing w:after="120" w:before="240"/>
      </w:pPr>
      <w:r>
        <w:t xml:space="preserve">7.2 Beneficios y flujo de caja</w:t>
      </w:r>
    </w:p>
    <w:p>
      <w:pPr>
        <w:spacing w:after="120" w:line="276"/>
        <w:jc w:val="both"/>
      </w:pPr>
      <w:r>
        <w:rPr>
          <w:b/>
          <w:bCs/>
        </w:rPr>
        <w:t xml:space="preserve">Ingreso para Alloxentric:</w:t>
      </w:r>
      <w:r>
        <w:t xml:space="preserve"> recargo de 20% [CASO] sobre una suscripción base de </w:t>
      </w:r>
      <w:r>
        <w:rPr>
          <w:b/>
          <w:bCs/>
        </w:rPr>
        <w:t xml:space="preserve">US$ 65 por seat al mes</w:t>
      </w:r>
      <w:r>
        <w:t xml:space="preserve"> (precios publicados de plataformas comparables: Google US$ 50–60, Sentient US$ 65, Observe.AI US$ 89) para </w:t>
      </w:r>
      <w:r>
        <w:rPr>
          <w:b/>
          <w:bCs/>
        </w:rPr>
        <w:t xml:space="preserve">3.590 seats</w:t>
      </w:r>
      <w:r>
        <w:t xml:space="preserve">, derivados de la carga de llamadas con shrinkage de 30% y ocupación de 85% (Call Centre Helper). A plena adopción: </w:t>
      </w:r>
      <w:r>
        <w:rPr>
          <w:b/>
          <w:bCs/>
        </w:rPr>
        <w:t xml:space="preserve">US$ 560.027 al año</w:t>
      </w:r>
      <w:r>
        <w:t xml:space="preserve">. El ahorro de TTR del cliente </w:t>
      </w:r>
      <w:r>
        <w:rPr>
          <w:b/>
          <w:bCs/>
        </w:rPr>
        <w:t xml:space="preserve">no se suma</w:t>
      </w:r>
      <w:r>
        <w:t xml:space="preserve"> como ingreso de Alloxentric para no contarlo dos veces: es el valor que justifica el recargo (capítulo 8).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14. </w:t>
      </w:r>
      <w:r>
        <w:rPr>
          <w:i/>
          <w:iCs/>
          <w:color w:val="444444"/>
          <w:sz w:val="18"/>
          <w:szCs w:val="18"/>
        </w:rPr>
        <w:t xml:space="preserve">Flujo de caja del proyecto (US$)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1166"/>
        <w:gridCol w:w="1166"/>
        <w:gridCol w:w="1166"/>
        <w:gridCol w:w="1166"/>
        <w:gridCol w:w="1166"/>
        <w:gridCol w:w="1171"/>
      </w:tblGrid>
      <w:tr>
        <w:trPr>
          <w:tblHeader/>
        </w:trP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 0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 1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 2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 3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 4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Año 5</w:t>
            </w:r>
          </w:p>
        </w:tc>
      </w:tr>
      <w:t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Adopción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30%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60%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Ingreso (recargo 20%)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168.008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336.016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476.023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560.027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560.027</w:t>
            </w:r>
          </w:p>
        </w:tc>
      </w:tr>
      <w:t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OPEX (cloud + MLOps)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−176.568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−222.693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−259.649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−281.383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−281.383</w:t>
            </w:r>
          </w:p>
        </w:tc>
      </w:tr>
      <w:t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Impuesto (25%)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5.632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−24.839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−50.602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−66.169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−66.169</w:t>
            </w:r>
          </w:p>
        </w:tc>
      </w:tr>
      <w:t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CAPEX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−69.835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3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Flujo de caja libre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−69.835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−2.928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88.484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165.772</w:t>
            </w:r>
          </w:p>
        </w:tc>
        <w:tc>
          <w:tcPr>
            <w:tcW w:type="dxa" w:w="11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212.475</w:t>
            </w:r>
          </w:p>
        </w:tc>
        <w:tc>
          <w:tcPr>
            <w:tcW w:type="dxa" w:w="117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212.475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elaboración propia; impuesto = 25% × (EBITDA − amortización US$ 13.967); Elaborado por el Grupo 2 con asistencia de IA (Claude Opus, Anthropic); revisado por el equipo.</w:t>
      </w:r>
    </w:p>
    <w:p>
      <w:pPr>
        <w:pStyle w:val="Heading2"/>
        <w:keepNext/>
        <w:spacing w:after="120" w:before="240"/>
      </w:pPr>
      <w:r>
        <w:t xml:space="preserve">7.3 Indicadores por escenario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15. </w:t>
      </w:r>
      <w:r>
        <w:rPr>
          <w:i/>
          <w:iCs/>
          <w:color w:val="444444"/>
          <w:sz w:val="18"/>
          <w:szCs w:val="18"/>
        </w:rPr>
        <w:t xml:space="preserve">Indicadores financieros por escenario (después de impuestos)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563"/>
        <w:gridCol w:w="2563"/>
        <w:gridCol w:w="2462"/>
      </w:tblGrid>
      <w:tr>
        <w:trPr>
          <w:tblHeader/>
        </w:trP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Pesimista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Optimista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Supuestos clave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ARPU US$ 50 · adopción 15→80% · 25 streams/GPU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ARPU US$ 65 · adopción 30→100% · 50 streams/GPU · 1 FTE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ARPU US$ 89 · 100 streams/GPU · 0,5 FTE MLOps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VAN (12,34%)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−US$ 215.937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US$ 366.751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US$ 1.037.247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TIR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No se alcanza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91,9%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238,0%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Payback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&gt; 5 años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1,82 años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0,65 años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Relación B/C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0,71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1,54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3EE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3,53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modelo ERV del equipo; B/C = VP(ingresos) / VP(CAPEX + OPEX); Elaborado por el Grupo 2 con asistencia de IA (Claude Opus, Anthropic); revisado por el equipo.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2876550"/>
            <wp:effectExtent t="0" r="0" b="0" l="0"/>
            <wp:docPr id="9" name="flujo_caja" descr="Flujo de caja anual y acumulado del escenario base. Elaborado por el Grupo 2 con asistencia de IA (Claude Opus, Anthropic); revisado por el equipo." title="Flujo de caja anual y acumulado del escenario base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9. </w:t>
      </w:r>
      <w:r>
        <w:rPr>
          <w:i/>
          <w:iCs/>
          <w:color w:val="444444"/>
          <w:sz w:val="18"/>
          <w:szCs w:val="18"/>
        </w:rPr>
        <w:t xml:space="preserve">Flujo de caja anual y acumulado del escenario base. Elaborado por el Grupo 2 con asistencia de IA (Claude Opus, Anthropic); revisado por el equipo.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05425" cy="2543175"/>
            <wp:effectExtent t="0" r="0" b="0" l="0"/>
            <wp:docPr id="10" name="quiebre" descr="Valores de quiebre: deterioro tolerable de cada variable antes de que el VAN sea cero. Elaborado por el Grupo 2 con asistencia de IA (Claude Opus, Anthropic); revisado por el equipo." title="Valores de quiebre: deterioro tolerable de cada variable antes de que el VAN sea cero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10. </w:t>
      </w:r>
      <w:r>
        <w:rPr>
          <w:i/>
          <w:iCs/>
          <w:color w:val="444444"/>
          <w:sz w:val="18"/>
          <w:szCs w:val="18"/>
        </w:rPr>
        <w:t xml:space="preserve">Valores de quiebre: deterioro tolerable de cada variable antes de que el VAN sea cero. Elaborado por el Grupo 2 con asistencia de IA (Claude Opus, Anthropic); revisado por el equipo.</w:t>
      </w:r>
    </w:p>
    <w:p>
      <w:pPr>
        <w:spacing w:after="120" w:line="276"/>
        <w:jc w:val="both"/>
      </w:pPr>
      <w:r>
        <w:rPr>
          <w:b/>
          <w:bCs/>
        </w:rPr>
        <w:t xml:space="preserve">Lectura.</w:t>
      </w:r>
      <w:r>
        <w:t xml:space="preserve"> La inversión es pequeña frente al ingreso recurrente; por eso la TIR resulta alta y la decisión se apoya en el VAN, la relación B/C y la sensibilidad. Las variables críticas son el </w:t>
      </w:r>
      <w:r>
        <w:rPr>
          <w:b/>
          <w:bCs/>
        </w:rPr>
        <w:t xml:space="preserve">recargo</w:t>
      </w:r>
      <w:r>
        <w:t xml:space="preserve"> (quiebre en 13,1%) y el </w:t>
      </w:r>
      <w:r>
        <w:rPr>
          <w:b/>
          <w:bCs/>
        </w:rPr>
        <w:t xml:space="preserve">ARPU</w:t>
      </w:r>
      <w:r>
        <w:t xml:space="preserve"> (quiebre en US$ 42,6, equivalente a unos </w:t>
      </w:r>
      <w:r>
        <w:rPr>
          <w:b/>
          <w:bCs/>
        </w:rPr>
        <w:t xml:space="preserve">2.350 seats</w:t>
      </w:r>
      <w:r>
        <w:t xml:space="preserve"> al precio base), seguidas de la </w:t>
      </w:r>
      <w:r>
        <w:rPr>
          <w:b/>
          <w:bCs/>
        </w:rPr>
        <w:t xml:space="preserve">adopción</w:t>
      </w:r>
      <w:r>
        <w:t xml:space="preserve"> (52% de la rampa) y la </w:t>
      </w:r>
      <w:r>
        <w:rPr>
          <w:b/>
          <w:bCs/>
        </w:rPr>
        <w:t xml:space="preserve">capacidad por GPU</w:t>
      </w:r>
      <w:r>
        <w:t xml:space="preserve"> (19 streams). La tasa de descuento casi no mueve el resultado: entre 9,34% y 15% el VAN va de US$ 412.935 a US$ 330.644. Usar un LLM premium (Nova Pro) vuelve negativo el VAN (−US$ 68.299).</w:t>
      </w:r>
    </w:p>
    <w:p>
      <w:pPr>
        <w:pStyle w:val="Heading1"/>
        <w:keepNext/>
        <w:spacing w:after="200" w:before="240"/>
      </w:pPr>
      <w:r>
        <w:t xml:space="preserve">8. Impacto, recomendación ejecutiva y hoja de ruta</w:t>
      </w:r>
    </w:p>
    <w:p>
      <w:pPr>
        <w:pStyle w:val="Heading2"/>
        <w:keepNext/>
        <w:spacing w:after="120" w:before="240"/>
      </w:pPr>
      <w:r>
        <w:t xml:space="preserve">8.1 Ahorro para el cliente y recargo</w:t>
      </w:r>
    </w:p>
    <w:p>
      <w:pPr>
        <w:spacing w:after="120" w:line="276"/>
        <w:jc w:val="both"/>
      </w:pPr>
      <w:r>
        <w:t xml:space="preserve">Las 4,17 millones de horas de llamada anuales, reducidas en 15% [CASO], liberan 625 mil horas de agente. Valoradas al costo de un agente UK (£23.500 anuales, Pertemps, + 30% de carga: US$ 23,60/h) y suponiendo que solo </w:t>
      </w:r>
      <w:r>
        <w:rPr>
          <w:b/>
          <w:bCs/>
        </w:rPr>
        <w:t xml:space="preserve">50%</w:t>
      </w:r>
      <w:r>
        <w:t xml:space="preserve"> se convierte en ahorro de dotación, el ahorro del cliente es de </w:t>
      </w:r>
      <w:r>
        <w:rPr>
          <w:b/>
          <w:bCs/>
        </w:rPr>
        <w:t xml:space="preserve">US$ 7,37 millones al año</w:t>
      </w:r>
      <w:r>
        <w:t xml:space="preserve">, frente a US$ 0,56 millones de recargo: </w:t>
      </w:r>
      <w:r>
        <w:rPr>
          <w:b/>
          <w:bCs/>
        </w:rPr>
        <w:t xml:space="preserve">13,2 veces</w:t>
      </w:r>
      <w:r>
        <w:t xml:space="preserve">. Con la reducción de 11% reportada por TTEC con Google Agent Assist, la relación sigue siendo de </w:t>
      </w:r>
      <w:r>
        <w:rPr>
          <w:b/>
          <w:bCs/>
        </w:rPr>
        <w:t xml:space="preserve">9,7 veces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10050" cy="2647950"/>
            <wp:effectExtent t="0" r="0" b="0" l="0"/>
            <wp:docPr id="11" name="ahorro_recargo" descr="Ahorro del cliente frente al recargo pagado a Alloxentric. Elaborado por el Grupo 2 con asistencia de IA (Claude Opus, Anthropic); revisado por el equipo." title="Ahorro del cliente frente al recargo pagado a Alloxentric. Elaborado por el Grupo 2 con asistencia de IA (Claude Opus, Anthropic); revisado por el equ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44444"/>
          <w:sz w:val="18"/>
          <w:szCs w:val="18"/>
        </w:rPr>
        <w:t xml:space="preserve">Figura 11. </w:t>
      </w:r>
      <w:r>
        <w:rPr>
          <w:i/>
          <w:iCs/>
          <w:color w:val="444444"/>
          <w:sz w:val="18"/>
          <w:szCs w:val="18"/>
        </w:rPr>
        <w:t xml:space="preserve">Ahorro del cliente frente al recargo pagado a Alloxentric. Elaborado por el Grupo 2 con asistencia de IA (Claude Opus, Anthropic); revisado por el equipo.</w:t>
      </w:r>
    </w:p>
    <w:p>
      <w:pPr>
        <w:pStyle w:val="Heading2"/>
        <w:keepNext/>
        <w:spacing w:after="120" w:before="240"/>
      </w:pPr>
      <w:r>
        <w:t xml:space="preserve">8.2 Diferenciación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Causal frente a correlacional:</w:t>
      </w:r>
      <w:r>
        <w:t xml:space="preserve"> las soluciones revisadas (Cogito, Copilot, Google, Five9) detectan emoción, sentimiento o contenido; Vox-Causal estima la causa y su efecto, con error de ATE ≤ 0,05 como criterio de publicación.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Explicable y auditable:</w:t>
      </w:r>
      <w:r>
        <w:t xml:space="preserve"> cada insight registra la versión del modelo y del DAG, las causas entregadas y su efecto estimado.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Cumplimiento por diseño:</w:t>
      </w:r>
      <w:r>
        <w:t xml:space="preserve"> región UK South, seudonimización, retención de 30 días y análisis exclusivo de la voz del cliente, condición para vender en la Unión Europea (EU AI Act art. 5.1.f).</w:t>
      </w:r>
    </w:p>
    <w:p>
      <w:pPr>
        <w:pStyle w:val="Heading2"/>
        <w:keepNext/>
        <w:spacing w:after="120" w:before="240"/>
      </w:pPr>
      <w:r>
        <w:t xml:space="preserve">8.3 Riesgos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16. </w:t>
      </w:r>
      <w:r>
        <w:rPr>
          <w:i/>
          <w:iCs/>
          <w:color w:val="444444"/>
          <w:sz w:val="18"/>
          <w:szCs w:val="18"/>
        </w:rPr>
        <w:t xml:space="preserve">Matriz de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1025"/>
        <w:gridCol w:w="1230"/>
        <w:gridCol w:w="4308"/>
      </w:tblGrid>
      <w:tr>
        <w:trPr>
          <w:tblHeader/>
        </w:trP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El mercado no acepta el recargo de 20%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Piloto pagado con 2–3 clientes; argumento de ahorro 13:1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Latencia &gt; 250 ms en pico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 de carga, Latency Guard, ONNX/GPU, holgura 20%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Capacidad por GPU menor a la supuesta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Medir en prueba de carga; quiebre en 19 streams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Error ATE &gt; 0,05 con datos reales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Puerta de calidad; revisión experta del DAG; reentrenamiento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Incumplimiento UK GDPR / EU AI Act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Baja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Muy alto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D4 y D6: SAS de delegación, TLS, solo voz del cliente, sin PII al LLM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Drift del modelo</w:t>
            </w:r>
          </w:p>
        </w:tc>
        <w:tc>
          <w:tcPr>
            <w:tcW w:type="dxa" w:w="102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2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43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Monitoreo de drift y reentrenamiento automático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8.4 Dictamen ejecutivo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168BD" w:sz="8"/>
              <w:left w:val="single" w:color="1168BD" w:sz="8"/>
              <w:bottom w:val="single" w:color="1168BD" w:sz="8"/>
              <w:right w:val="single" w:color="1168BD" w:sz="8"/>
            </w:tcBorders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B2545"/>
              </w:rPr>
              <w:t xml:space="preserve">GO CONDICIONADO, con avance por fases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 xml:space="preserve">Aceptación técnica:</w:t>
            </w:r>
            <w:r>
              <w:rPr>
                <w:sz w:val="20"/>
                <w:szCs w:val="20"/>
              </w:rPr>
              <w:t xml:space="preserve"> prueba de carga en UK South con latencia &lt; 250 ms para 1.500 llamadas concurrentes, ≥ 25 streams por GPU y error ATE ≤ 0,05.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 xml:space="preserve">Puerta comercial:</w:t>
            </w:r>
            <w:r>
              <w:rPr>
                <w:sz w:val="20"/>
                <w:szCs w:val="20"/>
              </w:rPr>
              <w:t xml:space="preserve"> al cierre del piloto, 2–3 clientes UK aceptan un recargo ≥ 15% (quiebre: 13,1%). Bajo ese umbral el dictamen pasa a </w:t>
            </w:r>
            <w:r>
              <w:rPr>
                <w:b/>
                <w:bCs/>
                <w:sz w:val="20"/>
                <w:szCs w:val="20"/>
              </w:rPr>
              <w:t xml:space="preserve">NO-GO</w:t>
            </w:r>
            <w:r>
              <w:rPr>
                <w:sz w:val="20"/>
                <w:szCs w:val="20"/>
              </w:rPr>
              <w:t xml:space="preserve"> de escalamiento.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 xml:space="preserve">Costo:</w:t>
            </w:r>
            <w:r>
              <w:rPr>
                <w:sz w:val="20"/>
                <w:szCs w:val="20"/>
              </w:rPr>
              <w:t xml:space="preserve"> LLM de bajo costo fuera del camino crítico y cierre de los paquetes pendientes dentro de la reserva de contingencia (EAC 877 h).</w:t>
            </w:r>
          </w:p>
        </w:tc>
      </w:tr>
    </w:tbl>
    <w:p/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17. </w:t>
      </w:r>
      <w:r>
        <w:rPr>
          <w:i/>
          <w:iCs/>
          <w:color w:val="444444"/>
          <w:sz w:val="18"/>
          <w:szCs w:val="18"/>
        </w:rPr>
        <w:t xml:space="preserve">Hoja de ruta post-entrega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640"/>
        <w:gridCol w:w="3486"/>
        <w:gridCol w:w="2462"/>
      </w:tblGrid>
      <w:tr>
        <w:trPr>
          <w:tblHeader/>
        </w:trP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salida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0 · Integración</w:t>
            </w:r>
          </w:p>
        </w:tc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Semanas 1–10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Servicios en AKS, Service Bus, SAS de delegación, CI/CD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Cobertura ≥ 80%, deuda ≤ 4 h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 · Aceptación técnica</w:t>
            </w:r>
          </w:p>
        </w:tc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Semana 10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 de carga y seguridad en UK South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&lt; 250 ms con 1.500 concurrentes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 · Piloto controlado</w:t>
            </w:r>
          </w:p>
        </w:tc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Meses 3–5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2–3 clientes UK; DPIA; corpus etiquetado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Recargo ≥ 15%; error ATE ≤ 0,05</w:t>
            </w:r>
          </w:p>
        </w:tc>
      </w:tr>
      <w:tr>
        <w:tc>
          <w:tcPr>
            <w:tcW w:type="dxa" w:w="205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 · Escalamiento</w:t>
            </w:r>
          </w:p>
        </w:tc>
        <w:tc>
          <w:tcPr>
            <w:tcW w:type="dxa" w:w="164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Meses 6–12</w:t>
            </w:r>
          </w:p>
        </w:tc>
        <w:tc>
          <w:tcPr>
            <w:tcW w:type="dxa" w:w="348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Lanzamiento UK/UE; monitoreo de drift</w:t>
            </w:r>
          </w:p>
        </w:tc>
        <w:tc>
          <w:tcPr>
            <w:tcW w:type="dxa" w:w="246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Adopción 30% el año 1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00"/>
      </w:pPr>
      <w:r>
        <w:t xml:space="preserve">Referencias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Amazon Web Services. (2026). Amazon API Gateway pricing. https://aws.amazon.com/api-gateway/pricing/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Amazon Web Services. (2026). AWS Support plan pricing. https://aws.amazon.com/premiumsupport/pricing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Amazon Web Services. (2025). Effective cost optimization strategies for Amazon Bedrock (precios Amazon Nova). https://aws.amazon.com/blogs/machine-learning/effective-cost-optimization-strategies-for-amazon-bedrock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Amazon Web Services. (2026). Amazon Nova Lite – Regional availability. https://docs.aws.eu/bedrock/latest/userguide/model-card-amazon-nova-lite.html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Brown, S. (2026). The C4 model for visualising software architecture. https://c4model.com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Call Centre Helper, citado en Lorikeet. (2026). WFM metrics: adherence, shrinkage and occupancy. https://www.lorikeetcx.ai/articles/wfm-metrics-adherence-shrinkage-occupancy-2026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Damodaran, A. (2026, enero). Cost of Capital by Sector (US). NYU Stern. https://pages.stern.nyu.edu/~adamodar/New_Home_Page/datafile/wacc.html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DoiT. (2026). AWS EC2 g6.xlarge y c7i.xlarge – precios on-demand eu-west-2. https://www.doit.com/compute/spot/eu-west-2/g6.xlarge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Enterprise Storage Forum. (2025). AWS S3 pricing (EU London). https://www.enterprisestorageforum.com/cloud/aws-s3-pricing/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Full Fact. (2026). Corporation tax cap at 25%. https://fullfact.org/government-tracker/corporation-tax-cap/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Glassdoor. (2026). Machine Learning Engineer salaries in United Kingdom. https://www.glassdoor.co.uk/Career/machine-learning-engineer-career_KO0,25.htm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Google Cloud. (2026). Conversational Insights pricing. https://cloud.google.com/contact-center/insights/pricing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Hevo Data. (2025). AWS SQS pricing. https://hevodata.com/learn/comprehensive-guide-on-aws-sqs-pricing/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Holori. (2026). c7i.large en eu-west-2 – Compute Savings Plans. https://calculator.holori.com/aws/ec2/c7i.large/eu-west-2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Kayako. (2026). Average handle time industry standards by sector (datos Sprinklr). https://kayako.com/blog/average-handle-time-industry-standard/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Magna, O. (2026). Taller Actividades Prácticas y Caso de Estudio PIA – Arquitectura C4/MLOps e Informe ERV para Alloxentric SpA. GPI 2026-II, UTEM.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MiaRec / Call Centre Helper. (2025). Conversation intelligence &amp; auto QA cost. https://www.callcentrehelper.com/conversation-intelligence-auto-qa-cost-237154.htm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Pertemps. (2026). Contact Centre Agent jobs and salary. https://www.pertemps.co.uk/jobs/contact-centre-agent-jobs/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Pound Sterling Live. (2026). U.S. Dollar–British Pound history 2026. https://www.poundsterlinglive.com/history/USD-GBP-2026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Project Management Institute. (2021). A Guide to the Project Management Body of Knowledge (PMBOK Guide), 7.ª ed. PMI.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Sharma, A. y Kiciman, E. (2020). DoWhy: An end-to-end library for causal inference. arXiv:2011.04216.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Best Practice AI. (s. f.). MetLife: Cogito real-time voice AI in call centres. https://bestpractice.ai/ai-use-cases/case-studies/financial-services/metlife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Business Wire. (2021). TruConnect leverages AI to drive call handling improvements with Five9 Agent Assist. https://www.businesswire.com/news/home/20210428005385/en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CX Today. (2023). Copilot cuts average handling time by 12 percent, claims Microsoft. https://www.cxtoday.com/wfo/copilot-cuts-average-handling-time-by-12-percent-claims-microsoft/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Google Cloud. (2024). Companies achieve stronger results with Customer Engagement Suite. https://cloud.google.com/blog/products/ai-machine-learning/customer-engagement-suite-stronger-results-and-new-ai-features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ITU-T. (2003). Recommendation G.114: One-way transmission time. https://www.cs.columbia.edu/~andreaf/new/documents/other/T-REC-G.114-200305.pdf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Lewis Silkin. (2025). Understanding the EU AI Act's prohibited practices: workplace and advertising (art. 5.1.f). https://www.lewissilkin.com/insights/2025/02/17/understanding-the-eu-ai-acts-prohibited-practices-key-workplace-and-advertising-102k011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Microsoft Learn. (2026). Grant limited access to Azure Storage resources using shared access signatures (SAS). https://learn.microsoft.com/azure/storage/common/storage-sas-overview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Microsoft Learn. (2026). Azure OpenAI: performance and latency. https://learn.microsoft.com/azure/ai-foundry/openai/how-to/latency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Microsoft Research / PyWhy. (2026). EconML: Python package for heterogeneous treatment effects. https://pypi.org/project/econml/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Uber Technologies. (2026). CausalML: uplift modeling and causal inference with machine learning. https://github.com/uber/causalml</w:t>
      </w:r>
    </w:p>
    <w:p>
      <w:pPr>
        <w:spacing w:after="80"/>
        <w:ind w:left="360" w:hanging="360"/>
      </w:pPr>
      <w:r>
        <w:rPr>
          <w:sz w:val="19"/>
          <w:szCs w:val="19"/>
        </w:rPr>
        <w:t xml:space="preserve">Anthropic. (2026). Claude Opus [modelo de lenguaje]. Herramienta de asistencia utilizada en este informe. https://www.anthropic.com</w:t>
      </w:r>
    </w:p>
    <w:p>
      <w:pPr>
        <w:pStyle w:val="Heading1"/>
        <w:pageBreakBefore/>
        <w:spacing w:after="200"/>
      </w:pPr>
      <w:r>
        <w:t xml:space="preserve">Anexo A. Supuestos y fuentes</w:t>
      </w:r>
    </w:p>
    <w:p>
      <w:pPr>
        <w:spacing w:after="120" w:line="276"/>
        <w:jc w:val="both"/>
      </w:pPr>
      <w:r>
        <w:t xml:space="preserve">Cada dato del modelo se identifica según su origen, con la siguiente convención: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18. </w:t>
      </w:r>
      <w:r>
        <w:rPr>
          <w:i/>
          <w:iCs/>
          <w:color w:val="444444"/>
          <w:sz w:val="18"/>
          <w:szCs w:val="18"/>
        </w:rPr>
        <w:t xml:space="preserve">Convención de origen de cada dato utilizado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4190"/>
        <w:gridCol w:w="4191"/>
      </w:tblGrid>
      <w:tr>
        <w:trPr>
          <w:tblHeader/>
        </w:trP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[CASO]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Dato entregado en el enunciado del caso PIA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800 HH, 1.500 llamadas concurrentes, recargo 20%, TTR −15%</w:t>
            </w:r>
          </w:p>
        </w:tc>
      </w:tr>
      <w:t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[AWS]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Precio público de Amazon Web Services, región Londres (eu-west-2), usado como referencia por instrucción de la cátedra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GPU g6.xlarge US$1,0216/h</w:t>
            </w:r>
          </w:p>
        </w:tc>
      </w:tr>
      <w:t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Benchmark publicado por una fuente externa citada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WACC software 9,34% (Damodaran, 2026)</w:t>
            </w:r>
          </w:p>
        </w:tc>
      </w:tr>
      <w:tr>
        <w:tc>
          <w:tcPr>
            <w:tcW w:type="dxa" w:w="1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419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Supuesto del equipo, justificado y sometido a sensibilidad</w:t>
            </w:r>
          </w:p>
        </w:tc>
        <w:tc>
          <w:tcPr>
            <w:tcW w:type="dxa" w:w="41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50 streams de audio por GPU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19. </w:t>
      </w:r>
      <w:r>
        <w:rPr>
          <w:i/>
          <w:iCs/>
          <w:color w:val="444444"/>
          <w:sz w:val="18"/>
          <w:szCs w:val="18"/>
        </w:rPr>
        <w:t xml:space="preserve">Registro completo de supuestos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2563"/>
        <w:gridCol w:w="1332"/>
        <w:gridCol w:w="3385"/>
      </w:tblGrid>
      <w:tr>
        <w:trPr>
          <w:tblHeader/>
        </w:trP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/ fuente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Concurrencia pico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1.500 llamadas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[CASO]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KPI de throughput del caso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Reducción TTR / recargo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15% / 20%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[CASO]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Beneficios comerciales del caso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Horas de desarrollo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800 HH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[CASO]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CAPEX del caso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Salario ML Engineer UK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£68.444/año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Glassdoor, junio 2026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Carga del empleador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30%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National Insurance (15%), pensión y equipamiento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Horas productivas al año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1.740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37,5 h × 52 semanas menos vacaciones y feriados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Tipo de cambio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1,344 US$/£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Promedio 2026 (USD/GBP 0,7441), Pound Sterling Live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Perfil de demanda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65% / 10% / 30% / 5% del pico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Horario típico de contact center UK; factor de carga resultante 31,8%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AHT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 min 10 s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Promedio intersectorial 2026, Sprinklr vía Kayako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Streams por GPU / CPU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50 / 150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 validar en prueba de carga; quiebre 19 streams/GPU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Holgura y mínimo de nodos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20% / 2 por tipo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Proteger latencia y alta disponibilidad en 2 zonas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GPU g6.xlarge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US$ 1,0216/h (comprometida 0,8313)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[AWS]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DoiT, eu-west-2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CPU c7i.xlarge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US$ 0,2121/h (Savings Plan 0,1605)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[AWS]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DoiT / Holori, eu-west-2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LLM Amazon Nova Lite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US$ 0,06 / 0,24 por millón de tokens, +20% regional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[AWS] + 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Precio publicado US; recargo regional supuesto (Nova Lite opera in-region en Londres)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Tokens por llamada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 invocaciones × (1.500 entrada + 300 salida)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Una explicación y un resumen por llamada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Audio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64 kbps, retención 30 días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Calidad telefónica; minimización UK GDPR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S3 / SQS / API Gateway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US$ 0,024/GB · US$ 0,40/M · US$ 3,50/M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[AWS]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Precios Londres publicados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Requests por llamada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216 SQS · 20 API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Segmentos de 10 s, 2 colas, 3 operaciones por mensaje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Soporte AWS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Business Support+ 9/7/5/3%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[AWS]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Tabla oficial de AWS Support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Contingencia OPEX / CAPEX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10% / 15%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Servicios no modelados / error de estimación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MLOps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 FTE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Monitoreo, reentrenamiento y guardia; quiebre 2,14 FTE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Shrinkage / ocupación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30% / 85%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Call Centre Helper (rangos 30–35% y 80–85%)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ARPU base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US$ 65/seat/mes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Google US$ 50–60, Sentient US$ 65, Observe.AI US$ 89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Salario agente UK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£23.500/año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Pertemps 2026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Realización del ahorro TTR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50%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No todas las horas liberadas reducen dotación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Adopción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30/60/85/100/100%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Rampa comercial de 4 años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Tasa de descuento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12,34%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 + [SUP]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Damodaran 9,34% + premio de innovación 3 pp</w:t>
            </w:r>
          </w:p>
        </w:tc>
      </w:tr>
      <w:tr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Impuesto</w:t>
            </w:r>
          </w:p>
        </w:tc>
        <w:tc>
          <w:tcPr>
            <w:tcW w:type="dxa" w:w="256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133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[MERCADO]</w:t>
            </w:r>
          </w:p>
        </w:tc>
        <w:tc>
          <w:tcPr>
            <w:tcW w:type="dxa" w:w="338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UK corporation tax, Finance Act 2025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registro del equipo; Elaborado por el Grupo 2 con asistencia de IA (Claude Opus, Anthropic); revisado por el equipo.</w:t>
      </w:r>
    </w:p>
    <w:p>
      <w:pPr>
        <w:pStyle w:val="Heading1"/>
        <w:keepNext/>
        <w:spacing w:after="200" w:before="240"/>
      </w:pPr>
      <w:r>
        <w:t xml:space="preserve">Anexo B. Equivalencia de servicios Azure ↔ AWS usada para costear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20. </w:t>
      </w:r>
      <w:r>
        <w:rPr>
          <w:i/>
          <w:iCs/>
          <w:color w:val="444444"/>
          <w:sz w:val="18"/>
          <w:szCs w:val="18"/>
        </w:rPr>
        <w:t xml:space="preserve">Servicio del caso (Azure) y equivalente de referencia (AWS)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3691"/>
        <w:gridCol w:w="2666"/>
      </w:tblGrid>
      <w:tr>
        <w:trPr>
          <w:tblHeader/>
        </w:trP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del caso (Azure)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Equivalente AWS usado para el precio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 de cobro</w:t>
            </w:r>
          </w:p>
        </w:tc>
      </w:tr>
      <w:t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Instancias GPU/CPU en AKS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EC2 g6.xlarge (GPU NVIDIA L4) y c7i.xlarge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Hora de instancia</w:t>
            </w:r>
          </w:p>
        </w:tc>
      </w:tr>
      <w:t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OpenAI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Amazon Bedrock – Nova Lite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Millón de tokens</w:t>
            </w:r>
          </w:p>
        </w:tc>
      </w:tr>
      <w:t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Blob Storage + SAS URLs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Amazon S3 Standard + URLs prefirmadas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GB-mes y solicitudes</w:t>
            </w:r>
          </w:p>
        </w:tc>
      </w:tr>
      <w:t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Service Bus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Amazon SQS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Millón de solicitudes</w:t>
            </w:r>
          </w:p>
        </w:tc>
      </w:tr>
      <w:t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API Management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Amazon API Gateway (REST)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Millón de llamadas</w:t>
            </w:r>
          </w:p>
        </w:tc>
      </w:tr>
      <w:tr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Soporte Microsoft Unified</w:t>
            </w:r>
          </w:p>
        </w:tc>
        <w:tc>
          <w:tcPr>
            <w:tcW w:type="dxa" w:w="36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AWS Business Support+</w:t>
            </w:r>
          </w:p>
        </w:tc>
        <w:tc>
          <w:tcPr>
            <w:tcW w:type="dxa" w:w="266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% del gasto mensual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instrucción de la cátedra de usar precios AWS como referencia; elaboración propia.</w:t>
      </w:r>
    </w:p>
    <w:p>
      <w:pPr>
        <w:spacing w:after="120" w:line="276"/>
        <w:jc w:val="both"/>
      </w:pPr>
      <w:r>
        <w:t xml:space="preserve">La arquitectura se mantiene íntegramente en Azure, como exige el caso. Los precios de AWS se usan solo como referencia de mercado verificable; las tarifas de Azure para servicios equivalentes son del mismo orden de magnitud, y la diferencia queda cubierta por la contingencia y el análisis de sensibilidad.</w:t>
      </w:r>
    </w:p>
    <w:p>
      <w:pPr>
        <w:pStyle w:val="Heading1"/>
        <w:pageBreakBefore/>
        <w:spacing w:after="200"/>
      </w:pPr>
      <w:r>
        <w:t xml:space="preserve">Anexo C. Especificación de servicios, protocolos y mapeo del pipeline</w:t>
      </w:r>
    </w:p>
    <w:p>
      <w:pPr>
        <w:pStyle w:val="Heading2"/>
        <w:keepNext/>
        <w:spacing w:after="120" w:before="240"/>
      </w:pPr>
      <w:r>
        <w:t xml:space="preserve">C.1 Especificación de los servicios de inferencia</w:t>
      </w:r>
    </w:p>
    <w:p>
      <w:pPr>
        <w:pStyle w:val="Heading3"/>
        <w:spacing w:after="80" w:before="160"/>
      </w:pPr>
      <w:r>
        <w:t xml:space="preserve">Contratos de los servicios de inferencia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21. </w:t>
      </w:r>
      <w:r>
        <w:rPr>
          <w:i/>
          <w:iCs/>
          <w:color w:val="444444"/>
          <w:sz w:val="18"/>
          <w:szCs w:val="18"/>
        </w:rPr>
        <w:t xml:space="preserve">Interfaces expuestas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542"/>
        <w:gridCol w:w="2120"/>
        <w:gridCol w:w="2313"/>
        <w:gridCol w:w="1543"/>
      </w:tblGrid>
      <w:tr>
        <w:trPr>
          <w:tblHeader/>
        </w:trP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Servicio / endpoint</w:t>
            </w:r>
          </w:p>
        </w:tc>
        <w:tc>
          <w:tcPr>
            <w:tcW w:type="dxa" w:w="15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Salida</w:t>
            </w:r>
          </w:p>
        </w:tc>
        <w:tc>
          <w:tcPr>
            <w:tcW w:type="dxa" w:w="1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</w:t>
            </w:r>
          </w:p>
        </w:tc>
      </w:tr>
      <w:t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InferenceStream.Analyze</w:t>
            </w:r>
          </w:p>
        </w:tc>
        <w:tc>
          <w:tcPr>
            <w:tcW w:type="dxa" w:w="15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gRPC bidireccional</w:t>
            </w:r>
          </w:p>
        </w:tc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call_id, ventana PCM 16 kHz (2 s)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top-3 causas, efecto estimado, p(churn), versión de modelo</w:t>
            </w:r>
          </w:p>
        </w:tc>
        <w:tc>
          <w:tcPr>
            <w:tcW w:type="dxa" w:w="1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p95 &lt; 250 ms; disponibilidad 99,9%</w:t>
            </w:r>
          </w:p>
        </w:tc>
      </w:tr>
      <w:t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POST /v1/explanations</w:t>
            </w:r>
          </w:p>
        </w:tc>
        <w:tc>
          <w:tcPr>
            <w:tcW w:type="dxa" w:w="15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AMQP (cola explain-requests)</w:t>
            </w:r>
          </w:p>
        </w:tc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call_id, causas, rasgos agregados (sin PII)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Texto explicativo y resumen</w:t>
            </w:r>
          </w:p>
        </w:tc>
        <w:tc>
          <w:tcPr>
            <w:tcW w:type="dxa" w:w="1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p95 &lt; 5 s (asíncrono)</w:t>
            </w:r>
          </w:p>
        </w:tc>
      </w:tr>
      <w:t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GET /v1/calls/{id}/insights</w:t>
            </w:r>
          </w:p>
        </w:tc>
        <w:tc>
          <w:tcPr>
            <w:tcW w:type="dxa" w:w="15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HTTPS/REST vía APIM</w:t>
            </w:r>
          </w:p>
        </w:tc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call_id + JWT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Historial de insights y explicación</w:t>
            </w:r>
          </w:p>
        </w:tc>
        <w:tc>
          <w:tcPr>
            <w:tcW w:type="dxa" w:w="1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p95 &lt; 300 ms</w:t>
            </w:r>
          </w:p>
        </w:tc>
      </w:tr>
      <w:t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GET /healthz, /readyz</w:t>
            </w:r>
          </w:p>
        </w:tc>
        <w:tc>
          <w:tcPr>
            <w:tcW w:type="dxa" w:w="154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HTTP</w:t>
            </w:r>
          </w:p>
        </w:tc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Estado del pod y del modelo cargado</w:t>
            </w:r>
          </w:p>
        </w:tc>
        <w:tc>
          <w:tcPr>
            <w:tcW w:type="dxa" w:w="15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Usado por AKS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t xml:space="preserve">Manejo de errores y fallbacks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22. </w:t>
      </w:r>
      <w:r>
        <w:rPr>
          <w:i/>
          <w:iCs/>
          <w:color w:val="444444"/>
          <w:sz w:val="18"/>
          <w:szCs w:val="18"/>
        </w:rPr>
        <w:t xml:space="preserve">Estrategia ante fallas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0"/>
        <w:gridCol w:w="2870"/>
        <w:gridCol w:w="3898"/>
      </w:tblGrid>
      <w:tr>
        <w:trPr>
          <w:tblHeader/>
        </w:trP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Falla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Detección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Inferencia excede el presupuesto de 250 ms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Latency Guard (temporizador por ventana)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Entrega el último insight válido marcado como «provisional»; registra evento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OpenAI no disponible o con throttling (429)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Código HTTP / timeout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Reintento con backoff exponencial (3×); luego DLQ; el operador conserva el insight causal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Mensaje corrupto o no procesable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Excepción de deserialización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Dead-letter queue + alerta; no bloquea la cola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Caída de un pod o nodo GPU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Readiness probe / AKS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Reprogramación automática; mínimo 2 nodos por pool en 2 zonas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Modelo nuevo degrada métricas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Canario: p95 y error vs. versión estable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Rollback automático a la versión anterior del registro</w:t>
            </w:r>
          </w:p>
        </w:tc>
      </w:tr>
      <w:tr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Drift de datos</w:t>
            </w:r>
          </w:p>
        </w:tc>
        <w:tc>
          <w:tcPr>
            <w:tcW w:type="dxa" w:w="287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PSI &gt; 0,2 en rasgos prosódicos</w:t>
            </w:r>
          </w:p>
        </w:tc>
        <w:tc>
          <w:tcPr>
            <w:tcW w:type="dxa" w:w="389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Alerta al equipo MLOps y nuevo ciclo de entrenamiento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t xml:space="preserve">Telemetría y auditoría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Métricas:</w:t>
      </w:r>
      <w:r>
        <w:t xml:space="preserve"> latencia por componente (p50/p95/p99), throughput de llamadas concurrentes, tasa de fallback, tasa de error, uso de GPU, profundidad de colas.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Trazas distribuidas</w:t>
      </w:r>
      <w:r>
        <w:t xml:space="preserve"> con OpenTelemetry desde el Media Ingest hasta el escritorio, correlacionadas por call_id.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Auditoría inmutable:</w:t>
      </w:r>
      <w:r>
        <w:t xml:space="preserve"> cada insight registra versión de modelo, versión del DAG, causas entregadas y marca de tiempo (tabla append-only en PostgreSQL), para explicar cualquier decisión ante el cliente o un regulador.</w:t>
      </w:r>
    </w:p>
    <w:p>
      <w:pPr>
        <w:pStyle w:val="Heading3"/>
        <w:spacing w:after="80" w:before="160"/>
      </w:pPr>
      <w:r>
        <w:t xml:space="preserve">Despliegue y escalamiento</w:t>
      </w:r>
    </w:p>
    <w:p>
      <w:pPr>
        <w:spacing w:after="120" w:line="276"/>
        <w:jc w:val="both"/>
      </w:pPr>
      <w:r>
        <w:t xml:space="preserve">Las imágenes Docker se construyen en GitHub Actions y se publican en Azure Container Registry. El despliegue en AKS es </w:t>
      </w:r>
      <w:r>
        <w:rPr>
          <w:b/>
          <w:bCs/>
        </w:rPr>
        <w:t xml:space="preserve">canario</w:t>
      </w:r>
      <w:r>
        <w:t xml:space="preserve"> (10% del tráfico durante 30 minutos y luego 100% si se cumplen los SLO). El escalamiento horizontal usa </w:t>
      </w:r>
      <w:r>
        <w:rPr>
          <w:b/>
          <w:bCs/>
        </w:rPr>
        <w:t xml:space="preserve">KEDA</w:t>
      </w:r>
      <w:r>
        <w:t xml:space="preserve"> sobre la profundidad de las colas de Service Bus y el número de streams activos, con un mínimo de 2 nodos por pool para alta disponibilidad.</w:t>
      </w:r>
    </w:p>
    <w:p>
      <w:pPr>
        <w:pStyle w:val="Heading2"/>
        <w:keepNext/>
        <w:spacing w:after="120" w:before="240"/>
      </w:pPr>
      <w:r>
        <w:t xml:space="preserve">C.2 Protocolos de comunicación y mapeo del pipeline</w:t>
      </w: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23. </w:t>
      </w:r>
      <w:r>
        <w:rPr>
          <w:i/>
          <w:iCs/>
          <w:color w:val="444444"/>
          <w:sz w:val="18"/>
          <w:szCs w:val="18"/>
        </w:rPr>
        <w:t xml:space="preserve">Protocolos de comunicación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3281"/>
        <w:gridCol w:w="3282"/>
      </w:tblGrid>
      <w:tr>
        <w:trPr>
          <w:tblHeader/>
        </w:trP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 → Destino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CCaaS → Media Ingest Gateway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gRPC bidireccional / WebSocket sobre TLS 1.3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Streaming de audio de baja latencia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Media Ingest → Servicio de Inferencia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gRPC (HTTP/2)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Serialización binaria, menor overhead que REST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Inferencia → Escritorio del agente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WebSocket (WSS) vía Azure Web PubSub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Empuje del insight sin polling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Escritorio → APIM → servicios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HTTPS/REST + JWT (OIDC)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Consultas y tableros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Inferencia → Worker de explicación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AMQP 1.0 (Azure Service Bus)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Desacople asíncrono, reintentos y DLQ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Worker → Azure OpenAI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HTTPS/REST (Private Endpoint)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Generación de explicaciones sin exponer PII</w:t>
            </w:r>
          </w:p>
        </w:tc>
      </w:tr>
      <w:tr>
        <w:tc>
          <w:tcPr>
            <w:tcW w:type="dxa" w:w="307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Servicios → Blob Storage</w:t>
            </w:r>
          </w:p>
        </w:tc>
        <w:tc>
          <w:tcPr>
            <w:tcW w:type="dxa" w:w="328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HTTPS con SAS de delegación de usuario</w:t>
            </w:r>
          </w:p>
        </w:tc>
        <w:tc>
          <w:tcPr>
            <w:tcW w:type="dxa" w:w="328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Acceso temporal y de mínimo privilegio a audios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444444"/>
          <w:sz w:val="18"/>
          <w:szCs w:val="18"/>
        </w:rPr>
        <w:t xml:space="preserve">Tabla 24. </w:t>
      </w:r>
      <w:r>
        <w:rPr>
          <w:i/>
          <w:iCs/>
          <w:color w:val="444444"/>
          <w:sz w:val="18"/>
          <w:szCs w:val="18"/>
        </w:rPr>
        <w:t xml:space="preserve">Mapeo completo del pipeline: etapa, entradas, salidas y servicio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"/>
        <w:gridCol w:w="1743"/>
        <w:gridCol w:w="2665"/>
        <w:gridCol w:w="2358"/>
        <w:gridCol w:w="2257"/>
      </w:tblGrid>
      <w:tr>
        <w:trPr>
          <w:tblHeader/>
        </w:trP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Entrada → Salida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Servicio Azure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254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de calidad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A1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Ingesta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Audios + etiquetas CRM → dataset crudo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Blob Storage (SAS), Data Factory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Conteo y esquema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Validación y anonimización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Dataset crudo → dataset limpio sin PII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 (job), Presidio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Reglas de calidad; 0 PII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Ingeniería de atributos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Audio → rasgos eGeMAPS + embeddings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 Compute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Distribuciones vs. línea base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Descubrimiento del DAG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Rasgos + conocimiento experto → DAG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 (DoWhy, causal-learn)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Revisión experta del grafo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A5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Estimación causal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DAG + datos → efectos (ATE/CATE)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 (DoWhy, EconML DML)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Refutadores (placebo, causa común aleatoria)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A6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Evaluación (gate)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Modelos → aprobado / rechazado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Error ATE ≤ 0,05 en datos con verdad conocida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A7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Registro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Modelo aprobado → versión registrada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Azure ML Model Registry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Linaje: datos, código, métricas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A8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CI/CD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Código + modelo → imagen Docker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GitHub Actions, ACR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Pruebas unitarias, cobertura ≥ 80%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A9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Despliegue canario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Imagen → AKS 10% → 100%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AKS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p95 &lt; 250 ms y error &lt; 1% en canario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B1–B5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Inferencia en línea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Audio → insight al operador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AKS (GPU/CPU), Web PubSub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Latencia p95 por ventana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C1–C3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Ruta asíncrona y errores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Solicitud → explicación / DLQ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Service Bus, Azure OpenAI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Reintentos 3×, DLQ monitoreada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C4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Fallback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Timeout → último insight válido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Servicio de inferencia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Tasa de fallback &lt; 2%</w:t>
            </w:r>
          </w:p>
        </w:tc>
      </w:tr>
      <w:tr>
        <w:tc>
          <w:tcPr>
            <w:tcW w:type="dxa" w:w="6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C5–C6</w:t>
            </w:r>
          </w:p>
        </w:tc>
        <w:tc>
          <w:tcPr>
            <w:tcW w:type="dxa" w:w="174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Telemetría, auditoría y drift</w:t>
            </w:r>
          </w:p>
        </w:tc>
        <w:tc>
          <w:tcPr>
            <w:tcW w:type="dxa" w:w="26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Eventos → métricas, alertas, reentrenamiento</w:t>
            </w:r>
          </w:p>
        </w:tc>
        <w:tc>
          <w:tcPr>
            <w:tcW w:type="dxa" w:w="235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App Insights, PostgreSQL, Azure ML</w:t>
            </w:r>
          </w:p>
        </w:tc>
        <w:tc>
          <w:tcPr>
            <w:tcW w:type="dxa" w:w="225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Alerta si PSI &gt; 0,2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6"/>
          <w:szCs w:val="16"/>
        </w:rPr>
        <w:t xml:space="preserve">Fuente: elaboración propia del Grupo 2; Elaborado por el Grupo 2 con asistencia de IA (Claude Opus, Anthropic); revisado por el equipo.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Informe ERV · Caso de Estudio Vox-Causal AI · Grupo 2 – Sección 411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168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B254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f7a2fb8c4a9c253a88322175e7d470e92c18908.png"/><Relationship Id="rId10" Type="http://schemas.openxmlformats.org/officeDocument/2006/relationships/image" Target="media/972283257aa6928a594d95f089856df7e35f464a.png"/><Relationship Id="rId11" Type="http://schemas.openxmlformats.org/officeDocument/2006/relationships/image" Target="media/fe501369b496728991fb9bcb47b5a49fb311c66c.png"/><Relationship Id="rId12" Type="http://schemas.openxmlformats.org/officeDocument/2006/relationships/image" Target="media/aca24d9c3df8368e7bc95ee84ac84a774e3cfa85.png"/><Relationship Id="rId13" Type="http://schemas.openxmlformats.org/officeDocument/2006/relationships/image" Target="media/88b3a1de6f16d70a3294bdfd3f33a3cf4c25a423.png"/><Relationship Id="rId14" Type="http://schemas.openxmlformats.org/officeDocument/2006/relationships/image" Target="media/005ef1b8a5dfea03cac341e0f5ae2efe86fa52f6.png"/><Relationship Id="rId15" Type="http://schemas.openxmlformats.org/officeDocument/2006/relationships/image" Target="media/30406025e87f39011a2e1269e3ce77a26d445c95.png"/><Relationship Id="rId16" Type="http://schemas.openxmlformats.org/officeDocument/2006/relationships/image" Target="media/63e1473531ca761219d4f2ece2a939b6ee58d44d.png"/><Relationship Id="rId17" Type="http://schemas.openxmlformats.org/officeDocument/2006/relationships/image" Target="media/162bd4facd1ea469d61701441df0a8ec1ec4c51e.png"/><Relationship Id="rId18" Type="http://schemas.openxmlformats.org/officeDocument/2006/relationships/image" Target="media/cf200c3d04fb63cc2404a12982a51a8dfd55abc6.png"/><Relationship Id="rId19" Type="http://schemas.openxmlformats.org/officeDocument/2006/relationships/image" Target="media/6466b1b2686834ae9eb2fcd2e0112291fe724ad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ERV – Caso de Estudio Vox-Causal AI en Alloxentric SpA</dc:title>
  <dc:creator>Grupo 2 – Sección 411 GPI 2026-II</dc:creator>
  <cp:lastModifiedBy>Un-named</cp:lastModifiedBy>
  <cp:revision>1</cp:revision>
  <dcterms:created xsi:type="dcterms:W3CDTF">2026-10-28T21:09:16.807Z</dcterms:created>
  <dcterms:modified xsi:type="dcterms:W3CDTF">2026-10-28T21:09:16.817Z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