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60%</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60%</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60%</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60%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60%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66,6%</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CLQijArYNpHPTX8nNs07yA6iag==">CgMxLjA4AHIhMXlpazRGQVRPWTgwSEZXUDkyeE5vQ3Q0MGpHTHRfc1Yw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