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Giovanni Romeo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€ 385000.00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15/03/2025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30/09/2025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4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€ 385000.00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rPr>
          <w:rFonts w:ascii="Calibri" w:hAnsi="Calibri"/>
          <w:b/>
          <w:color w:val="1A3A5C"/>
          <w:sz w:val="21"/>
        </w:rPr>
        <w:t>3.1  Rischi derivanti dall'area di cantiere</w:t>
      </w:r>
    </w:p>
    <w:p>
      <w:r>
        <w:rPr>
          <w:sz w:val="20"/>
        </w:rPr>
        <w:t>Descrivere i rischi specifici dell'area: traffico, sottoservizi, condizioni del terreno, edifici adiacenti, linee aeree.</w:t>
      </w:r>
    </w:p>
    <w:p>
      <w:r>
        <w:rPr>
          <w:rFonts w:ascii="Calibri" w:hAnsi="Calibri"/>
          <w:b/>
          <w:color w:val="1A3A5C"/>
          <w:sz w:val="21"/>
        </w:rPr>
        <w:t>3.2  Rischi derivanti dalle lavorazioni</w:t>
      </w:r>
    </w:p>
    <w:p>
      <w:r>
        <w:rPr>
          <w:sz w:val="20"/>
        </w:rPr>
        <w:t>Analizzare per ogni fase: caduta dall'alto, seppellimento, investimento, elettrocuzione, rumore, polveri, agenti chimici.</w:t>
      </w:r>
    </w:p>
    <w:p>
      <w:r>
        <w:rPr>
          <w:rFonts w:ascii="Calibri" w:hAnsi="Calibri"/>
          <w:b/>
          <w:color w:val="1A3A5C"/>
          <w:sz w:val="21"/>
        </w:rPr>
        <w:t>3.3  Rischi da interferenze tra imprese</w:t>
      </w:r>
    </w:p>
    <w:p>
      <w:r>
        <w:rPr>
          <w:sz w:val="20"/>
        </w:rPr>
        <w:t>Identificare sovrapposizioni temporali e spaziali delle lavorazioni delle diverse imprese e le relative misure di gestione.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Giovanni Romeo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06/03/2026 21:08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