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3A5C"/>
          </w:tcPr>
          <w:p>
            <w:pPr>
              <w:jc w:val="left"/>
            </w:pPr>
            <w:r>
              <w:rPr>
                <w:rFonts w:ascii="Calibri" w:hAnsi="Calibri"/>
                <w:b/>
                <w:color w:val="FFFFFF"/>
                <w:sz w:val="26"/>
              </w:rPr>
              <w:t xml:space="preserve">  PIANO DI SICUREZZA E COORDINAMENTO — PSC</w:t>
            </w:r>
          </w:p>
        </w:tc>
        <w:tc>
          <w:tcPr>
            <w:tcW w:type="dxa" w:w="4703"/>
            <w:shd w:val="clear" w:color="auto" w:fill="C88B2A"/>
          </w:tcPr>
          <w:p>
            <w:pPr>
              <w:jc w:val="right"/>
            </w:pPr>
            <w:r>
              <w:rPr>
                <w:rFonts w:ascii="Calibri" w:hAnsi="Calibri"/>
                <w:b/>
                <w:color w:val="FFFFFF"/>
                <w:sz w:val="18"/>
              </w:rPr>
              <w:t xml:space="preserve">D.Lgs. 81/2008  </w:t>
            </w:r>
          </w:p>
        </w:tc>
      </w:tr>
    </w:tbl>
    <w:p/>
    <w:p>
      <w:pPr>
        <w:jc w:val="center"/>
      </w:pPr>
      <w:r>
        <w:rPr>
          <w:b/>
          <w:color w:val="1A3A5C"/>
          <w:sz w:val="36"/>
        </w:rPr>
        <w:t>PIANO DI SICUREZZA E COORDINAMENTO</w:t>
      </w:r>
    </w:p>
    <w:p>
      <w:pPr>
        <w:jc w:val="center"/>
      </w:pPr>
      <w:r>
        <w:rPr>
          <w:i/>
          <w:color w:val="5A6B7D"/>
          <w:sz w:val="20"/>
        </w:rPr>
        <w:t>Art. 100 — D.Lgs. 9 aprile 2008, n. 81 — Allegato XV</w:t>
      </w:r>
    </w:p>
    <w:p/>
    <w:tbl>
      <w:tblPr>
        <w:tblStyle w:val="TableGrid"/>
        <w:tblW w:type="auto" w:w="0"/>
        <w:tblLook w:firstColumn="1" w:firstRow="1" w:lastColumn="0" w:lastRow="0" w:noHBand="0" w:noVBand="1" w:val="04A0"/>
      </w:tblPr>
      <w:tblGrid>
        <w:gridCol w:w="4703"/>
        <w:gridCol w:w="4703"/>
      </w:tblGrid>
      <w:tr>
        <w:tc>
          <w:tcPr>
            <w:tcW w:type="dxa" w:w="4703"/>
            <w:shd w:val="clear" w:color="auto" w:fill="E8F0F8"/>
          </w:tcPr>
          <w:p>
            <w:r>
              <w:rPr>
                <w:b/>
                <w:sz w:val="18"/>
              </w:rPr>
              <w:t>Opera</w:t>
            </w:r>
          </w:p>
        </w:tc>
        <w:tc>
          <w:tcPr>
            <w:tcW w:type="dxa" w:w="4703"/>
          </w:tcPr>
          <w:p>
            <w:r>
              <w:rPr>
                <w:sz w:val="18"/>
              </w:rPr>
              <w:t>Ristrutturazione completa di edificio residenziale di 3 piani fuori terra con sostituzione copertura</w:t>
            </w:r>
          </w:p>
        </w:tc>
      </w:tr>
      <w:tr>
        <w:tc>
          <w:tcPr>
            <w:tcW w:type="dxa" w:w="4703"/>
            <w:shd w:val="clear" w:color="auto" w:fill="E8F0F8"/>
          </w:tcPr>
          <w:p>
            <w:r>
              <w:rPr>
                <w:b/>
                <w:sz w:val="18"/>
              </w:rPr>
              <w:t>Natura</w:t>
            </w:r>
          </w:p>
        </w:tc>
        <w:tc>
          <w:tcPr>
            <w:tcW w:type="dxa" w:w="4703"/>
          </w:tcPr>
          <w:p>
            <w:r>
              <w:rPr>
                <w:sz w:val="18"/>
              </w:rPr>
              <w:t>Ristrutturazione edilizia</w:t>
            </w:r>
          </w:p>
        </w:tc>
      </w:tr>
      <w:tr>
        <w:tc>
          <w:tcPr>
            <w:tcW w:type="dxa" w:w="4703"/>
            <w:shd w:val="clear" w:color="auto" w:fill="E8F0F8"/>
          </w:tcPr>
          <w:p>
            <w:r>
              <w:rPr>
                <w:b/>
                <w:sz w:val="18"/>
              </w:rPr>
              <w:t>Indirizzo cantiere</w:t>
            </w:r>
          </w:p>
        </w:tc>
        <w:tc>
          <w:tcPr>
            <w:tcW w:type="dxa" w:w="4703"/>
          </w:tcPr>
          <w:p>
            <w:r>
              <w:rPr>
                <w:sz w:val="18"/>
              </w:rPr>
              <w:t>Via Leopardi, 8, Monza (MB)</w:t>
            </w:r>
          </w:p>
        </w:tc>
      </w:tr>
      <w:tr>
        <w:tc>
          <w:tcPr>
            <w:tcW w:type="dxa" w:w="4703"/>
            <w:shd w:val="clear" w:color="auto" w:fill="E8F0F8"/>
          </w:tcPr>
          <w:p>
            <w:r>
              <w:rPr>
                <w:b/>
                <w:sz w:val="18"/>
              </w:rPr>
              <w:t>Committente</w:t>
            </w:r>
          </w:p>
        </w:tc>
        <w:tc>
          <w:tcPr>
            <w:tcW w:type="dxa" w:w="4703"/>
          </w:tcPr>
          <w:p>
            <w:r>
              <w:rPr>
                <w:sz w:val="18"/>
              </w:rPr>
              <w:t xml:space="preserve">Giovanni Romeo / </w:t>
            </w:r>
          </w:p>
        </w:tc>
      </w:tr>
      <w:tr>
        <w:tc>
          <w:tcPr>
            <w:tcW w:type="dxa" w:w="4703"/>
            <w:shd w:val="clear" w:color="auto" w:fill="E8F0F8"/>
          </w:tcPr>
          <w:p>
            <w:r>
              <w:rPr>
                <w:b/>
                <w:sz w:val="18"/>
              </w:rPr>
              <w:t>CSP</w:t>
            </w:r>
          </w:p>
        </w:tc>
        <w:tc>
          <w:tcPr>
            <w:tcW w:type="dxa" w:w="4703"/>
          </w:tcPr>
          <w:p>
            <w:r>
              <w:rPr>
                <w:sz w:val="18"/>
              </w:rPr>
              <w:t>Luca Marini</w:t>
            </w:r>
          </w:p>
        </w:tc>
      </w:tr>
      <w:tr>
        <w:tc>
          <w:tcPr>
            <w:tcW w:type="dxa" w:w="4703"/>
            <w:shd w:val="clear" w:color="auto" w:fill="E8F0F8"/>
          </w:tcPr>
          <w:p>
            <w:r>
              <w:rPr>
                <w:b/>
                <w:sz w:val="18"/>
              </w:rPr>
              <w:t>Importo lavori</w:t>
            </w:r>
          </w:p>
        </w:tc>
        <w:tc>
          <w:tcPr>
            <w:tcW w:type="dxa" w:w="4703"/>
          </w:tcPr>
          <w:p>
            <w:r>
              <w:rPr>
                <w:sz w:val="18"/>
              </w:rPr>
              <w:t>€ € 385.000,00</w:t>
            </w:r>
          </w:p>
        </w:tc>
      </w:tr>
      <w:tr>
        <w:tc>
          <w:tcPr>
            <w:tcW w:type="dxa" w:w="4703"/>
            <w:shd w:val="clear" w:color="auto" w:fill="E8F0F8"/>
          </w:tcPr>
          <w:p>
            <w:r>
              <w:rPr>
                <w:b/>
                <w:sz w:val="18"/>
              </w:rPr>
              <w:t>Costi sicurezza (non soggetti a ribasso)</w:t>
            </w:r>
          </w:p>
        </w:tc>
        <w:tc>
          <w:tcPr>
            <w:tcW w:type="dxa" w:w="4703"/>
          </w:tcPr>
          <w:p>
            <w:r>
              <w:rPr>
                <w:sz w:val="18"/>
              </w:rPr>
              <w:t>€ 12345</w:t>
            </w:r>
          </w:p>
        </w:tc>
      </w:tr>
    </w:tbl>
    <w:p/>
    <w:p>
      <w:pPr>
        <w:spacing w:before="280" w:after="80"/>
        <w:pBdr>
          <w:bottom w:val="single" w:sz="6" w:space="1" w:color="C88B2A"/>
        </w:pBdr>
      </w:pPr>
      <w:r>
        <w:rPr>
          <w:rFonts w:ascii="Calibri" w:hAnsi="Calibri"/>
          <w:b/>
          <w:color w:val="1A3A5C"/>
          <w:sz w:val="24"/>
        </w:rPr>
        <w:t>INDICE</w:t>
      </w:r>
    </w:p>
    <w:p>
      <w:pPr>
        <w:pStyle w:val="ListBullet"/>
      </w:pPr>
      <w:r>
        <w:rPr>
          <w:sz w:val="20"/>
        </w:rPr>
        <w:t>1.  Identificazione e descrizione dell'opera</w:t>
      </w:r>
    </w:p>
    <w:p>
      <w:pPr>
        <w:pStyle w:val="ListBullet"/>
      </w:pPr>
      <w:r>
        <w:rPr>
          <w:sz w:val="20"/>
        </w:rPr>
        <w:t>2.  Individuazione dei soggetti con compiti di sicurezza</w:t>
      </w:r>
    </w:p>
    <w:p>
      <w:pPr>
        <w:pStyle w:val="ListBullet"/>
      </w:pPr>
      <w:r>
        <w:rPr>
          <w:sz w:val="20"/>
        </w:rPr>
        <w:t>3.  Analisi e valutazione dei rischi</w:t>
      </w:r>
    </w:p>
    <w:p>
      <w:pPr>
        <w:pStyle w:val="ListBullet"/>
      </w:pPr>
      <w:r>
        <w:rPr>
          <w:sz w:val="20"/>
        </w:rPr>
        <w:t>4.  Organizzazione del cantiere</w:t>
      </w:r>
    </w:p>
    <w:p>
      <w:pPr>
        <w:pStyle w:val="ListBullet"/>
      </w:pPr>
      <w:r>
        <w:rPr>
          <w:sz w:val="20"/>
        </w:rPr>
        <w:t>5.  Fasi lavorative e misure di prevenzione</w:t>
      </w:r>
    </w:p>
    <w:p>
      <w:pPr>
        <w:pStyle w:val="ListBullet"/>
      </w:pPr>
      <w:r>
        <w:rPr>
          <w:sz w:val="20"/>
        </w:rPr>
        <w:t>6.  Prescrizioni operative e DPI</w:t>
      </w:r>
    </w:p>
    <w:p>
      <w:pPr>
        <w:pStyle w:val="ListBullet"/>
      </w:pPr>
      <w:r>
        <w:rPr>
          <w:sz w:val="20"/>
        </w:rPr>
        <w:t>7.  Misure di coordinamento tra imprese</w:t>
      </w:r>
    </w:p>
    <w:p>
      <w:pPr>
        <w:pStyle w:val="ListBullet"/>
      </w:pPr>
      <w:r>
        <w:rPr>
          <w:sz w:val="20"/>
        </w:rPr>
        <w:t>8.  Gestione delle emergenze</w:t>
      </w:r>
    </w:p>
    <w:p>
      <w:pPr>
        <w:pStyle w:val="ListBullet"/>
      </w:pPr>
      <w:r>
        <w:rPr>
          <w:sz w:val="20"/>
        </w:rPr>
        <w:t>9.  Stima dei costi della sicurezza</w:t>
      </w:r>
    </w:p>
    <w:p>
      <w:pPr>
        <w:pStyle w:val="ListBullet"/>
      </w:pPr>
      <w:r>
        <w:rPr>
          <w:sz w:val="20"/>
        </w:rPr>
        <w:t>10. Firme</w:t>
      </w:r>
    </w:p>
    <w:p>
      <w:r>
        <w:br w:type="page"/>
      </w:r>
    </w:p>
    <w:p>
      <w:pPr>
        <w:spacing w:before="280" w:after="80"/>
        <w:pBdr>
          <w:bottom w:val="single" w:sz="6" w:space="1" w:color="C88B2A"/>
        </w:pBdr>
      </w:pPr>
      <w:r>
        <w:rPr>
          <w:rFonts w:ascii="Calibri" w:hAnsi="Calibri"/>
          <w:b/>
          <w:color w:val="1A3A5C"/>
          <w:sz w:val="24"/>
        </w:rPr>
        <w:t>1.  IDENTIFICAZIONE E DESCRIZIONE DELL'OPERA</w:t>
      </w:r>
    </w:p>
    <w:p>
      <w:pPr>
        <w:ind w:left="283"/>
      </w:pPr>
      <w:r>
        <w:rPr>
          <w:i/>
          <w:color w:val="5A6B7D"/>
          <w:sz w:val="17"/>
        </w:rPr>
        <w:t>Rif. norm.: Allegato XV, punto 2.1.2 lett. a — D.Lgs. 81/2008</w:t>
      </w:r>
    </w:p>
    <w:p>
      <w:pPr>
        <w:spacing w:after="40"/>
      </w:pPr>
      <w:r>
        <w:rPr>
          <w:b/>
          <w:sz w:val="20"/>
        </w:rPr>
        <w:t xml:space="preserve">Natura dell'opera: </w:t>
      </w:r>
      <w:r>
        <w:rPr>
          <w:sz w:val="20"/>
        </w:rPr>
        <w:t>Ristrutturazione edilizia</w:t>
      </w:r>
    </w:p>
    <w:p>
      <w:pPr>
        <w:spacing w:after="40"/>
      </w:pPr>
      <w:r>
        <w:rPr>
          <w:b/>
          <w:sz w:val="20"/>
        </w:rPr>
        <w:t xml:space="preserve">Descrizione: </w:t>
      </w:r>
      <w:r>
        <w:rPr>
          <w:sz w:val="20"/>
        </w:rPr>
        <w:t>Ristrutturazione completa di edificio residenziale di 3 piani fuori terra con sostituzione copertura</w:t>
      </w:r>
    </w:p>
    <w:p>
      <w:pPr>
        <w:spacing w:after="40"/>
      </w:pPr>
      <w:r>
        <w:rPr>
          <w:b/>
          <w:sz w:val="20"/>
        </w:rPr>
        <w:t xml:space="preserve">Indirizzo cantiere: </w:t>
      </w:r>
      <w:r>
        <w:rPr>
          <w:sz w:val="20"/>
        </w:rPr>
        <w:t>Via Leopardi, 8</w:t>
      </w:r>
    </w:p>
    <w:p>
      <w:pPr>
        <w:spacing w:after="40"/>
      </w:pPr>
      <w:r>
        <w:rPr>
          <w:b/>
          <w:sz w:val="20"/>
        </w:rPr>
        <w:t xml:space="preserve">Comune: </w:t>
      </w:r>
      <w:r>
        <w:rPr>
          <w:sz w:val="20"/>
        </w:rPr>
        <w:t>Monza (MB)</w:t>
      </w:r>
    </w:p>
    <w:p>
      <w:pPr>
        <w:spacing w:after="40"/>
      </w:pPr>
      <w:r>
        <w:rPr>
          <w:b/>
          <w:sz w:val="20"/>
        </w:rPr>
        <w:t xml:space="preserve">Data inizio lavori: </w:t>
      </w:r>
      <w:r>
        <w:rPr>
          <w:sz w:val="20"/>
        </w:rPr>
        <w:t>15/03/2025</w:t>
      </w:r>
    </w:p>
    <w:p>
      <w:pPr>
        <w:spacing w:after="40"/>
      </w:pPr>
      <w:r>
        <w:rPr>
          <w:b/>
          <w:sz w:val="20"/>
        </w:rPr>
        <w:t xml:space="preserve">Data fine lavori: </w:t>
      </w:r>
      <w:r>
        <w:rPr>
          <w:sz w:val="20"/>
        </w:rPr>
        <w:t>30/09/2025</w:t>
      </w:r>
    </w:p>
    <w:p>
      <w:pPr>
        <w:spacing w:after="40"/>
      </w:pPr>
      <w:r>
        <w:rPr>
          <w:b/>
          <w:sz w:val="20"/>
        </w:rPr>
        <w:t xml:space="preserve">Durata (uomini-giorno): </w:t>
      </w:r>
      <w:r>
        <w:rPr>
          <w:sz w:val="20"/>
        </w:rPr>
        <w:t>420</w:t>
      </w:r>
    </w:p>
    <w:p>
      <w:pPr>
        <w:spacing w:after="40"/>
      </w:pPr>
      <w:r>
        <w:rPr>
          <w:b/>
          <w:sz w:val="20"/>
        </w:rPr>
        <w:t xml:space="preserve">N. max lavoratori contemporanei: </w:t>
      </w:r>
      <w:r>
        <w:rPr>
          <w:sz w:val="20"/>
        </w:rPr>
        <w:t>12</w:t>
      </w:r>
    </w:p>
    <w:p>
      <w:pPr>
        <w:spacing w:after="40"/>
      </w:pPr>
      <w:r>
        <w:rPr>
          <w:b/>
          <w:sz w:val="20"/>
        </w:rPr>
        <w:t xml:space="preserve">N. imprese esecutrici previste: </w:t>
      </w:r>
      <w:r>
        <w:rPr>
          <w:sz w:val="20"/>
        </w:rPr>
        <w:t>4</w:t>
      </w:r>
    </w:p>
    <w:p>
      <w:pPr>
        <w:spacing w:after="40"/>
      </w:pPr>
      <w:r>
        <w:rPr>
          <w:b/>
          <w:sz w:val="20"/>
        </w:rPr>
        <w:t xml:space="preserve">Importo lavori: </w:t>
      </w:r>
      <w:r>
        <w:rPr>
          <w:sz w:val="20"/>
        </w:rPr>
        <w:t>€ € 385.000,00</w:t>
      </w:r>
    </w:p>
    <w:p>
      <w:r>
        <w:br w:type="page"/>
      </w:r>
    </w:p>
    <w:p>
      <w:pPr>
        <w:spacing w:before="280" w:after="80"/>
        <w:pBdr>
          <w:bottom w:val="single" w:sz="6" w:space="1" w:color="C88B2A"/>
        </w:pBdr>
      </w:pPr>
      <w:r>
        <w:rPr>
          <w:rFonts w:ascii="Calibri" w:hAnsi="Calibri"/>
          <w:b/>
          <w:color w:val="1A3A5C"/>
          <w:sz w:val="24"/>
        </w:rPr>
        <w:t>2.  SOGGETTI CON COMPITI DI SICUREZZA</w:t>
      </w:r>
    </w:p>
    <w:p>
      <w:pPr>
        <w:ind w:left="283"/>
      </w:pPr>
      <w:r>
        <w:rPr>
          <w:i/>
          <w:color w:val="5A6B7D"/>
          <w:sz w:val="17"/>
        </w:rPr>
        <w:t>Rif. norm.: Allegato XV, punto 2.1.2 lett. b — D.Lgs. 81/2008</w:t>
      </w:r>
    </w:p>
    <w:p>
      <w:r>
        <w:rPr>
          <w:rFonts w:ascii="Calibri" w:hAnsi="Calibri"/>
          <w:b/>
          <w:color w:val="1A3A5C"/>
          <w:sz w:val="21"/>
        </w:rPr>
        <w:t>2.1  Committente</w:t>
      </w:r>
    </w:p>
    <w:p>
      <w:pPr>
        <w:spacing w:after="40"/>
      </w:pPr>
      <w:r>
        <w:rPr>
          <w:b/>
          <w:sz w:val="20"/>
        </w:rPr>
        <w:t xml:space="preserve">Nome e Cognome: </w:t>
      </w:r>
      <w:r>
        <w:rPr>
          <w:sz w:val="20"/>
        </w:rPr>
        <w:t>Giovanni Romeo</w:t>
      </w:r>
    </w:p>
    <w:p>
      <w:pPr>
        <w:spacing w:after="40"/>
      </w:pPr>
      <w:r>
        <w:rPr>
          <w:b/>
          <w:sz w:val="20"/>
        </w:rPr>
        <w:t xml:space="preserve">Ragione Sociale: </w:t>
      </w:r>
      <w:r>
        <w:rPr>
          <w:sz w:val="20"/>
        </w:rPr>
        <w:t>—</w:t>
      </w:r>
    </w:p>
    <w:p>
      <w:pPr>
        <w:spacing w:after="40"/>
      </w:pPr>
      <w:r>
        <w:rPr>
          <w:b/>
          <w:sz w:val="20"/>
        </w:rPr>
        <w:t xml:space="preserve">Codice Fiscale: </w:t>
      </w:r>
      <w:r>
        <w:rPr>
          <w:sz w:val="20"/>
        </w:rPr>
        <w:t>—</w:t>
      </w:r>
    </w:p>
    <w:p>
      <w:pPr>
        <w:spacing w:after="40"/>
      </w:pPr>
      <w:r>
        <w:rPr>
          <w:b/>
          <w:sz w:val="20"/>
        </w:rPr>
        <w:t xml:space="preserve">Indirizzo: </w:t>
      </w:r>
      <w:r>
        <w:rPr>
          <w:sz w:val="20"/>
        </w:rPr>
        <w:t>Viale Trieste, 74</w:t>
      </w:r>
    </w:p>
    <w:p>
      <w:pPr>
        <w:spacing w:after="40"/>
      </w:pPr>
      <w:r>
        <w:rPr>
          <w:b/>
          <w:sz w:val="20"/>
        </w:rPr>
        <w:t xml:space="preserve">Telefono: </w:t>
      </w:r>
      <w:r>
        <w:rPr>
          <w:sz w:val="20"/>
        </w:rPr>
        <w:t>3480365974</w:t>
      </w:r>
    </w:p>
    <w:p>
      <w:pPr>
        <w:spacing w:after="40"/>
      </w:pPr>
      <w:r>
        <w:rPr>
          <w:b/>
          <w:sz w:val="20"/>
        </w:rPr>
        <w:t xml:space="preserve">Email / PEC: </w:t>
      </w:r>
      <w:r>
        <w:rPr>
          <w:sz w:val="20"/>
        </w:rPr>
        <w:t>giovromeo@gmail.com</w:t>
      </w:r>
    </w:p>
    <w:p>
      <w:r>
        <w:rPr>
          <w:rFonts w:ascii="Calibri" w:hAnsi="Calibri"/>
          <w:b/>
          <w:color w:val="1A3A5C"/>
          <w:sz w:val="21"/>
        </w:rPr>
        <w:t>2.2  Responsabile dei Lavori</w:t>
      </w:r>
    </w:p>
    <w:p>
      <w:pPr>
        <w:spacing w:after="40"/>
      </w:pPr>
      <w:r>
        <w:rPr>
          <w:b/>
          <w:sz w:val="20"/>
        </w:rPr>
        <w:t xml:space="preserve">Nome e Cognome: </w:t>
      </w:r>
      <w:r>
        <w:rPr>
          <w:sz w:val="20"/>
        </w:rPr>
        <w:t xml:space="preserve">Coincide con committente </w:t>
      </w:r>
    </w:p>
    <w:p>
      <w:pPr>
        <w:spacing w:after="40"/>
      </w:pPr>
      <w:r>
        <w:rPr>
          <w:b/>
          <w:sz w:val="20"/>
        </w:rPr>
        <w:t xml:space="preserve">Qualifica: </w:t>
      </w:r>
      <w:r>
        <w:rPr>
          <w:sz w:val="20"/>
        </w:rPr>
        <w:t>—</w:t>
      </w:r>
    </w:p>
    <w:p>
      <w:pPr>
        <w:spacing w:after="40"/>
      </w:pPr>
      <w:r>
        <w:rPr>
          <w:b/>
          <w:sz w:val="20"/>
        </w:rPr>
        <w:t xml:space="preserve">Telefono: </w:t>
      </w:r>
      <w:r>
        <w:rPr>
          <w:sz w:val="20"/>
        </w:rPr>
        <w:t>—</w:t>
      </w:r>
    </w:p>
    <w:p>
      <w:r>
        <w:rPr>
          <w:rFonts w:ascii="Calibri" w:hAnsi="Calibri"/>
          <w:b/>
          <w:color w:val="1A3A5C"/>
          <w:sz w:val="21"/>
        </w:rPr>
        <w:t>2.3  CSP — Coordinatore per la Progettazione</w:t>
      </w:r>
    </w:p>
    <w:p>
      <w:pPr>
        <w:spacing w:after="40"/>
      </w:pPr>
      <w:r>
        <w:rPr>
          <w:b/>
          <w:sz w:val="20"/>
        </w:rPr>
        <w:t xml:space="preserve">Nome e Cognome: </w:t>
      </w:r>
      <w:r>
        <w:rPr>
          <w:sz w:val="20"/>
        </w:rPr>
        <w:t>Luca Marini</w:t>
      </w:r>
    </w:p>
    <w:p>
      <w:pPr>
        <w:spacing w:after="40"/>
      </w:pPr>
      <w:r>
        <w:rPr>
          <w:b/>
          <w:sz w:val="20"/>
        </w:rPr>
        <w:t xml:space="preserve">Ordine Prof.: </w:t>
      </w:r>
      <w:r>
        <w:rPr>
          <w:sz w:val="20"/>
        </w:rPr>
        <w:t>Ordine degli Ingegneri</w:t>
      </w:r>
    </w:p>
    <w:p>
      <w:pPr>
        <w:spacing w:after="40"/>
      </w:pPr>
      <w:r>
        <w:rPr>
          <w:b/>
          <w:sz w:val="20"/>
        </w:rPr>
        <w:t xml:space="preserve">N. Iscrizione: </w:t>
      </w:r>
      <w:r>
        <w:rPr>
          <w:sz w:val="20"/>
        </w:rPr>
        <w:t>MI 24567</w:t>
      </w:r>
    </w:p>
    <w:p>
      <w:pPr>
        <w:spacing w:after="40"/>
      </w:pPr>
      <w:r>
        <w:rPr>
          <w:b/>
          <w:sz w:val="20"/>
        </w:rPr>
        <w:t xml:space="preserve">Ultimo aggiornamento: </w:t>
      </w:r>
      <w:r>
        <w:rPr>
          <w:sz w:val="20"/>
        </w:rPr>
        <w:t>—</w:t>
      </w:r>
    </w:p>
    <w:p>
      <w:pPr>
        <w:spacing w:after="40"/>
      </w:pPr>
      <w:r>
        <w:rPr>
          <w:b/>
          <w:sz w:val="20"/>
        </w:rPr>
        <w:t xml:space="preserve">PEC: </w:t>
      </w:r>
      <w:r>
        <w:rPr>
          <w:sz w:val="20"/>
        </w:rPr>
        <w:t>luca.marini@ingpec.eu</w:t>
      </w:r>
    </w:p>
    <w:p>
      <w:r>
        <w:rPr>
          <w:rFonts w:ascii="Calibri" w:hAnsi="Calibri"/>
          <w:b/>
          <w:color w:val="1A3A5C"/>
          <w:sz w:val="21"/>
        </w:rPr>
        <w:t>2.4  CSE — Coordinatore per l'Esecuzione</w:t>
      </w:r>
    </w:p>
    <w:p>
      <w:pPr>
        <w:spacing w:after="40"/>
      </w:pPr>
      <w:r>
        <w:rPr>
          <w:b/>
          <w:sz w:val="20"/>
        </w:rPr>
        <w:t xml:space="preserve">Nome e Cognome: </w:t>
      </w:r>
      <w:r>
        <w:rPr>
          <w:sz w:val="20"/>
        </w:rPr>
        <w:t>Francesca Colombo</w:t>
      </w:r>
    </w:p>
    <w:p>
      <w:pPr>
        <w:spacing w:after="40"/>
      </w:pPr>
      <w:r>
        <w:rPr>
          <w:b/>
          <w:sz w:val="20"/>
        </w:rPr>
        <w:t xml:space="preserve">Ordine Prof.: </w:t>
      </w:r>
      <w:r>
        <w:rPr>
          <w:sz w:val="20"/>
        </w:rPr>
        <w:t>Ordine degli Architetti</w:t>
      </w:r>
    </w:p>
    <w:p>
      <w:pPr>
        <w:spacing w:after="40"/>
      </w:pPr>
      <w:r>
        <w:rPr>
          <w:b/>
          <w:sz w:val="20"/>
        </w:rPr>
        <w:t xml:space="preserve">N. Iscrizione: </w:t>
      </w:r>
      <w:r>
        <w:rPr>
          <w:sz w:val="20"/>
        </w:rPr>
        <w:t>MI 8901</w:t>
      </w:r>
    </w:p>
    <w:p>
      <w:pPr>
        <w:spacing w:after="40"/>
      </w:pPr>
      <w:r>
        <w:rPr>
          <w:b/>
          <w:sz w:val="20"/>
        </w:rPr>
        <w:t xml:space="preserve">PEC: </w:t>
      </w:r>
      <w:r>
        <w:rPr>
          <w:sz w:val="20"/>
        </w:rPr>
        <w:t>f.colombo@archpec.it</w:t>
      </w:r>
    </w:p>
    <w:p>
      <w:r>
        <w:rPr>
          <w:rFonts w:ascii="Calibri" w:hAnsi="Calibri"/>
          <w:b/>
          <w:color w:val="1A3A5C"/>
          <w:sz w:val="21"/>
        </w:rPr>
        <w:t>2.5  Imprese Esecutrici</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E8F0F8"/>
          </w:tcPr>
          <w:p>
            <w:r>
              <w:rPr>
                <w:b/>
                <w:color w:val="1A3A5C"/>
                <w:sz w:val="18"/>
              </w:rPr>
              <w:t>Ragione Sociale</w:t>
            </w:r>
          </w:p>
        </w:tc>
        <w:tc>
          <w:tcPr>
            <w:tcW w:type="dxa" w:w="1881"/>
            <w:shd w:val="clear" w:color="auto" w:fill="E8F0F8"/>
          </w:tcPr>
          <w:p>
            <w:r>
              <w:rPr>
                <w:b/>
                <w:color w:val="1A3A5C"/>
                <w:sz w:val="18"/>
              </w:rPr>
              <w:t>P.IVA</w:t>
            </w:r>
          </w:p>
        </w:tc>
        <w:tc>
          <w:tcPr>
            <w:tcW w:type="dxa" w:w="1881"/>
            <w:shd w:val="clear" w:color="auto" w:fill="E8F0F8"/>
          </w:tcPr>
          <w:p>
            <w:r>
              <w:rPr>
                <w:b/>
                <w:color w:val="1A3A5C"/>
                <w:sz w:val="18"/>
              </w:rPr>
              <w:t>Datore di Lavoro</w:t>
            </w:r>
          </w:p>
        </w:tc>
        <w:tc>
          <w:tcPr>
            <w:tcW w:type="dxa" w:w="1881"/>
            <w:shd w:val="clear" w:color="auto" w:fill="E8F0F8"/>
          </w:tcPr>
          <w:p>
            <w:r>
              <w:rPr>
                <w:b/>
                <w:color w:val="1A3A5C"/>
                <w:sz w:val="18"/>
              </w:rPr>
              <w:t>RSPP</w:t>
            </w:r>
          </w:p>
        </w:tc>
        <w:tc>
          <w:tcPr>
            <w:tcW w:type="dxa" w:w="1881"/>
            <w:shd w:val="clear" w:color="auto" w:fill="E8F0F8"/>
          </w:tcPr>
          <w:p>
            <w:r>
              <w:rPr>
                <w:b/>
                <w:color w:val="1A3A5C"/>
                <w:sz w:val="18"/>
              </w:rPr>
              <w:t>Attività</w:t>
            </w:r>
          </w:p>
        </w:tc>
      </w:tr>
      <w:tr>
        <w:tc>
          <w:tcPr>
            <w:tcW w:type="dxa" w:w="1881"/>
          </w:tcPr>
          <w:p>
            <w:r>
              <w:rPr>
                <w:sz w:val="18"/>
              </w:rPr>
              <w:t>Impresa A</w:t>
            </w:r>
          </w:p>
        </w:tc>
        <w:tc>
          <w:tcPr>
            <w:tcW w:type="dxa" w:w="1881"/>
          </w:tcPr>
          <w:p>
            <w:r>
              <w:rPr>
                <w:sz w:val="18"/>
              </w:rPr>
              <w:t>123456789</w:t>
            </w:r>
          </w:p>
        </w:tc>
        <w:tc>
          <w:tcPr>
            <w:tcW w:type="dxa" w:w="1881"/>
          </w:tcPr>
          <w:p>
            <w:r>
              <w:rPr>
                <w:sz w:val="18"/>
              </w:rPr>
              <w:t>—</w:t>
            </w:r>
          </w:p>
        </w:tc>
        <w:tc>
          <w:tcPr>
            <w:tcW w:type="dxa" w:w="1881"/>
          </w:tcPr>
          <w:p>
            <w:r>
              <w:rPr>
                <w:sz w:val="18"/>
              </w:rPr>
              <w:t>—</w:t>
            </w:r>
          </w:p>
        </w:tc>
        <w:tc>
          <w:tcPr>
            <w:tcW w:type="dxa" w:w="1881"/>
          </w:tcPr>
          <w:p>
            <w:r>
              <w:rPr>
                <w:sz w:val="18"/>
              </w:rPr>
              <w:t>—</w:t>
            </w:r>
          </w:p>
        </w:tc>
      </w:tr>
    </w:tbl>
    <w:p/>
    <w:p>
      <w:r>
        <w:br w:type="page"/>
      </w:r>
    </w:p>
    <w:p>
      <w:pPr>
        <w:spacing w:before="280" w:after="80"/>
        <w:pBdr>
          <w:bottom w:val="single" w:sz="6" w:space="1" w:color="C88B2A"/>
        </w:pBdr>
      </w:pPr>
      <w:r>
        <w:rPr>
          <w:rFonts w:ascii="Calibri" w:hAnsi="Calibri"/>
          <w:b/>
          <w:color w:val="1A3A5C"/>
          <w:sz w:val="24"/>
        </w:rPr>
        <w:t>3.  ANALISI E VALUTAZIONE DEI RISCHI</w:t>
      </w:r>
    </w:p>
    <w:p>
      <w:pPr>
        <w:ind w:left="283"/>
      </w:pPr>
      <w:r>
        <w:rPr>
          <w:i/>
          <w:color w:val="5A6B7D"/>
          <w:sz w:val="17"/>
        </w:rPr>
        <w:t>Rif. norm.: Allegato XV, punto 2.1.2 lett. c — D.Lgs. 81/2008</w:t>
      </w:r>
    </w:p>
    <w:p>
      <w:r>
        <w:t># SEZIONE 3 — ANALISI E VALUTAZIONE DEI RISCHI</w:t>
      </w:r>
    </w:p>
    <w:p/>
    <w:p>
      <w:r>
        <w:t>## 3.1 RISCHI DERIVANTI DALL'AREA DI CANTIERE</w:t>
      </w:r>
    </w:p>
    <w:p/>
    <w:p>
      <w:r>
        <w:t>### Tabella di valutazione rischi area di cantiere</w:t>
      </w:r>
    </w:p>
    <w:p/>
    <w:p>
      <w:r>
        <w:t>| Pericolo | Fonte | P | D | R | Livello | Misure di prevenzione | Rif. normativo |</w:t>
      </w:r>
    </w:p>
    <w:p>
      <w:r>
        <w:t>|----------|-------|---|---|---|---------|----------------------|----------------|</w:t>
      </w:r>
    </w:p>
    <w:p>
      <w:r>
        <w:t>| Interferenza con rete gas metano | Sottoservizi esistenti | 3 | 4 | 12 | ALTO | Richiesta planimetrie al gestore; verifica con georadar; scavo manuale entro 1m dalle tubazioni; presenza tecnico del gestore durante attraversamenti | Art. 83 D.Lgs. 81/08; UNI 11590 |</w:t>
      </w:r>
    </w:p>
    <w:p>
      <w:r>
        <w:t>| Elettrocuzione da linee BT aeree | Linee elettriche prossimità | 2 | 4 | 8 | MEDIO | Mantenimento distanza sicurezza &gt;5m; segnalazione con portali in legno; divieto operazioni con gru/autogru in prossimità | Art. 83 comma 4 D.Lgs. 81/08; CEI 11-4 |</w:t>
      </w:r>
    </w:p>
    <w:p>
      <w:r>
        <w:t>| Instabilità scavi per presenza falda | Caratteristiche terreno | 3 | 3 | 9 | MEDIO | Monitoraggio quotidiano livello falda; predisposizione pompe di aggottamento; verifica stabilità pareti con tecnico | Art. 119 D.Lgs. 81/08 |</w:t>
      </w:r>
    </w:p>
    <w:p>
      <w:r>
        <w:t>| Cedimenti per tipo terreno argilloso | Natura geologica | 2 | 3 | 6 | MEDIO | Verifica geotecnica preliminare; angolo naturale scarpata rispettato; drenaggio acque superficiali | Art. 118 D.Lgs. 81/08 |</w:t>
      </w:r>
    </w:p>
    <w:p/>
    <w:p>
      <w:r>
        <w:t>### Descrizione dell'area di cantiere</w:t>
      </w:r>
    </w:p>
    <w:p/>
    <w:p>
      <w:r>
        <w:t>L'area di cantiere è ubicata in Via Leopardi, 8 a Monza (MB), in zona privata senza interferenze con traffico veicolare pubblico. L'assenza di edifici adiacenti garantisce maggiore sicurezza per le operazioni di cantiere, eliminando rischi di danneggiamento a terzi e facilitando la movimentazione dei mezzi meccanici.</w:t>
      </w:r>
    </w:p>
    <w:p/>
    <w:p>
      <w:r>
        <w:t>Il fattore di rischio più significativo è rappresentato dalla presenza della rete di distribuzione gas metano, che richiede particolare attenzione durante le operazioni di scavo. Il Coordinatore per la Sicurezza prescrive la richiesta obbligatoria delle planimetrie dei sottoservizi al gestore prima dell'inizio dei lavori e l'utilizzo di strumentazione georadar per la localizzazione precisa delle tubazioni.</w:t>
      </w:r>
    </w:p>
    <w:p/>
    <w:p>
      <w:r>
        <w:t>Le linee elettriche in bassa tensione, pur mantenendo una distanza superiore ai 5 metri prescritti dalla normativa, devono essere costantemente monitorate durante le operazioni con mezzi di movimentazione verticale.</w:t>
      </w:r>
    </w:p>
    <w:p/>
    <w:p>
      <w:r>
        <w:t>La natura argillosa del terreno, seppur caratterizzata da buona coesione, unita alla presenza di falda acquifera, richiede un approccio tecnico specifico per garantire la stabilità degli scavi previsti alla profondità di 2 metri.</w:t>
      </w:r>
    </w:p>
    <w:p/>
    <w:p>
      <w:r>
        <w:t>## 3.2 RISCHI DERIVANTI DALLE LAVORAZIONI</w:t>
      </w:r>
    </w:p>
    <w:p/>
    <w:p>
      <w:r>
        <w:t>### 3.2.1 SCAVI E FONDAZIONI (profondità 2 metri)</w:t>
      </w:r>
    </w:p>
    <w:p/>
    <w:p>
      <w:r>
        <w:t>| Pericolo | P | D | R | Livello | DPI obbligatori | Rif. normativo |</w:t>
      </w:r>
    </w:p>
    <w:p>
      <w:r>
        <w:t>|----------|---|---|---|---------|-----------------|----------------|</w:t>
      </w:r>
    </w:p>
    <w:p>
      <w:r>
        <w:t>| Seppellimento/franamento pareti | 3 | 4 | 12 | ALTO | Casco EN 397, calzature S3 EN ISO 20345 | Art. 118-120 D.Lgs. 81/08 |</w:t>
      </w:r>
    </w:p>
    <w:p>
      <w:r>
        <w:t>| Investimento da mezzi meccanici | 3 | 4 | 12 | ALTO | Gilet ad alta visibilità EN ISO 20471 classe 2 | Art. 106 D.Lgs. 81/08 |</w:t>
      </w:r>
    </w:p>
    <w:p>
      <w:r>
        <w:t>| Interferenza con rete gas | 3 | 4 | 12 | ALTO | Detector gas portatile, guanti EN 388 | Art. 83 D.Lgs. 81/08 |</w:t>
      </w:r>
    </w:p>
    <w:p>
      <w:r>
        <w:t>| Caduta di materiali dall'alto | 3 | 3 | 9 | MEDIO | Casco EN 397 con sottogola | Art. 114 D.Lgs. 81/08 |</w:t>
      </w:r>
    </w:p>
    <w:p>
      <w:r>
        <w:t>| Contatto con falda acquifera | 2 | 2 | 4 | BASSO | Stivali impermeabili EN ISO 20345 | Art. 119 D.Lgs. 81/08 |</w:t>
      </w:r>
    </w:p>
    <w:p/>
    <w:p>
      <w:r>
        <w:t>#### Analisi approfondita rischi R ≥ 9</w:t>
      </w:r>
    </w:p>
    <w:p/>
    <w:p>
      <w:r>
        <w:t>**SEPPELLIMENTO/FRANAMENTO DELLE PARETI (R=12 - ALTO)**</w:t>
      </w:r>
    </w:p>
    <w:p/>
    <w:p>
      <w:r>
        <w:t>Il Coordinatore per la Sicurezza prescrive che tutti gli scavi con profondità superiore a 1,5 metri devono essere armati secondo le disposizioni dell'Art. 119 D.Lgs. 81/2008. Considerata la profondità di 2 metri e la natura argillosa del terreno, è fatto obbligo alle imprese esecutrici di:</w:t>
      </w:r>
    </w:p>
    <w:p>
      <w:r>
        <w:t>- Realizzare armatura delle pareti mediante pannelli metallici con puntoni regolabili o sbadacchiatura in legno dimensionata secondo calcolo strutturale</w:t>
      </w:r>
    </w:p>
    <w:p>
      <w:r>
        <w:t>- Mantenere l'angolo di scarpa naturale ≤ 45° nelle porzioni non armate</w:t>
      </w:r>
    </w:p>
    <w:p>
      <w:r>
        <w:t>- Effettuare verifica quotidiana della stabilità delle pareti con tecnico qualificato</w:t>
      </w:r>
    </w:p>
    <w:p>
      <w:r>
        <w:t>- Predisporre scale di risalita ogni 20 metri lineari di scavo</w:t>
      </w:r>
    </w:p>
    <w:p>
      <w:r>
        <w:t>- Vietare l'accesso al fondo scavo durante le operazioni di armatura/disarmo</w:t>
      </w:r>
    </w:p>
    <w:p/>
    <w:p>
      <w:r>
        <w:t>**Il mancato rispetto della presente prescrizione costituisce violazione dell'art. 119 D.Lgs. 81/2008 punita con arresto da due a quattro mesi o ammenda da 1.500 a 6.000 euro ai sensi dell'art. 157.**</w:t>
      </w:r>
    </w:p>
    <w:p/>
    <w:p>
      <w:r>
        <w:t>**INVESTIMENTO DA MEZZI MECCANICI (R=12 - ALTO)**</w:t>
      </w:r>
    </w:p>
    <w:p/>
    <w:p>
      <w:r>
        <w:t>Durante le operazioni di scavo con escavatore e movimento terra, tutte le maestranze presenti nell'area di cantiere devono indossare gilet ad alta visibilità classe 2 EN ISO 20471. È prescritto inoltre:</w:t>
      </w:r>
    </w:p>
    <w:p>
      <w:r>
        <w:t>- Velocità massima dei mezzi meccanici limitata a 10 km/h</w:t>
      </w:r>
    </w:p>
    <w:p>
      <w:r>
        <w:t>- Presenza di operatore a terra con segnaletica manuale durante le manovre di retromarcia</w:t>
      </w:r>
    </w:p>
    <w:p>
      <w:r>
        <w:t>- Installazione di segnalatori acustici automatici su tutti i mezzi</w:t>
      </w:r>
    </w:p>
    <w:p>
      <w:r>
        <w:t>- Segregazione dell'area di manovra con transennatura mobile</w:t>
      </w:r>
    </w:p>
    <w:p>
      <w:r>
        <w:t>- Divieto assoluto di permanenza di persone nel raggio d'azione dell'escavatore</w:t>
      </w:r>
    </w:p>
    <w:p/>
    <w:p>
      <w:r>
        <w:t>**INTERFERENZA CON RETE GAS METANO (R=12 - ALTO)**</w:t>
      </w:r>
    </w:p>
    <w:p/>
    <w:p>
      <w:r>
        <w:t>Vista la presenza accertata di conduttura gas metano nell'area di scavo, il Coordinatore prescrive:</w:t>
      </w:r>
    </w:p>
    <w:p>
      <w:r>
        <w:t>- Richiesta obbligatoria di planimetria quotata al gestore della rete prima dell'inizio lavori</w:t>
      </w:r>
    </w:p>
    <w:p>
      <w:r>
        <w:t>- Localizzazione mediante strumentazione georadar certificata</w:t>
      </w:r>
    </w:p>
    <w:p>
      <w:r>
        <w:t>- Scavo esclusivamente manuale in un raggio di 1 metro dalla tubazione</w:t>
      </w:r>
    </w:p>
    <w:p>
      <w:r>
        <w:t>- Presenza obbligatoria di tecnico del gestore durante le operazioni in prossimità della conduttura</w:t>
      </w:r>
    </w:p>
    <w:p>
      <w:r>
        <w:t>- Disponibilità permanente di rilevatore di gas portatile con soglia di allarme tarata</w:t>
      </w:r>
    </w:p>
    <w:p>
      <w:r>
        <w:t>- Divieto assoluto di utilizzo di mezzi meccanici, fiamme libere e utensili che possano produrre scintille</w:t>
      </w:r>
    </w:p>
    <w:p/>
    <w:p>
      <w:r>
        <w:t>**Il mancato rispetto della presente prescrizione costituisce violazione dell'art. 83 D.Lgs. 81/2008 punita con arresto da tre a sei mesi o ammenda da 2.500 a 6.400 euro ai sensi dell'art. 157.**</w:t>
      </w:r>
    </w:p>
    <w:p/>
    <w:p>
      <w:r>
        <w:t>**CADUTA DI MATERIALI DALL'ALTO (R=9 - MEDIO)**</w:t>
      </w:r>
    </w:p>
    <w:p/>
    <w:p>
      <w:r>
        <w:t>Durante le operazioni di scavo e movimentazione terra, sussiste il rischio di caduta di materiali dalle benne dell'escavatore e dai mezzi di trasporto. Le misure prescritte includono:</w:t>
      </w:r>
    </w:p>
    <w:p>
      <w:r>
        <w:t>- Utilizzo di benne con griglia di contenimento per materiali minuti</w:t>
      </w:r>
    </w:p>
    <w:p>
      <w:r>
        <w:t>- Copertura con teli dei carichi durante il trasporto</w:t>
      </w:r>
    </w:p>
    <w:p>
      <w:r>
        <w:t>- Delimitazione dell'area di scarico con segnaletica di divieto di accesso</w:t>
      </w:r>
    </w:p>
    <w:p>
      <w:r>
        <w:t>- Controllo del carico massimo ammissibile per ogni mezzo</w:t>
      </w:r>
    </w:p>
    <w:p/>
    <w:p>
      <w:r>
        <w:t>### 3.2.2 OPERE MURARIE (altezza 3 metri)</w:t>
      </w:r>
    </w:p>
    <w:p/>
    <w:p>
      <w:r>
        <w:t>| Pericolo | P | D | R | Livello | DPI obbligatori | Rif. normativo |</w:t>
      </w:r>
    </w:p>
    <w:p>
      <w:r>
        <w:t>|----------|---|---|---|---------|-----------------|----------------|</w:t>
      </w:r>
    </w:p>
    <w:p>
      <w:r>
        <w:t>| Caduta dall'alto | 4 | 4 | 16 | ALTO | Imbragatura EN 361, cordino EN 354, casco | Art. 107-111 D.Lgs. 81/08 |</w:t>
      </w:r>
    </w:p>
    <w:p>
      <w:r>
        <w:t>| Caduta materiali da ponteggio | 3 | 3 | 9 | MEDIO | Casco EN 397 con sottogola | Art. 114 D.Lgs. 81/08 |</w:t>
      </w:r>
    </w:p>
    <w:p>
      <w:r>
        <w:t>| Movimentazione manuale carichi | 3 | 3 | 9 | MEDIO | Guanti EN 388, calzature antinfortunistiche S3 | Art. 167-170 D.Lgs. 81/08 |</w:t>
      </w:r>
    </w:p>
    <w:p>
      <w:r>
        <w:t>| Esposizione agenti chimici (calce, cemento) | 3 | 2 | 6 | MEDIO | Guanti EN 374, occhiali EN 166 | Art. 224 D.Lgs. 81/08 |</w:t>
      </w:r>
    </w:p>
    <w:p>
      <w:r>
        <w:t>| Tagli da utensili | 2 | 2 | 4 | BASSO | Guanti antitaglio EN 388 | Art. 75 D.Lgs. 81/08 |</w:t>
      </w:r>
    </w:p>
    <w:p/>
    <w:p>
      <w:r>
        <w:t>#### Analisi approfondita rischi R ≥ 9</w:t>
      </w:r>
    </w:p>
    <w:p/>
    <w:p>
      <w:r>
        <w:t>**CADUTA DALL'ALTO (R=16 - ALTO)**</w:t>
      </w:r>
    </w:p>
    <w:p/>
    <w:p>
      <w:r>
        <w:t>Per tutte le lavorazioni murarie a quota superiore a 2 metri, il Coordinatore per la Sicurezza prescrive l'allestimento di protezioni collettive prioritarie rispetto ai DPI individuali:</w:t>
      </w:r>
    </w:p>
    <w:p/>
    <w:p>
      <w:r>
        <w:t>**Protezioni collettive obbligatorie:**</w:t>
      </w:r>
    </w:p>
    <w:p>
      <w:r>
        <w:t>- Ponteggio metallico fisso conforme UNI EN 12811-1 con parapetto principale H≥1,00m, parapetto intermedio e tavola fermapiede H≥15cm</w:t>
      </w:r>
    </w:p>
    <w:p>
      <w:r>
        <w:t>- PIMUS (Piano di Montaggio Uso e Smontaggio) redatto da persona competente e autorizzazione scritta del preposto per ogni fase di montaggio/smontaggio</w:t>
      </w:r>
    </w:p>
    <w:p>
      <w:r>
        <w:t>- Impalcati con tavole metalliche o elementi prefabbricati, larghezza minima 90 cm per ponteggi di servizio</w:t>
      </w:r>
    </w:p>
    <w:p>
      <w:r>
        <w:t>- Protezione delle aperture nei solai mediante parapetti fissi o coperture resistenti (carico 400 kg/m²)</w:t>
      </w:r>
    </w:p>
    <w:p/>
    <w:p>
      <w:r>
        <w:t>**Quando non tecnicamente possibile utilizzare protezioni collettive:**</w:t>
      </w:r>
    </w:p>
    <w:p>
      <w:r>
        <w:t>- Imbragatura di sicurezza EN 361 con doppio cordino EN 354 e dissipatore di energia EN 355</w:t>
      </w:r>
    </w:p>
    <w:p>
      <w:r>
        <w:t>- Ancoraggio certificato EN 795 classe A verificato da tecnico abilitato</w:t>
      </w:r>
    </w:p>
    <w:p>
      <w:r>
        <w:t>- Formazione specifica per lavori in quota (minimo 8 ore teorico-pratiche)</w:t>
      </w:r>
    </w:p>
    <w:p/>
    <w:p>
      <w:r>
        <w:t>**Il mancato rispetto della presente prescrizione costituisce violazione dell'art. 108 D.Lgs. 81/2008 punita con arresto da tre a sei mesi o ammenda da 2.500 a 6.400 euro ai sensi dell'art. 157.**</w:t>
      </w:r>
    </w:p>
    <w:p/>
    <w:p>
      <w:r>
        <w:t>**CADUTA MATERIALI DA PONTEGGIO (R=9 - MEDIO)**</w:t>
      </w:r>
    </w:p>
    <w:p/>
    <w:p>
      <w:r>
        <w:t>Il rischio di caduta di materiali durante le lavorazioni murarie richiede:</w:t>
      </w:r>
    </w:p>
    <w:p>
      <w:r>
        <w:t>- Mantovane parasassi a protezione degli accessi al ponteggio, estensione 1,20m dalla proiezione verticale</w:t>
      </w:r>
    </w:p>
    <w:p>
      <w:r>
        <w:t>- Tavole fermapiede continue su tutti i lati del ponteggio H≥15cm</w:t>
      </w:r>
    </w:p>
    <w:p>
      <w:r>
        <w:t>- Reti di protezione in polietilene sui lati esterni del ponteggio, fissate ogni metro</w:t>
      </w:r>
    </w:p>
    <w:p>
      <w:r>
        <w:t>- Deposito ordinato dei materiali sui piani di lavoro senza superare il carico massimo di 400 kg/m²</w:t>
      </w:r>
    </w:p>
    <w:p>
      <w:r>
        <w:t>- Contenitori per materiali minuti ancorati al ponteggio</w:t>
      </w:r>
    </w:p>
    <w:p/>
    <w:p>
      <w:r>
        <w:t>**MOVIMENTAZIONE MANUALE CARICHI (R=9 - MEDIO)**</w:t>
      </w:r>
    </w:p>
    <w:p/>
    <w:p>
      <w:r>
        <w:t>Considerato il peso specifico dei materiali da costruzione (blocchi, sacchi di cemento, elementi prefabbricati), il Coordinatore prescrive:</w:t>
      </w:r>
    </w:p>
    <w:p>
      <w:r>
        <w:t>- Limite massimo di 25 kg per la movimentazione manuale individuale (Art. 168 D.Lgs. 81/08)</w:t>
      </w:r>
    </w:p>
    <w:p>
      <w:r>
        <w:t>- Utilizzo di ausili meccanici: montacarichi da cantiere, carriole, transpallets manuali</w:t>
      </w:r>
    </w:p>
    <w:p>
      <w:r>
        <w:t>- Formazione specifica sulla movimentazione manuale dei carichi (MMC) per tutti gli addetti</w:t>
      </w:r>
    </w:p>
    <w:p>
      <w:r>
        <w:t>- Organizzazione del lavoro con rotazione delle mansioni più gravose</w:t>
      </w:r>
    </w:p>
    <w:p>
      <w:r>
        <w:t>- Disponibilità di attrezzature per movimentazione meccanica: gru a torre o autogrù per elementi &gt;100kg</w:t>
      </w:r>
    </w:p>
    <w:p/>
    <w:p>
      <w:r>
        <w:t>## 3.3 RISCHI DA INTERFERENZE TRA IMPRESE</w:t>
      </w:r>
    </w:p>
    <w:p/>
    <w:p>
      <w:r>
        <w:t>### Analisi interferenze</w:t>
      </w:r>
    </w:p>
    <w:p/>
    <w:p>
      <w:r>
        <w:t>Sulla base delle informazioni fornite, risulta presente un'unica impresa esecutrice (Impresa A) che effettuerà tutte le lavorazioni previste. Pertanto, non sussistono interferenze dirette tra imprese diverse.</w:t>
      </w:r>
    </w:p>
    <w:p/>
    <w:p>
      <w:r>
        <w:t>Tuttavia, il Coordinatore evidenzia le potenziali interferenze tra fasi lavorative successive della stessa impresa:</w:t>
      </w:r>
    </w:p>
    <w:p/>
    <w:p>
      <w:r>
        <w:t>| Fase A | Fase B | Tipo interferenza | Area | Rischio | Livello | Misura di coordinamento |</w:t>
      </w:r>
    </w:p>
    <w:p>
      <w:r>
        <w:t>|--------|--------|-------------------|------|---------|---------|------------------------|</w:t>
      </w:r>
    </w:p>
    <w:p>
      <w:r>
        <w:t>| Scavi | Opere murarie | Temporale-spaziale | Fondazioni | Caduta negli scavi | MEDIO | Completamento e messa in sicurezza scavi prima inizio murature |</w:t>
      </w:r>
    </w:p>
    <w:p>
      <w:r>
        <w:t>| Scavi | Opere murarie | Logistica | Accessi cantiere | Interferenza mezzi/pedoni | MEDIO | Percorsi separati e segnalati |</w:t>
      </w:r>
    </w:p>
    <w:p/>
    <w:p>
      <w:r>
        <w:t>### Cronoprogramma generale</w:t>
      </w:r>
    </w:p>
    <w:p/>
    <w:p>
      <w:r>
        <w:t>**CANTIERE: Ristrutturazione edilizia Via Leopardi, 8 - Monza (MB)**</w:t>
      </w:r>
    </w:p>
    <w:p>
      <w:r>
        <w:t>**Periodo: 15 marzo 2025 → 30 settembre 2025 (28 settimane)**</w:t>
      </w:r>
    </w:p>
    <w:p/>
    <w:p>
      <w:r>
        <w:t>```</w:t>
      </w:r>
    </w:p>
    <w:p>
      <w:r>
        <w:t>SETTIMANE:    1  2  3  4  5  6  7  8  9 10 11 12 13 14 15 16 17 18 19 20 21 22 23 24 25 26 27 28</w:t>
      </w:r>
    </w:p>
    <w:p>
      <w:r>
        <w:t xml:space="preserve">             |--|--|--|--|--|--|--|--|--|--|--|--|--|--|--|--|--|--|--|--|--|--|--|--|--|--|--|--|</w:t>
      </w:r>
    </w:p>
    <w:p>
      <w:r>
        <w:t>Allestimento |██|  |  |  |  |  |  |  |  |  |  |  |  |  |  |  |  |  |  |  |  |  |  |  |  |  |  |  |</w:t>
      </w:r>
    </w:p>
    <w:p>
      <w:r>
        <w:t>cantiere     |  |  |  |  |  |  |  |  |  |  |  |  |  |  |  |  |  |  |  |  |  |  |  |  |  |  |  |  |</w:t>
      </w:r>
    </w:p>
    <w:p>
      <w:r>
        <w:t xml:space="preserve">             |  |  |  |  |  |  |  |  |  |  |  |  |  |  |  |  |  |  |  |  |  |  |  |  |  |  |  |  |</w:t>
      </w:r>
    </w:p>
    <w:p>
      <w:r>
        <w:t>Scavi e      |  |██|██|██|██|  |  |  |  |  |  |  |  |  |  |  |  |  |  |  |  |  |  |  |  |  |  |  |</w:t>
      </w:r>
    </w:p>
    <w:p>
      <w:r>
        <w:t>fondazioni   |  |  |  |  |  |  |  |  |  |  |  |  |  |  |  |  |  |  |  |  |  |  |  |  |  |  |  |  |</w:t>
      </w:r>
    </w:p>
    <w:p>
      <w:r>
        <w:t xml:space="preserve">             |  |  |  |  |  |  |  |  |  |  |  |  |  |  |  |  |  |  |  |  |  |  |  |  |  |  |  |  |</w:t>
      </w:r>
    </w:p>
    <w:p>
      <w:r>
        <w:t>Strutture e  |  |  |  |  |██|██|██|██|██|██|██|██|  |  |  |  |  |  |  |  |  |  |  |  |  |  |  |  |</w:t>
      </w:r>
    </w:p>
    <w:p>
      <w:r>
        <w:t>murature     |  |  |  |  |  |  |  |  |  |  |  |  |  |  |  |  |  |  |  |  |  |  |  |  |  |  |  |  |</w:t>
      </w:r>
    </w:p>
    <w:p>
      <w:r>
        <w:t xml:space="preserve">             |  |  |  |  |  |  |  |  |  |  |  |  |  |  |  |  |  |  |  |  |  |  |  |  |  |  |  |  |</w:t>
      </w:r>
    </w:p>
    <w:p>
      <w:r>
        <w:t>Coperture    |  |  |  |  |  |  |  |  |  |  |  |  |██|██|██|██|  |  |  |  |  |  |  |  |  |  |  |  |</w:t>
      </w:r>
    </w:p>
    <w:p>
      <w:r>
        <w:t xml:space="preserve">             |  |  |  |  |  |  |  |  |  |  |  |  |  |  |  |  |  |  |  |  |  |  |  |  |  |  |  |  |</w:t>
      </w:r>
    </w:p>
    <w:p>
      <w:r>
        <w:t>Impianti     |  |  |  |  |  |  |  |  |  |  |  |  |  |  |  |██|██|██|██|██|  |  |  |  |  |  |  |  |</w:t>
      </w:r>
    </w:p>
    <w:p>
      <w:r>
        <w:t xml:space="preserve">             |  |  |  |  |  |  |  |  |  |  |  |  |  |  |  |  |  |  |  |  |  |  |  |  |  |  |  |  |</w:t>
      </w:r>
    </w:p>
    <w:p>
      <w:r>
        <w:t>Finiture     |  |  |  |  |  |  |  |  |  |  |  |  |  |  |  |  |  |  |  |  |██|██|██|██|██|  |  |  |</w:t>
      </w:r>
    </w:p>
    <w:p>
      <w:r>
        <w:t xml:space="preserve">             |  |  |  |  |  |  |  |  |  |  |  |  |  |  |  |  |  |  |  |  |  |  |  |  |  |  |  |  |</w:t>
      </w:r>
    </w:p>
    <w:p>
      <w:r>
        <w:t>Smobilizzo   |  |  |  |  |  |  |  |  |  |  |  |  |  |  |  |  |  |  |  |  |  |  |  |  |  |  |██|██|</w:t>
      </w:r>
    </w:p>
    <w:p>
      <w:r>
        <w:t>```</w:t>
      </w:r>
    </w:p>
    <w:p/>
    <w:p>
      <w:r>
        <w:t>### Cronoprogramma per fase lavorativa</w:t>
      </w:r>
    </w:p>
    <w:p/>
    <w:p>
      <w:r>
        <w:t>**FASE 1: SCAVI E FONDAZIONI**</w:t>
      </w:r>
    </w:p>
    <w:p>
      <w:r>
        <w:t>- **Periodo:** Settimane 2-5 (22/03/2025 - 18/04/2025)</w:t>
      </w:r>
    </w:p>
    <w:p>
      <w:r>
        <w:t>- **Area:** Zone A e B (fondazioni perimetrali)</w:t>
      </w:r>
    </w:p>
    <w:p>
      <w:r>
        <w:t>- **Interferenze gestite:** Nessuna sovrapposizione con altre lavorazioni</w:t>
      </w:r>
    </w:p>
    <w:p>
      <w:r>
        <w:t>- **Prescrizioni:** Completamento armature di sostegno prima dell'inizio fase successiva</w:t>
      </w:r>
    </w:p>
    <w:p/>
    <w:p>
      <w:r>
        <w:t xml:space="preserve">**FASE 2: OPERE MURARIE**  </w:t>
      </w:r>
    </w:p>
    <w:p>
      <w:r>
        <w:t>- **Periodo:** Settimane 6-12 (19/04/2025 - 30/05/2025)</w:t>
      </w:r>
    </w:p>
    <w:p>
      <w:r>
        <w:t>- **Area:** Elevazioni murarie fino a quota +3,00m</w:t>
      </w:r>
    </w:p>
    <w:p>
      <w:r>
        <w:t>- **Interferenze gestite:** Accessi separati dall'area scavi ormai completata</w:t>
      </w:r>
    </w:p>
    <w:p>
      <w:r>
        <w:t>- **Prescrizioni:** Montaggio ponteggio prima dell'inizio lavori in quota</w:t>
      </w:r>
    </w:p>
    <w:p/>
    <w:p>
      <w:r>
        <w:t>## 3.4 MISURE GENERALI DI COORDINAMENTO</w:t>
      </w:r>
    </w:p>
    <w:p/>
    <w:p>
      <w:r>
        <w:t>### 3.4.1 Prescrizioni generali per tutte le imprese</w:t>
      </w:r>
    </w:p>
    <w:p/>
    <w:p>
      <w:r>
        <w:t>Il Coordinatore per la Sicurezza in fase di Esecuzione prescrive a tutte le imprese operanti nel cantiere il rispetto delle seguenti disposizioni generali:</w:t>
      </w:r>
    </w:p>
    <w:p/>
    <w:p>
      <w:r>
        <w:t>**ACCESSO AL CANTIERE E CONTROLLI**</w:t>
      </w:r>
    </w:p>
    <w:p>
      <w:r>
        <w:t>- È vietato l'accesso al cantiere a personale non autorizzato e privo di dispositivi di protezione individuale</w:t>
      </w:r>
    </w:p>
    <w:p>
      <w:r>
        <w:t>- Tutti i lavoratori devono essere muniti di tesserino di riconoscimento con fotografia</w:t>
      </w:r>
    </w:p>
    <w:p>
      <w:r>
        <w:t>- L'accesso ai mezzi meccanici è consentito esclusivamente ai conduttori abilitati secondo l'Accordo Stato-Regioni 22/02/2012</w:t>
      </w:r>
    </w:p>
    <w:p>
      <w:r>
        <w:t>- Divieto assoluto di introdurre bevande alcoliche e stupefacenti (Art. 15 D.Lgs. 81/08)</w:t>
      </w:r>
    </w:p>
    <w:p/>
    <w:p>
      <w:r>
        <w:t>**DISPOSITIVI DI PROTEZIONE INDIVIDUALE MINIMI**</w:t>
      </w:r>
    </w:p>
    <w:p>
      <w:r>
        <w:t>Ai sensi dell'Art. 75-79 D.Lgs. 81/2008, tutti i lavoratori devono utilizzare:</w:t>
      </w:r>
    </w:p>
    <w:p>
      <w:r>
        <w:t>- Casco di protezione EN 397 con sottogola obbligatorio in tutte le aree di cantiere</w:t>
      </w:r>
    </w:p>
    <w:p>
      <w:r>
        <w:t>- Calzature antinfortunistiche S3 EN ISO 20345 con suola antiforo e puntale rinforzato</w:t>
      </w:r>
    </w:p>
    <w:p>
      <w:r>
        <w:t>- Guanti di protezione EN 388 per movimentazione materiali</w:t>
      </w:r>
    </w:p>
    <w:p>
      <w:r>
        <w:t>- Gilet ad alta visibilità EN ISO 20471 classe 2 durante operazioni con mezzi meccanici</w:t>
      </w:r>
    </w:p>
    <w:p>
      <w:r>
        <w:t>- Occhiali di protezione EN 166 durante lavorazioni con proiezione di schegge</w:t>
      </w:r>
    </w:p>
    <w:p/>
    <w:p>
      <w:r>
        <w:t>**VIABILITÀ E MOVIMENTAZIONE**</w:t>
      </w:r>
    </w:p>
    <w:p>
      <w:r>
        <w:t>- Velocità massima dei mezzi meccanici nel cantiere: 10 km/h</w:t>
      </w:r>
    </w:p>
    <w:p>
      <w:r>
        <w:t>- Percorsi pedonali separati e segnalati rispetto alla viabilità dei mezzi</w:t>
      </w:r>
    </w:p>
    <w:p>
      <w:r>
        <w:t>- Divieto di sosta non autorizzata nell'area di manovra degli scavi</w:t>
      </w:r>
    </w:p>
    <w:p>
      <w:r>
        <w:t>- Pulizia quotidiana della viabilità interna per evitare accumuli di fango</w:t>
      </w:r>
    </w:p>
    <w:p/>
    <w:p>
      <w:r>
        <w:t>**DEPOSITO MATERIALI E RIFIUTI**</w:t>
      </w:r>
    </w:p>
    <w:p>
      <w:r>
        <w:t>- Stoccaggio dei materiali in aree designate, stabili e accessibili ai mezzi di movimentazione</w:t>
      </w:r>
    </w:p>
    <w:p>
      <w:r>
        <w:t>- Separazione dei rifiuti secondo le categorie del D.Lgs. 152/2006 con contenitori etichettati</w:t>
      </w:r>
    </w:p>
    <w:p>
      <w:r>
        <w:t>- Divieto di accumulo di materiali combustibili in prossimità dei quadri elettrici</w:t>
      </w:r>
    </w:p>
    <w:p>
      <w:r>
        <w:t>- Copertura con teli dei materiali polverulenti e dei depositi di inerti</w:t>
      </w:r>
    </w:p>
    <w:p/>
    <w:p>
      <w:r>
        <w:t>### 3.4.2 Procedure di emergenza</w:t>
      </w:r>
    </w:p>
    <w:p/>
    <w:p>
      <w:r>
        <w:t>**PRIMO SOCCORSO**</w:t>
      </w:r>
    </w:p>
    <w:p>
      <w:r>
        <w:t>Ai sensi del D.M. 388/2003, considerato il numero massimo di 12 lavoratori contemporanei, è prescritta la presenza di:</w:t>
      </w:r>
    </w:p>
    <w:p>
      <w:r>
        <w:t>- N. 1 addetto al primo soccorso con formazione di 12 ore (Gruppo B)</w:t>
      </w:r>
    </w:p>
    <w:p>
      <w:r>
        <w:t>- Cassetta di primo soccorso conforme all'Allegato 1 D.M. 388/2003</w:t>
      </w:r>
    </w:p>
    <w:p>
      <w:r>
        <w:t>- Numeri telefonici di emergenza esposti in modo ben visibile:</w:t>
      </w:r>
    </w:p>
    <w:p>
      <w:r>
        <w:t xml:space="preserve">  - Emergenza sanitaria: 118</w:t>
      </w:r>
    </w:p>
    <w:p>
      <w:r>
        <w:t xml:space="preserve">  - Vigili del Fuoco: 115</w:t>
      </w:r>
    </w:p>
    <w:p>
      <w:r>
        <w:t xml:space="preserve">  - Carabinieri: 112</w:t>
      </w:r>
    </w:p>
    <w:p>
      <w:r>
        <w:t>- Procedura di evacuazione del ferito più grave mediante ambulanza con accesso da Via Leopardi</w:t>
      </w:r>
    </w:p>
    <w:p/>
    <w:p>
      <w:r>
        <w:t>**PREVENZIONE INCENDI**</w:t>
      </w:r>
    </w:p>
    <w:p>
      <w:r>
        <w:t>Secondo il D.M. 10/03/1998, per cantieri con più di 5 lavoratori:</w:t>
      </w:r>
    </w:p>
    <w:p>
      <w:r>
        <w:t>- N. 1 addetto antincendio con formazione di 4 ore (rischio basso)</w:t>
      </w:r>
    </w:p>
    <w:p>
      <w:r>
        <w:t>- N. 2 estintori portatili 34A 144BC da 6 kg posizionati presso:</w:t>
      </w:r>
    </w:p>
    <w:p>
      <w:r>
        <w:t xml:space="preserve">  - Baracca di cantiere/ufficio</w:t>
      </w:r>
    </w:p>
    <w:p>
      <w:r>
        <w:t xml:space="preserve">  - Deposito materiali combustibili</w:t>
      </w:r>
    </w:p>
    <w:p>
      <w:r>
        <w:t>- Divieto assoluto di utilizzo di fiamme libere durante le operazioni di scavo in prossimità della conduttura gas</w:t>
      </w:r>
    </w:p>
    <w:p>
      <w:r>
        <w:t>- Piano di evacuazione con punto di raccolta in area sicura esterna al cantiere</w:t>
      </w:r>
    </w:p>
    <w:p/>
    <w:p>
      <w:r>
        <w:t>**GESTIONE EMERGENZE SPECIFICHE**</w:t>
      </w:r>
    </w:p>
    <w:p>
      <w:r>
        <w:t>- **Fuga di gas:** Evacuazione immediata dell'area, divieto di azionare interruttori elettrici, chiamata immediata Vigili del Fuoco e gestore della rete</w:t>
      </w:r>
    </w:p>
    <w:p>
      <w:r>
        <w:t>- **Crollo o seppellimento:** Non rimuovere autonomamente le vittime, chiamata immediata 118 e Vigili del Fuoco, isolamento area</w:t>
      </w:r>
    </w:p>
    <w:p>
      <w:r>
        <w:t>- **Infortunio grave:** Soccorso immediato senza spostare l'infortunato, chiamata 118, avviso immediato al CSE e al Committente</w:t>
      </w:r>
    </w:p>
    <w:p/>
    <w:p>
      <w:r>
        <w:t>### 3.4.3 Presidi sanitari e antincendio richiesti</w:t>
      </w:r>
    </w:p>
    <w:p/>
    <w:p>
      <w:r>
        <w:t>**PRESIDI SANITARI OBBLIGATORI**</w:t>
      </w:r>
    </w:p>
    <w:p>
      <w:r>
        <w:t>- Cassetta di primo soccorso tipo B (D.M. 388/2003 Allegato 1) contenente:</w:t>
      </w:r>
    </w:p>
    <w:p>
      <w:r>
        <w:t xml:space="preserve">  - Garze sterili, bende, cerotti, disinfettanti, forbici</w:t>
      </w:r>
    </w:p>
    <w:p>
      <w:r>
        <w:t xml:space="preserve">  - Ghiaccio istantaneo, coperta isotermica</w:t>
      </w:r>
    </w:p>
    <w:p>
      <w:r>
        <w:t xml:space="preserve">  - Guanti monouso in nitrile, mascherina per respirazione artificiale</w:t>
      </w:r>
    </w:p>
    <w:p>
      <w:r>
        <w:t>- Pacchetto di medicazione per ogni squadra di lavoro con più di 3 addetti</w:t>
      </w:r>
    </w:p>
    <w:p>
      <w:r>
        <w:t>- Lavaggio oculare di emergenza presso l'area di preparazione malte cementizie</w:t>
      </w:r>
    </w:p>
    <w:p/>
    <w:p>
      <w:r>
        <w:t>**PRESIDI ANTINCENDIO OBBLIGATORI**</w:t>
      </w:r>
    </w:p>
    <w:p>
      <w:r>
        <w:t>- N. 2 estintori portatili a polvere ABC da 6 kg omologati secondo UNI EN 3</w:t>
      </w:r>
    </w:p>
    <w:p>
      <w:r>
        <w:t>- Controllo semestrale estintori da parte di ditta abilitata con marcatura</w:t>
      </w:r>
    </w:p>
    <w:p>
      <w:r>
        <w:t>- Idranti UNI 45 se disponibile allacciamento idrico, altrimenti riserva idrica mobile di 2000 litri</w:t>
      </w:r>
    </w:p>
    <w:p>
      <w:r>
        <w:t>- Divieto di accumulo materiali combustibili oltre 50 kg in aree non controllate</w:t>
      </w:r>
    </w:p>
    <w:p/>
    <w:p>
      <w:r>
        <w:t>**CONTROLLI E VERIFICHE PERIODICHE**</w:t>
      </w:r>
    </w:p>
    <w:p>
      <w:r>
        <w:t>Il Coordinatore per la Sicurezza prescrive le seguenti verifiche obbligatorie:</w:t>
      </w:r>
    </w:p>
    <w:p>
      <w:r>
        <w:t>- Verifica quotidiana degli scavi e delle armature di sostegno</w:t>
      </w:r>
    </w:p>
    <w:p>
      <w:r>
        <w:t>- Controllo settimanale delle protezioni anticaduta e dei ponteggi</w:t>
      </w:r>
    </w:p>
    <w:p>
      <w:r>
        <w:t xml:space="preserve">- Verifica mensile dell'efficienza dei presidi sanitari e antincendio  </w:t>
      </w:r>
    </w:p>
    <w:p>
      <w:r>
        <w:t>- Controllo trimestrale dell'impianto elettrico da parte di elettricista abilitato</w:t>
      </w:r>
    </w:p>
    <w:p>
      <w:r>
        <w:t>- Verifica semestrale degli apparecchi di sollevamento superiori a 200 kg</w:t>
      </w:r>
    </w:p>
    <w:p/>
    <w:p>
      <w:r>
        <w:rPr>
          <w:sz w:val="20"/>
        </w:rPr>
        <w:t>Il presente Piano di Sicurezza e Coordinamento deve essere rispettato integralmente da tutte le imprese esecutrici. Ogni violazione delle prescrizioni contenute costituisce inadempimento degli obblighi di sicurezza con le relative responsabilità penali e civili previste dal D.Lgs. 81/2008.</w:t>
      </w:r>
    </w:p>
    <w:p>
      <w:r>
        <w:br w:type="page"/>
      </w:r>
    </w:p>
    <w:p>
      <w:pPr>
        <w:spacing w:before="280" w:after="80"/>
        <w:pBdr>
          <w:bottom w:val="single" w:sz="6" w:space="1" w:color="C88B2A"/>
        </w:pBdr>
      </w:pPr>
      <w:r>
        <w:rPr>
          <w:rFonts w:ascii="Calibri" w:hAnsi="Calibri"/>
          <w:b/>
          <w:color w:val="1A3A5C"/>
          <w:sz w:val="24"/>
        </w:rPr>
        <w:t>4.  ORGANIZZAZIONE DEL CANTIERE</w:t>
      </w:r>
    </w:p>
    <w:p>
      <w:pPr>
        <w:ind w:left="283"/>
      </w:pPr>
      <w:r>
        <w:rPr>
          <w:i/>
          <w:color w:val="5A6B7D"/>
          <w:sz w:val="17"/>
        </w:rPr>
        <w:t>Rif. norm.: Allegato XV, punto 2.2.1 — D.Lgs. 81/2008</w:t>
      </w:r>
    </w:p>
    <w:p>
      <w:r>
        <w:rPr>
          <w:rFonts w:ascii="Calibri" w:hAnsi="Calibri"/>
          <w:b/>
          <w:color w:val="1A3A5C"/>
          <w:sz w:val="21"/>
        </w:rPr>
        <w:t>4.1  Viabilità e accessi</w:t>
      </w:r>
    </w:p>
    <w:p>
      <w:r>
        <w:rPr>
          <w:sz w:val="20"/>
        </w:rPr>
        <w:t>[Descrivere: 4.1  Viabilità e accessi]</w:t>
      </w:r>
    </w:p>
    <w:p>
      <w:r>
        <w:rPr>
          <w:rFonts w:ascii="Calibri" w:hAnsi="Calibri"/>
          <w:b/>
          <w:color w:val="1A3A5C"/>
          <w:sz w:val="21"/>
        </w:rPr>
        <w:t>4.2  Zone di carico e scarico</w:t>
      </w:r>
    </w:p>
    <w:p>
      <w:r>
        <w:rPr>
          <w:sz w:val="20"/>
        </w:rPr>
        <w:t>[Descrivere: 4.2  Zone di carico e scarico]</w:t>
      </w:r>
    </w:p>
    <w:p>
      <w:r>
        <w:rPr>
          <w:rFonts w:ascii="Calibri" w:hAnsi="Calibri"/>
          <w:b/>
          <w:color w:val="1A3A5C"/>
          <w:sz w:val="21"/>
        </w:rPr>
        <w:t>4.3  Zone di stoccaggio materiali</w:t>
      </w:r>
    </w:p>
    <w:p>
      <w:r>
        <w:rPr>
          <w:sz w:val="20"/>
        </w:rPr>
        <w:t>[Descrivere: 4.3  Zone di stoccaggio materiali]</w:t>
      </w:r>
    </w:p>
    <w:p>
      <w:r>
        <w:rPr>
          <w:rFonts w:ascii="Calibri" w:hAnsi="Calibri"/>
          <w:b/>
          <w:color w:val="1A3A5C"/>
          <w:sz w:val="21"/>
        </w:rPr>
        <w:t>4.4  Recinzione e segnaletica</w:t>
      </w:r>
    </w:p>
    <w:p>
      <w:r>
        <w:rPr>
          <w:sz w:val="20"/>
        </w:rPr>
        <w:t>[Descrivere: 4.4  Recinzione e segnaletica]</w:t>
      </w:r>
    </w:p>
    <w:p>
      <w:r>
        <w:rPr>
          <w:rFonts w:ascii="Calibri" w:hAnsi="Calibri"/>
          <w:b/>
          <w:color w:val="1A3A5C"/>
          <w:sz w:val="21"/>
        </w:rPr>
        <w:t>4.5  Impianti di cantiere</w:t>
      </w:r>
    </w:p>
    <w:p>
      <w:r>
        <w:rPr>
          <w:sz w:val="20"/>
        </w:rPr>
        <w:t>[Descrivere: 4.5  Impianti di cantiere]</w:t>
      </w:r>
    </w:p>
    <w:p>
      <w:r>
        <w:rPr>
          <w:rFonts w:ascii="Calibri" w:hAnsi="Calibri"/>
          <w:b/>
          <w:color w:val="1A3A5C"/>
          <w:sz w:val="21"/>
        </w:rPr>
        <w:t>4.6  Servizi igienico-assistenziali</w:t>
      </w:r>
    </w:p>
    <w:p>
      <w:r>
        <w:rPr>
          <w:sz w:val="20"/>
        </w:rPr>
        <w:t>[Descrivere: 4.6  Servizi igienico-assistenziali]</w:t>
      </w:r>
    </w:p>
    <w:p>
      <w:r>
        <w:rPr>
          <w:rFonts w:ascii="Calibri" w:hAnsi="Calibri"/>
          <w:b/>
          <w:color w:val="1A3A5C"/>
          <w:sz w:val="21"/>
        </w:rPr>
        <w:t>4.7  Primo soccorso e antincendio</w:t>
      </w:r>
    </w:p>
    <w:p>
      <w:r>
        <w:rPr>
          <w:sz w:val="20"/>
        </w:rPr>
        <w:t>[Descrivere: 4.7  Primo soccorso e antincendio]</w:t>
      </w:r>
    </w:p>
    <w:p>
      <w:r>
        <w:br w:type="page"/>
      </w:r>
    </w:p>
    <w:p>
      <w:pPr>
        <w:spacing w:before="280" w:after="80"/>
        <w:pBdr>
          <w:bottom w:val="single" w:sz="6" w:space="1" w:color="C88B2A"/>
        </w:pBdr>
      </w:pPr>
      <w:r>
        <w:rPr>
          <w:rFonts w:ascii="Calibri" w:hAnsi="Calibri"/>
          <w:b/>
          <w:color w:val="1A3A5C"/>
          <w:sz w:val="24"/>
        </w:rPr>
        <w:t>5.  FASI LAVORATIVE E MISURE DI PREVENZIONE</w:t>
      </w:r>
    </w:p>
    <w:p>
      <w:pPr>
        <w:ind w:left="283"/>
      </w:pPr>
      <w:r>
        <w:rPr>
          <w:i/>
          <w:color w:val="5A6B7D"/>
          <w:sz w:val="17"/>
        </w:rPr>
        <w:t>Rif. norm.: Allegato XV, punto 2.2.2 — D.Lgs. 81/2008</w:t>
      </w:r>
    </w:p>
    <w:p>
      <w:r>
        <w:rPr>
          <w:rFonts w:ascii="Calibri" w:hAnsi="Calibri"/>
          <w:b/>
          <w:color w:val="1A3A5C"/>
          <w:sz w:val="21"/>
        </w:rPr>
        <w:t>Fase 1: Allestimento cantiere</w:t>
      </w:r>
    </w:p>
    <w:tbl>
      <w:tblPr>
        <w:tblStyle w:val="TableGrid"/>
        <w:tblW w:type="auto" w:w="0"/>
        <w:tblLook w:firstColumn="1" w:firstRow="1" w:lastColumn="0" w:lastRow="0" w:noHBand="0" w:noVBand="1" w:val="04A0"/>
      </w:tblPr>
      <w:tblGrid>
        <w:gridCol w:w="4703"/>
        <w:gridCol w:w="4703"/>
      </w:tblGrid>
      <w:tr>
        <w:tc>
          <w:tcPr>
            <w:tcW w:type="dxa" w:w="4703"/>
            <w:shd w:val="clear" w:color="auto" w:fill="E8F0F8"/>
          </w:tcPr>
          <w:p>
            <w:r>
              <w:rPr>
                <w:b/>
                <w:color w:val="1A3A5C"/>
                <w:sz w:val="18"/>
              </w:rPr>
              <w:t>Voce</w:t>
            </w:r>
          </w:p>
        </w:tc>
        <w:tc>
          <w:tcPr>
            <w:tcW w:type="dxa" w:w="4703"/>
            <w:shd w:val="clear" w:color="auto" w:fill="E8F0F8"/>
          </w:tcPr>
          <w:p>
            <w:r>
              <w:rPr>
                <w:b/>
                <w:color w:val="1A3A5C"/>
                <w:sz w:val="18"/>
              </w:rPr>
              <w:t>Contenuto</w:t>
            </w:r>
          </w:p>
        </w:tc>
      </w:tr>
      <w:tr>
        <w:tc>
          <w:tcPr>
            <w:tcW w:type="dxa" w:w="4703"/>
          </w:tcPr>
          <w:p>
            <w:r>
              <w:rPr>
                <w:sz w:val="18"/>
              </w:rPr>
              <w:t>Rischi principali</w:t>
            </w:r>
          </w:p>
        </w:tc>
        <w:tc>
          <w:tcPr>
            <w:tcW w:type="dxa" w:w="4703"/>
          </w:tcPr>
          <w:p>
            <w:r>
              <w:rPr>
                <w:sz w:val="18"/>
              </w:rPr>
              <w:t>Investimento, caduta materiali</w:t>
            </w:r>
          </w:p>
        </w:tc>
      </w:tr>
      <w:tr>
        <w:tc>
          <w:tcPr>
            <w:tcW w:type="dxa" w:w="4703"/>
          </w:tcPr>
          <w:p>
            <w:r>
              <w:rPr>
                <w:sz w:val="18"/>
              </w:rPr>
              <w:t>Misure di prevenzione</w:t>
            </w:r>
          </w:p>
        </w:tc>
        <w:tc>
          <w:tcPr>
            <w:tcW w:type="dxa" w:w="4703"/>
          </w:tcPr>
          <w:p>
            <w:r>
              <w:rPr>
                <w:sz w:val="18"/>
              </w:rPr>
              <w:t>Recinzione, segnaletica, DPI base</w:t>
            </w:r>
          </w:p>
        </w:tc>
      </w:tr>
      <w:tr>
        <w:tc>
          <w:tcPr>
            <w:tcW w:type="dxa" w:w="4703"/>
          </w:tcPr>
          <w:p>
            <w:r>
              <w:rPr>
                <w:sz w:val="18"/>
              </w:rPr>
              <w:t>DPI richiesti</w:t>
            </w:r>
          </w:p>
        </w:tc>
        <w:tc>
          <w:tcPr>
            <w:tcW w:type="dxa" w:w="4703"/>
          </w:tcPr>
          <w:p>
            <w:r>
              <w:rPr>
                <w:sz w:val="18"/>
              </w:rPr>
              <w:t>Casco, guanti, scarpe S3</w:t>
            </w:r>
          </w:p>
        </w:tc>
      </w:tr>
      <w:tr>
        <w:tc>
          <w:tcPr>
            <w:tcW w:type="dxa" w:w="4703"/>
          </w:tcPr>
          <w:p>
            <w:r>
              <w:rPr>
                <w:sz w:val="18"/>
              </w:rPr>
              <w:t>Imprese coinvolte</w:t>
            </w:r>
          </w:p>
        </w:tc>
        <w:tc>
          <w:tcPr>
            <w:tcW w:type="dxa" w:w="4703"/>
          </w:tcPr>
          <w:p>
            <w:r>
              <w:rPr>
                <w:sz w:val="18"/>
              </w:rPr>
              <w:t>Da definire</w:t>
            </w:r>
          </w:p>
        </w:tc>
      </w:tr>
      <w:tr>
        <w:tc>
          <w:tcPr>
            <w:tcW w:type="dxa" w:w="4703"/>
          </w:tcPr>
          <w:p>
            <w:r>
              <w:rPr>
                <w:sz w:val="18"/>
              </w:rPr>
              <w:t>Durata stimata</w:t>
            </w:r>
          </w:p>
        </w:tc>
        <w:tc>
          <w:tcPr>
            <w:tcW w:type="dxa" w:w="4703"/>
          </w:tcPr>
          <w:p>
            <w:r>
              <w:rPr>
                <w:sz w:val="18"/>
              </w:rPr>
              <w:t>—</w:t>
            </w:r>
          </w:p>
        </w:tc>
      </w:tr>
    </w:tbl>
    <w:p/>
    <w:p>
      <w:r>
        <w:rPr>
          <w:rFonts w:ascii="Calibri" w:hAnsi="Calibri"/>
          <w:b/>
          <w:color w:val="1A3A5C"/>
          <w:sz w:val="21"/>
        </w:rPr>
        <w:t>Fase 2: Scavi e fondazioni</w:t>
      </w:r>
    </w:p>
    <w:tbl>
      <w:tblPr>
        <w:tblStyle w:val="TableGrid"/>
        <w:tblW w:type="auto" w:w="0"/>
        <w:tblLook w:firstColumn="1" w:firstRow="1" w:lastColumn="0" w:lastRow="0" w:noHBand="0" w:noVBand="1" w:val="04A0"/>
      </w:tblPr>
      <w:tblGrid>
        <w:gridCol w:w="4703"/>
        <w:gridCol w:w="4703"/>
      </w:tblGrid>
      <w:tr>
        <w:tc>
          <w:tcPr>
            <w:tcW w:type="dxa" w:w="4703"/>
            <w:shd w:val="clear" w:color="auto" w:fill="E8F0F8"/>
          </w:tcPr>
          <w:p>
            <w:r>
              <w:rPr>
                <w:b/>
                <w:color w:val="1A3A5C"/>
                <w:sz w:val="18"/>
              </w:rPr>
              <w:t>Voce</w:t>
            </w:r>
          </w:p>
        </w:tc>
        <w:tc>
          <w:tcPr>
            <w:tcW w:type="dxa" w:w="4703"/>
            <w:shd w:val="clear" w:color="auto" w:fill="E8F0F8"/>
          </w:tcPr>
          <w:p>
            <w:r>
              <w:rPr>
                <w:b/>
                <w:color w:val="1A3A5C"/>
                <w:sz w:val="18"/>
              </w:rPr>
              <w:t>Contenuto</w:t>
            </w:r>
          </w:p>
        </w:tc>
      </w:tr>
      <w:tr>
        <w:tc>
          <w:tcPr>
            <w:tcW w:type="dxa" w:w="4703"/>
          </w:tcPr>
          <w:p>
            <w:r>
              <w:rPr>
                <w:sz w:val="18"/>
              </w:rPr>
              <w:t>Rischi principali</w:t>
            </w:r>
          </w:p>
        </w:tc>
        <w:tc>
          <w:tcPr>
            <w:tcW w:type="dxa" w:w="4703"/>
          </w:tcPr>
          <w:p>
            <w:r>
              <w:rPr>
                <w:sz w:val="18"/>
              </w:rPr>
              <w:t>Seppellimento, franamento pareti, investimento mezzi</w:t>
            </w:r>
          </w:p>
        </w:tc>
      </w:tr>
      <w:tr>
        <w:tc>
          <w:tcPr>
            <w:tcW w:type="dxa" w:w="4703"/>
          </w:tcPr>
          <w:p>
            <w:r>
              <w:rPr>
                <w:sz w:val="18"/>
              </w:rPr>
              <w:t>Misure di prevenzione</w:t>
            </w:r>
          </w:p>
        </w:tc>
        <w:tc>
          <w:tcPr>
            <w:tcW w:type="dxa" w:w="4703"/>
          </w:tcPr>
          <w:p>
            <w:r>
              <w:rPr>
                <w:sz w:val="18"/>
              </w:rPr>
              <w:t>Sbadacchiatura scavi &gt;1.5m, distanze di sicurezza, segnalazione bordi</w:t>
            </w:r>
          </w:p>
        </w:tc>
      </w:tr>
      <w:tr>
        <w:tc>
          <w:tcPr>
            <w:tcW w:type="dxa" w:w="4703"/>
          </w:tcPr>
          <w:p>
            <w:r>
              <w:rPr>
                <w:sz w:val="18"/>
              </w:rPr>
              <w:t>DPI richiesti</w:t>
            </w:r>
          </w:p>
        </w:tc>
        <w:tc>
          <w:tcPr>
            <w:tcW w:type="dxa" w:w="4703"/>
          </w:tcPr>
          <w:p>
            <w:r>
              <w:rPr>
                <w:sz w:val="18"/>
              </w:rPr>
              <w:t>Casco, scarpe S3, gilet av</w:t>
            </w:r>
          </w:p>
        </w:tc>
      </w:tr>
      <w:tr>
        <w:tc>
          <w:tcPr>
            <w:tcW w:type="dxa" w:w="4703"/>
          </w:tcPr>
          <w:p>
            <w:r>
              <w:rPr>
                <w:sz w:val="18"/>
              </w:rPr>
              <w:t>Imprese coinvolte</w:t>
            </w:r>
          </w:p>
        </w:tc>
        <w:tc>
          <w:tcPr>
            <w:tcW w:type="dxa" w:w="4703"/>
          </w:tcPr>
          <w:p>
            <w:r>
              <w:rPr>
                <w:sz w:val="18"/>
              </w:rPr>
              <w:t>Da definire</w:t>
            </w:r>
          </w:p>
        </w:tc>
      </w:tr>
      <w:tr>
        <w:tc>
          <w:tcPr>
            <w:tcW w:type="dxa" w:w="4703"/>
          </w:tcPr>
          <w:p>
            <w:r>
              <w:rPr>
                <w:sz w:val="18"/>
              </w:rPr>
              <w:t>Durata stimata</w:t>
            </w:r>
          </w:p>
        </w:tc>
        <w:tc>
          <w:tcPr>
            <w:tcW w:type="dxa" w:w="4703"/>
          </w:tcPr>
          <w:p>
            <w:r>
              <w:rPr>
                <w:sz w:val="18"/>
              </w:rPr>
              <w:t>—</w:t>
            </w:r>
          </w:p>
        </w:tc>
      </w:tr>
    </w:tbl>
    <w:p/>
    <w:p>
      <w:r>
        <w:rPr>
          <w:rFonts w:ascii="Calibri" w:hAnsi="Calibri"/>
          <w:b/>
          <w:color w:val="1A3A5C"/>
          <w:sz w:val="21"/>
        </w:rPr>
        <w:t>Fase 3: Strutture in elevazione</w:t>
      </w:r>
    </w:p>
    <w:tbl>
      <w:tblPr>
        <w:tblStyle w:val="TableGrid"/>
        <w:tblW w:type="auto" w:w="0"/>
        <w:tblLook w:firstColumn="1" w:firstRow="1" w:lastColumn="0" w:lastRow="0" w:noHBand="0" w:noVBand="1" w:val="04A0"/>
      </w:tblPr>
      <w:tblGrid>
        <w:gridCol w:w="4703"/>
        <w:gridCol w:w="4703"/>
      </w:tblGrid>
      <w:tr>
        <w:tc>
          <w:tcPr>
            <w:tcW w:type="dxa" w:w="4703"/>
            <w:shd w:val="clear" w:color="auto" w:fill="E8F0F8"/>
          </w:tcPr>
          <w:p>
            <w:r>
              <w:rPr>
                <w:b/>
                <w:color w:val="1A3A5C"/>
                <w:sz w:val="18"/>
              </w:rPr>
              <w:t>Voce</w:t>
            </w:r>
          </w:p>
        </w:tc>
        <w:tc>
          <w:tcPr>
            <w:tcW w:type="dxa" w:w="4703"/>
            <w:shd w:val="clear" w:color="auto" w:fill="E8F0F8"/>
          </w:tcPr>
          <w:p>
            <w:r>
              <w:rPr>
                <w:b/>
                <w:color w:val="1A3A5C"/>
                <w:sz w:val="18"/>
              </w:rPr>
              <w:t>Contenuto</w:t>
            </w:r>
          </w:p>
        </w:tc>
      </w:tr>
      <w:tr>
        <w:tc>
          <w:tcPr>
            <w:tcW w:type="dxa" w:w="4703"/>
          </w:tcPr>
          <w:p>
            <w:r>
              <w:rPr>
                <w:sz w:val="18"/>
              </w:rPr>
              <w:t>Rischi principali</w:t>
            </w:r>
          </w:p>
        </w:tc>
        <w:tc>
          <w:tcPr>
            <w:tcW w:type="dxa" w:w="4703"/>
          </w:tcPr>
          <w:p>
            <w:r>
              <w:rPr>
                <w:sz w:val="18"/>
              </w:rPr>
              <w:t>Caduta dall'alto, caduta materiali</w:t>
            </w:r>
          </w:p>
        </w:tc>
      </w:tr>
      <w:tr>
        <w:tc>
          <w:tcPr>
            <w:tcW w:type="dxa" w:w="4703"/>
          </w:tcPr>
          <w:p>
            <w:r>
              <w:rPr>
                <w:sz w:val="18"/>
              </w:rPr>
              <w:t>Misure di prevenzione</w:t>
            </w:r>
          </w:p>
        </w:tc>
        <w:tc>
          <w:tcPr>
            <w:tcW w:type="dxa" w:w="4703"/>
          </w:tcPr>
          <w:p>
            <w:r>
              <w:rPr>
                <w:sz w:val="18"/>
              </w:rPr>
              <w:t>Ponteggi omologati, reti, parapetti, ordini di getto</w:t>
            </w:r>
          </w:p>
        </w:tc>
      </w:tr>
      <w:tr>
        <w:tc>
          <w:tcPr>
            <w:tcW w:type="dxa" w:w="4703"/>
          </w:tcPr>
          <w:p>
            <w:r>
              <w:rPr>
                <w:sz w:val="18"/>
              </w:rPr>
              <w:t>DPI richiesti</w:t>
            </w:r>
          </w:p>
        </w:tc>
        <w:tc>
          <w:tcPr>
            <w:tcW w:type="dxa" w:w="4703"/>
          </w:tcPr>
          <w:p>
            <w:r>
              <w:rPr>
                <w:sz w:val="18"/>
              </w:rPr>
              <w:t>Casco, imbragatura, scarpe S3</w:t>
            </w:r>
          </w:p>
        </w:tc>
      </w:tr>
      <w:tr>
        <w:tc>
          <w:tcPr>
            <w:tcW w:type="dxa" w:w="4703"/>
          </w:tcPr>
          <w:p>
            <w:r>
              <w:rPr>
                <w:sz w:val="18"/>
              </w:rPr>
              <w:t>Imprese coinvolte</w:t>
            </w:r>
          </w:p>
        </w:tc>
        <w:tc>
          <w:tcPr>
            <w:tcW w:type="dxa" w:w="4703"/>
          </w:tcPr>
          <w:p>
            <w:r>
              <w:rPr>
                <w:sz w:val="18"/>
              </w:rPr>
              <w:t>Da definire</w:t>
            </w:r>
          </w:p>
        </w:tc>
      </w:tr>
      <w:tr>
        <w:tc>
          <w:tcPr>
            <w:tcW w:type="dxa" w:w="4703"/>
          </w:tcPr>
          <w:p>
            <w:r>
              <w:rPr>
                <w:sz w:val="18"/>
              </w:rPr>
              <w:t>Durata stimata</w:t>
            </w:r>
          </w:p>
        </w:tc>
        <w:tc>
          <w:tcPr>
            <w:tcW w:type="dxa" w:w="4703"/>
          </w:tcPr>
          <w:p>
            <w:r>
              <w:rPr>
                <w:sz w:val="18"/>
              </w:rPr>
              <w:t>—</w:t>
            </w:r>
          </w:p>
        </w:tc>
      </w:tr>
    </w:tbl>
    <w:p/>
    <w:p>
      <w:r>
        <w:rPr>
          <w:rFonts w:ascii="Calibri" w:hAnsi="Calibri"/>
          <w:b/>
          <w:color w:val="1A3A5C"/>
          <w:sz w:val="21"/>
        </w:rPr>
        <w:t>Fase 4: Murature e tamponamenti</w:t>
      </w:r>
    </w:p>
    <w:tbl>
      <w:tblPr>
        <w:tblStyle w:val="TableGrid"/>
        <w:tblW w:type="auto" w:w="0"/>
        <w:tblLook w:firstColumn="1" w:firstRow="1" w:lastColumn="0" w:lastRow="0" w:noHBand="0" w:noVBand="1" w:val="04A0"/>
      </w:tblPr>
      <w:tblGrid>
        <w:gridCol w:w="4703"/>
        <w:gridCol w:w="4703"/>
      </w:tblGrid>
      <w:tr>
        <w:tc>
          <w:tcPr>
            <w:tcW w:type="dxa" w:w="4703"/>
            <w:shd w:val="clear" w:color="auto" w:fill="E8F0F8"/>
          </w:tcPr>
          <w:p>
            <w:r>
              <w:rPr>
                <w:b/>
                <w:color w:val="1A3A5C"/>
                <w:sz w:val="18"/>
              </w:rPr>
              <w:t>Voce</w:t>
            </w:r>
          </w:p>
        </w:tc>
        <w:tc>
          <w:tcPr>
            <w:tcW w:type="dxa" w:w="4703"/>
            <w:shd w:val="clear" w:color="auto" w:fill="E8F0F8"/>
          </w:tcPr>
          <w:p>
            <w:r>
              <w:rPr>
                <w:b/>
                <w:color w:val="1A3A5C"/>
                <w:sz w:val="18"/>
              </w:rPr>
              <w:t>Contenuto</w:t>
            </w:r>
          </w:p>
        </w:tc>
      </w:tr>
      <w:tr>
        <w:tc>
          <w:tcPr>
            <w:tcW w:type="dxa" w:w="4703"/>
          </w:tcPr>
          <w:p>
            <w:r>
              <w:rPr>
                <w:sz w:val="18"/>
              </w:rPr>
              <w:t>Rischi principali</w:t>
            </w:r>
          </w:p>
        </w:tc>
        <w:tc>
          <w:tcPr>
            <w:tcW w:type="dxa" w:w="4703"/>
          </w:tcPr>
          <w:p>
            <w:r>
              <w:rPr>
                <w:sz w:val="18"/>
              </w:rPr>
              <w:t>Caduta dall'alto, movimentazione manuale carichi</w:t>
            </w:r>
          </w:p>
        </w:tc>
      </w:tr>
      <w:tr>
        <w:tc>
          <w:tcPr>
            <w:tcW w:type="dxa" w:w="4703"/>
          </w:tcPr>
          <w:p>
            <w:r>
              <w:rPr>
                <w:sz w:val="18"/>
              </w:rPr>
              <w:t>Misure di prevenzione</w:t>
            </w:r>
          </w:p>
        </w:tc>
        <w:tc>
          <w:tcPr>
            <w:tcW w:type="dxa" w:w="4703"/>
          </w:tcPr>
          <w:p>
            <w:r>
              <w:rPr>
                <w:sz w:val="18"/>
              </w:rPr>
              <w:t>Trabattelli, limiti peso, ausili meccanici</w:t>
            </w:r>
          </w:p>
        </w:tc>
      </w:tr>
      <w:tr>
        <w:tc>
          <w:tcPr>
            <w:tcW w:type="dxa" w:w="4703"/>
          </w:tcPr>
          <w:p>
            <w:r>
              <w:rPr>
                <w:sz w:val="18"/>
              </w:rPr>
              <w:t>DPI richiesti</w:t>
            </w:r>
          </w:p>
        </w:tc>
        <w:tc>
          <w:tcPr>
            <w:tcW w:type="dxa" w:w="4703"/>
          </w:tcPr>
          <w:p>
            <w:r>
              <w:rPr>
                <w:sz w:val="18"/>
              </w:rPr>
              <w:t>Casco, guanti, scarpe S3</w:t>
            </w:r>
          </w:p>
        </w:tc>
      </w:tr>
      <w:tr>
        <w:tc>
          <w:tcPr>
            <w:tcW w:type="dxa" w:w="4703"/>
          </w:tcPr>
          <w:p>
            <w:r>
              <w:rPr>
                <w:sz w:val="18"/>
              </w:rPr>
              <w:t>Imprese coinvolte</w:t>
            </w:r>
          </w:p>
        </w:tc>
        <w:tc>
          <w:tcPr>
            <w:tcW w:type="dxa" w:w="4703"/>
          </w:tcPr>
          <w:p>
            <w:r>
              <w:rPr>
                <w:sz w:val="18"/>
              </w:rPr>
              <w:t>Da definire</w:t>
            </w:r>
          </w:p>
        </w:tc>
      </w:tr>
      <w:tr>
        <w:tc>
          <w:tcPr>
            <w:tcW w:type="dxa" w:w="4703"/>
          </w:tcPr>
          <w:p>
            <w:r>
              <w:rPr>
                <w:sz w:val="18"/>
              </w:rPr>
              <w:t>Durata stimata</w:t>
            </w:r>
          </w:p>
        </w:tc>
        <w:tc>
          <w:tcPr>
            <w:tcW w:type="dxa" w:w="4703"/>
          </w:tcPr>
          <w:p>
            <w:r>
              <w:rPr>
                <w:sz w:val="18"/>
              </w:rPr>
              <w:t>—</w:t>
            </w:r>
          </w:p>
        </w:tc>
      </w:tr>
    </w:tbl>
    <w:p/>
    <w:p>
      <w:r>
        <w:rPr>
          <w:rFonts w:ascii="Calibri" w:hAnsi="Calibri"/>
          <w:b/>
          <w:color w:val="1A3A5C"/>
          <w:sz w:val="21"/>
        </w:rPr>
        <w:t>Fase 5: Impianti</w:t>
      </w:r>
    </w:p>
    <w:tbl>
      <w:tblPr>
        <w:tblStyle w:val="TableGrid"/>
        <w:tblW w:type="auto" w:w="0"/>
        <w:tblLook w:firstColumn="1" w:firstRow="1" w:lastColumn="0" w:lastRow="0" w:noHBand="0" w:noVBand="1" w:val="04A0"/>
      </w:tblPr>
      <w:tblGrid>
        <w:gridCol w:w="4703"/>
        <w:gridCol w:w="4703"/>
      </w:tblGrid>
      <w:tr>
        <w:tc>
          <w:tcPr>
            <w:tcW w:type="dxa" w:w="4703"/>
            <w:shd w:val="clear" w:color="auto" w:fill="E8F0F8"/>
          </w:tcPr>
          <w:p>
            <w:r>
              <w:rPr>
                <w:b/>
                <w:color w:val="1A3A5C"/>
                <w:sz w:val="18"/>
              </w:rPr>
              <w:t>Voce</w:t>
            </w:r>
          </w:p>
        </w:tc>
        <w:tc>
          <w:tcPr>
            <w:tcW w:type="dxa" w:w="4703"/>
            <w:shd w:val="clear" w:color="auto" w:fill="E8F0F8"/>
          </w:tcPr>
          <w:p>
            <w:r>
              <w:rPr>
                <w:b/>
                <w:color w:val="1A3A5C"/>
                <w:sz w:val="18"/>
              </w:rPr>
              <w:t>Contenuto</w:t>
            </w:r>
          </w:p>
        </w:tc>
      </w:tr>
      <w:tr>
        <w:tc>
          <w:tcPr>
            <w:tcW w:type="dxa" w:w="4703"/>
          </w:tcPr>
          <w:p>
            <w:r>
              <w:rPr>
                <w:sz w:val="18"/>
              </w:rPr>
              <w:t>Rischi principali</w:t>
            </w:r>
          </w:p>
        </w:tc>
        <w:tc>
          <w:tcPr>
            <w:tcW w:type="dxa" w:w="4703"/>
          </w:tcPr>
          <w:p>
            <w:r>
              <w:rPr>
                <w:sz w:val="18"/>
              </w:rPr>
              <w:t>Elettrocuzione, caduta dall'alto</w:t>
            </w:r>
          </w:p>
        </w:tc>
      </w:tr>
      <w:tr>
        <w:tc>
          <w:tcPr>
            <w:tcW w:type="dxa" w:w="4703"/>
          </w:tcPr>
          <w:p>
            <w:r>
              <w:rPr>
                <w:sz w:val="18"/>
              </w:rPr>
              <w:t>Misure di prevenzione</w:t>
            </w:r>
          </w:p>
        </w:tc>
        <w:tc>
          <w:tcPr>
            <w:tcW w:type="dxa" w:w="4703"/>
          </w:tcPr>
          <w:p>
            <w:r>
              <w:rPr>
                <w:sz w:val="18"/>
              </w:rPr>
              <w:t>Quadri CEI, distanze linee, lavori fuori tensione</w:t>
            </w:r>
          </w:p>
        </w:tc>
      </w:tr>
      <w:tr>
        <w:tc>
          <w:tcPr>
            <w:tcW w:type="dxa" w:w="4703"/>
          </w:tcPr>
          <w:p>
            <w:r>
              <w:rPr>
                <w:sz w:val="18"/>
              </w:rPr>
              <w:t>DPI richiesti</w:t>
            </w:r>
          </w:p>
        </w:tc>
        <w:tc>
          <w:tcPr>
            <w:tcW w:type="dxa" w:w="4703"/>
          </w:tcPr>
          <w:p>
            <w:r>
              <w:rPr>
                <w:sz w:val="18"/>
              </w:rPr>
              <w:t>Guanti diel., scarpe isol.</w:t>
            </w:r>
          </w:p>
        </w:tc>
      </w:tr>
      <w:tr>
        <w:tc>
          <w:tcPr>
            <w:tcW w:type="dxa" w:w="4703"/>
          </w:tcPr>
          <w:p>
            <w:r>
              <w:rPr>
                <w:sz w:val="18"/>
              </w:rPr>
              <w:t>Imprese coinvolte</w:t>
            </w:r>
          </w:p>
        </w:tc>
        <w:tc>
          <w:tcPr>
            <w:tcW w:type="dxa" w:w="4703"/>
          </w:tcPr>
          <w:p>
            <w:r>
              <w:rPr>
                <w:sz w:val="18"/>
              </w:rPr>
              <w:t>Da definire</w:t>
            </w:r>
          </w:p>
        </w:tc>
      </w:tr>
      <w:tr>
        <w:tc>
          <w:tcPr>
            <w:tcW w:type="dxa" w:w="4703"/>
          </w:tcPr>
          <w:p>
            <w:r>
              <w:rPr>
                <w:sz w:val="18"/>
              </w:rPr>
              <w:t>Durata stimata</w:t>
            </w:r>
          </w:p>
        </w:tc>
        <w:tc>
          <w:tcPr>
            <w:tcW w:type="dxa" w:w="4703"/>
          </w:tcPr>
          <w:p>
            <w:r>
              <w:rPr>
                <w:sz w:val="18"/>
              </w:rPr>
              <w:t>—</w:t>
            </w:r>
          </w:p>
        </w:tc>
      </w:tr>
    </w:tbl>
    <w:p/>
    <w:p>
      <w:r>
        <w:rPr>
          <w:rFonts w:ascii="Calibri" w:hAnsi="Calibri"/>
          <w:b/>
          <w:color w:val="1A3A5C"/>
          <w:sz w:val="21"/>
        </w:rPr>
        <w:t>Fase 6: Finiture</w:t>
      </w:r>
    </w:p>
    <w:tbl>
      <w:tblPr>
        <w:tblStyle w:val="TableGrid"/>
        <w:tblW w:type="auto" w:w="0"/>
        <w:tblLook w:firstColumn="1" w:firstRow="1" w:lastColumn="0" w:lastRow="0" w:noHBand="0" w:noVBand="1" w:val="04A0"/>
      </w:tblPr>
      <w:tblGrid>
        <w:gridCol w:w="4703"/>
        <w:gridCol w:w="4703"/>
      </w:tblGrid>
      <w:tr>
        <w:tc>
          <w:tcPr>
            <w:tcW w:type="dxa" w:w="4703"/>
            <w:shd w:val="clear" w:color="auto" w:fill="E8F0F8"/>
          </w:tcPr>
          <w:p>
            <w:r>
              <w:rPr>
                <w:b/>
                <w:color w:val="1A3A5C"/>
                <w:sz w:val="18"/>
              </w:rPr>
              <w:t>Voce</w:t>
            </w:r>
          </w:p>
        </w:tc>
        <w:tc>
          <w:tcPr>
            <w:tcW w:type="dxa" w:w="4703"/>
            <w:shd w:val="clear" w:color="auto" w:fill="E8F0F8"/>
          </w:tcPr>
          <w:p>
            <w:r>
              <w:rPr>
                <w:b/>
                <w:color w:val="1A3A5C"/>
                <w:sz w:val="18"/>
              </w:rPr>
              <w:t>Contenuto</w:t>
            </w:r>
          </w:p>
        </w:tc>
      </w:tr>
      <w:tr>
        <w:tc>
          <w:tcPr>
            <w:tcW w:type="dxa" w:w="4703"/>
          </w:tcPr>
          <w:p>
            <w:r>
              <w:rPr>
                <w:sz w:val="18"/>
              </w:rPr>
              <w:t>Rischi principali</w:t>
            </w:r>
          </w:p>
        </w:tc>
        <w:tc>
          <w:tcPr>
            <w:tcW w:type="dxa" w:w="4703"/>
          </w:tcPr>
          <w:p>
            <w:r>
              <w:rPr>
                <w:sz w:val="18"/>
              </w:rPr>
              <w:t>Caduta dall'alto, agenti chimici (vernici, colle)</w:t>
            </w:r>
          </w:p>
        </w:tc>
      </w:tr>
      <w:tr>
        <w:tc>
          <w:tcPr>
            <w:tcW w:type="dxa" w:w="4703"/>
          </w:tcPr>
          <w:p>
            <w:r>
              <w:rPr>
                <w:sz w:val="18"/>
              </w:rPr>
              <w:t>Misure di prevenzione</w:t>
            </w:r>
          </w:p>
        </w:tc>
        <w:tc>
          <w:tcPr>
            <w:tcW w:type="dxa" w:w="4703"/>
          </w:tcPr>
          <w:p>
            <w:r>
              <w:rPr>
                <w:sz w:val="18"/>
              </w:rPr>
              <w:t>Trabattelli, ventilazione, SDS prodotti</w:t>
            </w:r>
          </w:p>
        </w:tc>
      </w:tr>
      <w:tr>
        <w:tc>
          <w:tcPr>
            <w:tcW w:type="dxa" w:w="4703"/>
          </w:tcPr>
          <w:p>
            <w:r>
              <w:rPr>
                <w:sz w:val="18"/>
              </w:rPr>
              <w:t>DPI richiesti</w:t>
            </w:r>
          </w:p>
        </w:tc>
        <w:tc>
          <w:tcPr>
            <w:tcW w:type="dxa" w:w="4703"/>
          </w:tcPr>
          <w:p>
            <w:r>
              <w:rPr>
                <w:sz w:val="18"/>
              </w:rPr>
              <w:t>Casco, maschere FFP, guanti</w:t>
            </w:r>
          </w:p>
        </w:tc>
      </w:tr>
      <w:tr>
        <w:tc>
          <w:tcPr>
            <w:tcW w:type="dxa" w:w="4703"/>
          </w:tcPr>
          <w:p>
            <w:r>
              <w:rPr>
                <w:sz w:val="18"/>
              </w:rPr>
              <w:t>Imprese coinvolte</w:t>
            </w:r>
          </w:p>
        </w:tc>
        <w:tc>
          <w:tcPr>
            <w:tcW w:type="dxa" w:w="4703"/>
          </w:tcPr>
          <w:p>
            <w:r>
              <w:rPr>
                <w:sz w:val="18"/>
              </w:rPr>
              <w:t>Da definire</w:t>
            </w:r>
          </w:p>
        </w:tc>
      </w:tr>
      <w:tr>
        <w:tc>
          <w:tcPr>
            <w:tcW w:type="dxa" w:w="4703"/>
          </w:tcPr>
          <w:p>
            <w:r>
              <w:rPr>
                <w:sz w:val="18"/>
              </w:rPr>
              <w:t>Durata stimata</w:t>
            </w:r>
          </w:p>
        </w:tc>
        <w:tc>
          <w:tcPr>
            <w:tcW w:type="dxa" w:w="4703"/>
          </w:tcPr>
          <w:p>
            <w:r>
              <w:rPr>
                <w:sz w:val="18"/>
              </w:rPr>
              <w:t>—</w:t>
            </w:r>
          </w:p>
        </w:tc>
      </w:tr>
    </w:tbl>
    <w:p/>
    <w:p>
      <w:r>
        <w:rPr>
          <w:rFonts w:ascii="Calibri" w:hAnsi="Calibri"/>
          <w:b/>
          <w:color w:val="1A3A5C"/>
          <w:sz w:val="21"/>
        </w:rPr>
        <w:t>Fase 7: Smobilizzo cantiere</w:t>
      </w:r>
    </w:p>
    <w:tbl>
      <w:tblPr>
        <w:tblStyle w:val="TableGrid"/>
        <w:tblW w:type="auto" w:w="0"/>
        <w:tblLook w:firstColumn="1" w:firstRow="1" w:lastColumn="0" w:lastRow="0" w:noHBand="0" w:noVBand="1" w:val="04A0"/>
      </w:tblPr>
      <w:tblGrid>
        <w:gridCol w:w="4703"/>
        <w:gridCol w:w="4703"/>
      </w:tblGrid>
      <w:tr>
        <w:tc>
          <w:tcPr>
            <w:tcW w:type="dxa" w:w="4703"/>
            <w:shd w:val="clear" w:color="auto" w:fill="E8F0F8"/>
          </w:tcPr>
          <w:p>
            <w:r>
              <w:rPr>
                <w:b/>
                <w:color w:val="1A3A5C"/>
                <w:sz w:val="18"/>
              </w:rPr>
              <w:t>Voce</w:t>
            </w:r>
          </w:p>
        </w:tc>
        <w:tc>
          <w:tcPr>
            <w:tcW w:type="dxa" w:w="4703"/>
            <w:shd w:val="clear" w:color="auto" w:fill="E8F0F8"/>
          </w:tcPr>
          <w:p>
            <w:r>
              <w:rPr>
                <w:b/>
                <w:color w:val="1A3A5C"/>
                <w:sz w:val="18"/>
              </w:rPr>
              <w:t>Contenuto</w:t>
            </w:r>
          </w:p>
        </w:tc>
      </w:tr>
      <w:tr>
        <w:tc>
          <w:tcPr>
            <w:tcW w:type="dxa" w:w="4703"/>
          </w:tcPr>
          <w:p>
            <w:r>
              <w:rPr>
                <w:sz w:val="18"/>
              </w:rPr>
              <w:t>Rischi principali</w:t>
            </w:r>
          </w:p>
        </w:tc>
        <w:tc>
          <w:tcPr>
            <w:tcW w:type="dxa" w:w="4703"/>
          </w:tcPr>
          <w:p>
            <w:r>
              <w:rPr>
                <w:sz w:val="18"/>
              </w:rPr>
              <w:t>Caduta materiali, investimento</w:t>
            </w:r>
          </w:p>
        </w:tc>
      </w:tr>
      <w:tr>
        <w:tc>
          <w:tcPr>
            <w:tcW w:type="dxa" w:w="4703"/>
          </w:tcPr>
          <w:p>
            <w:r>
              <w:rPr>
                <w:sz w:val="18"/>
              </w:rPr>
              <w:t>Misure di prevenzione</w:t>
            </w:r>
          </w:p>
        </w:tc>
        <w:tc>
          <w:tcPr>
            <w:tcW w:type="dxa" w:w="4703"/>
          </w:tcPr>
          <w:p>
            <w:r>
              <w:rPr>
                <w:sz w:val="18"/>
              </w:rPr>
              <w:t>Rimozione progressiva, viabilità controllata</w:t>
            </w:r>
          </w:p>
        </w:tc>
      </w:tr>
      <w:tr>
        <w:tc>
          <w:tcPr>
            <w:tcW w:type="dxa" w:w="4703"/>
          </w:tcPr>
          <w:p>
            <w:r>
              <w:rPr>
                <w:sz w:val="18"/>
              </w:rPr>
              <w:t>DPI richiesti</w:t>
            </w:r>
          </w:p>
        </w:tc>
        <w:tc>
          <w:tcPr>
            <w:tcW w:type="dxa" w:w="4703"/>
          </w:tcPr>
          <w:p>
            <w:r>
              <w:rPr>
                <w:sz w:val="18"/>
              </w:rPr>
              <w:t>Casco, guanti, scarpe S3</w:t>
            </w:r>
          </w:p>
        </w:tc>
      </w:tr>
      <w:tr>
        <w:tc>
          <w:tcPr>
            <w:tcW w:type="dxa" w:w="4703"/>
          </w:tcPr>
          <w:p>
            <w:r>
              <w:rPr>
                <w:sz w:val="18"/>
              </w:rPr>
              <w:t>Imprese coinvolte</w:t>
            </w:r>
          </w:p>
        </w:tc>
        <w:tc>
          <w:tcPr>
            <w:tcW w:type="dxa" w:w="4703"/>
          </w:tcPr>
          <w:p>
            <w:r>
              <w:rPr>
                <w:sz w:val="18"/>
              </w:rPr>
              <w:t>Da definire</w:t>
            </w:r>
          </w:p>
        </w:tc>
      </w:tr>
      <w:tr>
        <w:tc>
          <w:tcPr>
            <w:tcW w:type="dxa" w:w="4703"/>
          </w:tcPr>
          <w:p>
            <w:r>
              <w:rPr>
                <w:sz w:val="18"/>
              </w:rPr>
              <w:t>Durata stimata</w:t>
            </w:r>
          </w:p>
        </w:tc>
        <w:tc>
          <w:tcPr>
            <w:tcW w:type="dxa" w:w="4703"/>
          </w:tcPr>
          <w:p>
            <w:r>
              <w:rPr>
                <w:sz w:val="18"/>
              </w:rPr>
              <w:t>—</w:t>
            </w:r>
          </w:p>
        </w:tc>
      </w:tr>
    </w:tbl>
    <w:p/>
    <w:p>
      <w:r>
        <w:br w:type="page"/>
      </w:r>
    </w:p>
    <w:p>
      <w:pPr>
        <w:spacing w:before="280" w:after="80"/>
        <w:pBdr>
          <w:bottom w:val="single" w:sz="6" w:space="1" w:color="C88B2A"/>
        </w:pBdr>
      </w:pPr>
      <w:r>
        <w:rPr>
          <w:rFonts w:ascii="Calibri" w:hAnsi="Calibri"/>
          <w:b/>
          <w:color w:val="1A3A5C"/>
          <w:sz w:val="24"/>
        </w:rPr>
        <w:t>6.  PRESCRIZIONI OPERATIVE E DPI</w:t>
      </w:r>
    </w:p>
    <w:p>
      <w:pPr>
        <w:ind w:left="283"/>
      </w:pPr>
      <w:r>
        <w:rPr>
          <w:i/>
          <w:color w:val="5A6B7D"/>
          <w:sz w:val="17"/>
        </w:rPr>
        <w:t>Rif. norm.: Allegato XV, punto 2.1.2 lett. d — Allegato VIII — D.Lgs. 81/2008</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8F0F8"/>
          </w:tcPr>
          <w:p>
            <w:r>
              <w:rPr>
                <w:b/>
                <w:color w:val="1A3A5C"/>
                <w:sz w:val="18"/>
              </w:rPr>
              <w:t>Parte corpo protetta</w:t>
            </w:r>
          </w:p>
        </w:tc>
        <w:tc>
          <w:tcPr>
            <w:tcW w:type="dxa" w:w="2351"/>
            <w:shd w:val="clear" w:color="auto" w:fill="E8F0F8"/>
          </w:tcPr>
          <w:p>
            <w:r>
              <w:rPr>
                <w:b/>
                <w:color w:val="1A3A5C"/>
                <w:sz w:val="18"/>
              </w:rPr>
              <w:t>DPI</w:t>
            </w:r>
          </w:p>
        </w:tc>
        <w:tc>
          <w:tcPr>
            <w:tcW w:type="dxa" w:w="2351"/>
            <w:shd w:val="clear" w:color="auto" w:fill="E8F0F8"/>
          </w:tcPr>
          <w:p>
            <w:r>
              <w:rPr>
                <w:b/>
                <w:color w:val="1A3A5C"/>
                <w:sz w:val="18"/>
              </w:rPr>
              <w:t>Norma</w:t>
            </w:r>
          </w:p>
        </w:tc>
        <w:tc>
          <w:tcPr>
            <w:tcW w:type="dxa" w:w="2351"/>
            <w:shd w:val="clear" w:color="auto" w:fill="E8F0F8"/>
          </w:tcPr>
          <w:p>
            <w:r>
              <w:rPr>
                <w:b/>
                <w:color w:val="1A3A5C"/>
                <w:sz w:val="18"/>
              </w:rPr>
              <w:t>Quando</w:t>
            </w:r>
          </w:p>
        </w:tc>
      </w:tr>
      <w:tr>
        <w:tc>
          <w:tcPr>
            <w:tcW w:type="dxa" w:w="2351"/>
          </w:tcPr>
          <w:p>
            <w:r>
              <w:rPr>
                <w:sz w:val="18"/>
              </w:rPr>
              <w:t>Testa</w:t>
            </w:r>
          </w:p>
        </w:tc>
        <w:tc>
          <w:tcPr>
            <w:tcW w:type="dxa" w:w="2351"/>
          </w:tcPr>
          <w:p>
            <w:r>
              <w:rPr>
                <w:sz w:val="18"/>
              </w:rPr>
              <w:t>Casco di protezione</w:t>
            </w:r>
          </w:p>
        </w:tc>
        <w:tc>
          <w:tcPr>
            <w:tcW w:type="dxa" w:w="2351"/>
          </w:tcPr>
          <w:p>
            <w:r>
              <w:rPr>
                <w:sz w:val="18"/>
              </w:rPr>
              <w:t>EN 397</w:t>
            </w:r>
          </w:p>
        </w:tc>
        <w:tc>
          <w:tcPr>
            <w:tcW w:type="dxa" w:w="2351"/>
          </w:tcPr>
          <w:p>
            <w:r>
              <w:rPr>
                <w:sz w:val="18"/>
              </w:rPr>
              <w:t>Sempre in cantiere</w:t>
            </w:r>
          </w:p>
        </w:tc>
      </w:tr>
      <w:tr>
        <w:tc>
          <w:tcPr>
            <w:tcW w:type="dxa" w:w="2351"/>
          </w:tcPr>
          <w:p>
            <w:r>
              <w:rPr>
                <w:sz w:val="18"/>
              </w:rPr>
              <w:t>Piedi</w:t>
            </w:r>
          </w:p>
        </w:tc>
        <w:tc>
          <w:tcPr>
            <w:tcW w:type="dxa" w:w="2351"/>
          </w:tcPr>
          <w:p>
            <w:r>
              <w:rPr>
                <w:sz w:val="18"/>
              </w:rPr>
              <w:t>Scarpe antinf. cat. S3</w:t>
            </w:r>
          </w:p>
        </w:tc>
        <w:tc>
          <w:tcPr>
            <w:tcW w:type="dxa" w:w="2351"/>
          </w:tcPr>
          <w:p>
            <w:r>
              <w:rPr>
                <w:sz w:val="18"/>
              </w:rPr>
              <w:t>EN ISO 20345</w:t>
            </w:r>
          </w:p>
        </w:tc>
        <w:tc>
          <w:tcPr>
            <w:tcW w:type="dxa" w:w="2351"/>
          </w:tcPr>
          <w:p>
            <w:r>
              <w:rPr>
                <w:sz w:val="18"/>
              </w:rPr>
              <w:t>Sempre in cantiere</w:t>
            </w:r>
          </w:p>
        </w:tc>
      </w:tr>
      <w:tr>
        <w:tc>
          <w:tcPr>
            <w:tcW w:type="dxa" w:w="2351"/>
          </w:tcPr>
          <w:p>
            <w:r>
              <w:rPr>
                <w:sz w:val="18"/>
              </w:rPr>
              <w:t>Mani</w:t>
            </w:r>
          </w:p>
        </w:tc>
        <w:tc>
          <w:tcPr>
            <w:tcW w:type="dxa" w:w="2351"/>
          </w:tcPr>
          <w:p>
            <w:r>
              <w:rPr>
                <w:sz w:val="18"/>
              </w:rPr>
              <w:t>Guanti di protezione</w:t>
            </w:r>
          </w:p>
        </w:tc>
        <w:tc>
          <w:tcPr>
            <w:tcW w:type="dxa" w:w="2351"/>
          </w:tcPr>
          <w:p>
            <w:r>
              <w:rPr>
                <w:sz w:val="18"/>
              </w:rPr>
              <w:t>EN 420</w:t>
            </w:r>
          </w:p>
        </w:tc>
        <w:tc>
          <w:tcPr>
            <w:tcW w:type="dxa" w:w="2351"/>
          </w:tcPr>
          <w:p>
            <w:r>
              <w:rPr>
                <w:sz w:val="18"/>
              </w:rPr>
              <w:t>Durante lavorazioni</w:t>
            </w:r>
          </w:p>
        </w:tc>
      </w:tr>
      <w:tr>
        <w:tc>
          <w:tcPr>
            <w:tcW w:type="dxa" w:w="2351"/>
          </w:tcPr>
          <w:p>
            <w:r>
              <w:rPr>
                <w:sz w:val="18"/>
              </w:rPr>
              <w:t>Occhi</w:t>
            </w:r>
          </w:p>
        </w:tc>
        <w:tc>
          <w:tcPr>
            <w:tcW w:type="dxa" w:w="2351"/>
          </w:tcPr>
          <w:p>
            <w:r>
              <w:rPr>
                <w:sz w:val="18"/>
              </w:rPr>
              <w:t>Occhiali / Visiera</w:t>
            </w:r>
          </w:p>
        </w:tc>
        <w:tc>
          <w:tcPr>
            <w:tcW w:type="dxa" w:w="2351"/>
          </w:tcPr>
          <w:p>
            <w:r>
              <w:rPr>
                <w:sz w:val="18"/>
              </w:rPr>
              <w:t>EN 166</w:t>
            </w:r>
          </w:p>
        </w:tc>
        <w:tc>
          <w:tcPr>
            <w:tcW w:type="dxa" w:w="2351"/>
          </w:tcPr>
          <w:p>
            <w:r>
              <w:rPr>
                <w:sz w:val="18"/>
              </w:rPr>
              <w:t>Taglio, molatura, saldatura</w:t>
            </w:r>
          </w:p>
        </w:tc>
      </w:tr>
      <w:tr>
        <w:tc>
          <w:tcPr>
            <w:tcW w:type="dxa" w:w="2351"/>
          </w:tcPr>
          <w:p>
            <w:r>
              <w:rPr>
                <w:sz w:val="18"/>
              </w:rPr>
              <w:t>Udito</w:t>
            </w:r>
          </w:p>
        </w:tc>
        <w:tc>
          <w:tcPr>
            <w:tcW w:type="dxa" w:w="2351"/>
          </w:tcPr>
          <w:p>
            <w:r>
              <w:rPr>
                <w:sz w:val="18"/>
              </w:rPr>
              <w:t>Cuffie / Tappi auricolari</w:t>
            </w:r>
          </w:p>
        </w:tc>
        <w:tc>
          <w:tcPr>
            <w:tcW w:type="dxa" w:w="2351"/>
          </w:tcPr>
          <w:p>
            <w:r>
              <w:rPr>
                <w:sz w:val="18"/>
              </w:rPr>
              <w:t>EN 352</w:t>
            </w:r>
          </w:p>
        </w:tc>
        <w:tc>
          <w:tcPr>
            <w:tcW w:type="dxa" w:w="2351"/>
          </w:tcPr>
          <w:p>
            <w:r>
              <w:rPr>
                <w:sz w:val="18"/>
              </w:rPr>
              <w:t>Se Lex,8h &gt; 80 dB(A)</w:t>
            </w:r>
          </w:p>
        </w:tc>
      </w:tr>
      <w:tr>
        <w:tc>
          <w:tcPr>
            <w:tcW w:type="dxa" w:w="2351"/>
          </w:tcPr>
          <w:p>
            <w:r>
              <w:rPr>
                <w:sz w:val="18"/>
              </w:rPr>
              <w:t>Vie resp.</w:t>
            </w:r>
          </w:p>
        </w:tc>
        <w:tc>
          <w:tcPr>
            <w:tcW w:type="dxa" w:w="2351"/>
          </w:tcPr>
          <w:p>
            <w:r>
              <w:rPr>
                <w:sz w:val="18"/>
              </w:rPr>
              <w:t>Maschera FFP2 / FFP3</w:t>
            </w:r>
          </w:p>
        </w:tc>
        <w:tc>
          <w:tcPr>
            <w:tcW w:type="dxa" w:w="2351"/>
          </w:tcPr>
          <w:p>
            <w:r>
              <w:rPr>
                <w:sz w:val="18"/>
              </w:rPr>
              <w:t>EN 149</w:t>
            </w:r>
          </w:p>
        </w:tc>
        <w:tc>
          <w:tcPr>
            <w:tcW w:type="dxa" w:w="2351"/>
          </w:tcPr>
          <w:p>
            <w:r>
              <w:rPr>
                <w:sz w:val="18"/>
              </w:rPr>
              <w:t>Polveri, vernici, agenti chimici</w:t>
            </w:r>
          </w:p>
        </w:tc>
      </w:tr>
      <w:tr>
        <w:tc>
          <w:tcPr>
            <w:tcW w:type="dxa" w:w="2351"/>
          </w:tcPr>
          <w:p>
            <w:r>
              <w:rPr>
                <w:sz w:val="18"/>
              </w:rPr>
              <w:t>Corpo</w:t>
            </w:r>
          </w:p>
        </w:tc>
        <w:tc>
          <w:tcPr>
            <w:tcW w:type="dxa" w:w="2351"/>
          </w:tcPr>
          <w:p>
            <w:r>
              <w:rPr>
                <w:sz w:val="18"/>
              </w:rPr>
              <w:t>Gilet alta visibilità cl.2</w:t>
            </w:r>
          </w:p>
        </w:tc>
        <w:tc>
          <w:tcPr>
            <w:tcW w:type="dxa" w:w="2351"/>
          </w:tcPr>
          <w:p>
            <w:r>
              <w:rPr>
                <w:sz w:val="18"/>
              </w:rPr>
              <w:t>EN ISO 20471</w:t>
            </w:r>
          </w:p>
        </w:tc>
        <w:tc>
          <w:tcPr>
            <w:tcW w:type="dxa" w:w="2351"/>
          </w:tcPr>
          <w:p>
            <w:r>
              <w:rPr>
                <w:sz w:val="18"/>
              </w:rPr>
              <w:t>Lavori stradali</w:t>
            </w:r>
          </w:p>
        </w:tc>
      </w:tr>
      <w:tr>
        <w:tc>
          <w:tcPr>
            <w:tcW w:type="dxa" w:w="2351"/>
          </w:tcPr>
          <w:p>
            <w:r>
              <w:rPr>
                <w:sz w:val="18"/>
              </w:rPr>
              <w:t>Anticaduta</w:t>
            </w:r>
          </w:p>
        </w:tc>
        <w:tc>
          <w:tcPr>
            <w:tcW w:type="dxa" w:w="2351"/>
          </w:tcPr>
          <w:p>
            <w:r>
              <w:rPr>
                <w:sz w:val="18"/>
              </w:rPr>
              <w:t>Imbragatura + linea vita</w:t>
            </w:r>
          </w:p>
        </w:tc>
        <w:tc>
          <w:tcPr>
            <w:tcW w:type="dxa" w:w="2351"/>
          </w:tcPr>
          <w:p>
            <w:r>
              <w:rPr>
                <w:sz w:val="18"/>
              </w:rPr>
              <w:t>EN 361 / EN 354</w:t>
            </w:r>
          </w:p>
        </w:tc>
        <w:tc>
          <w:tcPr>
            <w:tcW w:type="dxa" w:w="2351"/>
          </w:tcPr>
          <w:p>
            <w:r>
              <w:rPr>
                <w:sz w:val="18"/>
              </w:rPr>
              <w:t>Lavori in quota &gt; 2m</w:t>
            </w:r>
          </w:p>
        </w:tc>
      </w:tr>
    </w:tbl>
    <w:p/>
    <w:p>
      <w:pPr>
        <w:spacing w:before="280" w:after="80"/>
        <w:pBdr>
          <w:bottom w:val="single" w:sz="6" w:space="1" w:color="C88B2A"/>
        </w:pBdr>
      </w:pPr>
      <w:r>
        <w:rPr>
          <w:rFonts w:ascii="Calibri" w:hAnsi="Calibri"/>
          <w:b/>
          <w:color w:val="1A3A5C"/>
          <w:sz w:val="24"/>
        </w:rPr>
        <w:t>7.  MISURE DI COORDINAMENTO TRA IMPRESE</w:t>
      </w:r>
    </w:p>
    <w:p>
      <w:pPr>
        <w:ind w:left="283"/>
      </w:pPr>
      <w:r>
        <w:rPr>
          <w:i/>
          <w:color w:val="5A6B7D"/>
          <w:sz w:val="17"/>
        </w:rPr>
        <w:t>Rif. norm.: Allegato XV, punto 2.3 — D.Lgs. 81/2008</w:t>
      </w:r>
    </w:p>
    <w:p>
      <w:r>
        <w:rPr>
          <w:sz w:val="20"/>
        </w:rPr>
        <w:t>Le imprese esecutrici sono tenute a coordinarsi tra loro per:</w:t>
        <w:br/>
        <w:t>• Utilizzo comune di apprestamenti (ponteggi, trabattelli, protezioni collettive)</w:t>
        <w:br/>
        <w:t>• Accesso e viabilità interna al cantiere</w:t>
        <w:br/>
        <w:t>• Gestione aree di deposito e stoccaggio</w:t>
        <w:br/>
        <w:t>• Modalità e orari di lavoro per evitare interferenze pericolose</w:t>
        <w:br/>
        <w:t>• Comunicazione immediata al CSE di qualsiasi variazione delle lavorazioni.</w:t>
        <w:br/>
        <w:br/>
        <w:t>Il CSE convoca riunioni di coordinamento con cadenza almeno mensile o al verificarsi di variazioni significative (art. 92 D.Lgs. 81/2008).</w:t>
      </w:r>
    </w:p>
    <w:p>
      <w:pPr>
        <w:spacing w:before="280" w:after="80"/>
        <w:pBdr>
          <w:bottom w:val="single" w:sz="6" w:space="1" w:color="C88B2A"/>
        </w:pBdr>
      </w:pPr>
      <w:r>
        <w:rPr>
          <w:rFonts w:ascii="Calibri" w:hAnsi="Calibri"/>
          <w:b/>
          <w:color w:val="1A3A5C"/>
          <w:sz w:val="24"/>
        </w:rPr>
        <w:t>8.  GESTIONE DELLE EMERGENZE</w:t>
      </w:r>
    </w:p>
    <w:p>
      <w:pPr>
        <w:ind w:left="283"/>
      </w:pPr>
      <w:r>
        <w:rPr>
          <w:i/>
          <w:color w:val="5A6B7D"/>
          <w:sz w:val="17"/>
        </w:rPr>
        <w:t>Rif. norm.: D.M. 388/2003 — D.M. 10/03/1998 — D.Lgs. 81/2008</w:t>
      </w:r>
    </w:p>
    <w:tbl>
      <w:tblPr>
        <w:tblStyle w:val="TableGrid"/>
        <w:tblW w:type="auto" w:w="0"/>
        <w:tblLook w:firstColumn="1" w:firstRow="1" w:lastColumn="0" w:lastRow="0" w:noHBand="0" w:noVBand="1" w:val="04A0"/>
      </w:tblPr>
      <w:tblGrid>
        <w:gridCol w:w="4703"/>
        <w:gridCol w:w="4703"/>
      </w:tblGrid>
      <w:tr>
        <w:tc>
          <w:tcPr>
            <w:tcW w:type="dxa" w:w="4703"/>
            <w:shd w:val="clear" w:color="auto" w:fill="E8F0F8"/>
          </w:tcPr>
          <w:p>
            <w:r>
              <w:rPr>
                <w:b/>
                <w:color w:val="1A3A5C"/>
                <w:sz w:val="18"/>
              </w:rPr>
              <w:t>Voce</w:t>
            </w:r>
          </w:p>
        </w:tc>
        <w:tc>
          <w:tcPr>
            <w:tcW w:type="dxa" w:w="4703"/>
            <w:shd w:val="clear" w:color="auto" w:fill="E8F0F8"/>
          </w:tcPr>
          <w:p>
            <w:r>
              <w:rPr>
                <w:b/>
                <w:color w:val="1A3A5C"/>
                <w:sz w:val="18"/>
              </w:rPr>
              <w:t>Riferimento / Nominativo</w:t>
            </w:r>
          </w:p>
        </w:tc>
      </w:tr>
      <w:tr>
        <w:tc>
          <w:tcPr>
            <w:tcW w:type="dxa" w:w="4703"/>
          </w:tcPr>
          <w:p>
            <w:r>
              <w:rPr>
                <w:sz w:val="18"/>
              </w:rPr>
              <w:t>Numero Unico Emergenze</w:t>
            </w:r>
          </w:p>
        </w:tc>
        <w:tc>
          <w:tcPr>
            <w:tcW w:type="dxa" w:w="4703"/>
          </w:tcPr>
          <w:p>
            <w:r>
              <w:rPr>
                <w:sz w:val="18"/>
              </w:rPr>
              <w:t>112</w:t>
            </w:r>
          </w:p>
        </w:tc>
      </w:tr>
      <w:tr>
        <w:tc>
          <w:tcPr>
            <w:tcW w:type="dxa" w:w="4703"/>
          </w:tcPr>
          <w:p>
            <w:r>
              <w:rPr>
                <w:sz w:val="18"/>
              </w:rPr>
              <w:t>SUEM / Pronto Soccorso</w:t>
            </w:r>
          </w:p>
        </w:tc>
        <w:tc>
          <w:tcPr>
            <w:tcW w:type="dxa" w:w="4703"/>
          </w:tcPr>
          <w:p>
            <w:r>
              <w:rPr>
                <w:sz w:val="18"/>
              </w:rPr>
              <w:t>118</w:t>
            </w:r>
          </w:p>
        </w:tc>
      </w:tr>
      <w:tr>
        <w:tc>
          <w:tcPr>
            <w:tcW w:type="dxa" w:w="4703"/>
          </w:tcPr>
          <w:p>
            <w:r>
              <w:rPr>
                <w:sz w:val="18"/>
              </w:rPr>
              <w:t>Vigili del Fuoco</w:t>
            </w:r>
          </w:p>
        </w:tc>
        <w:tc>
          <w:tcPr>
            <w:tcW w:type="dxa" w:w="4703"/>
          </w:tcPr>
          <w:p>
            <w:r>
              <w:rPr>
                <w:sz w:val="18"/>
              </w:rPr>
              <w:t>115</w:t>
            </w:r>
          </w:p>
        </w:tc>
      </w:tr>
      <w:tr>
        <w:tc>
          <w:tcPr>
            <w:tcW w:type="dxa" w:w="4703"/>
          </w:tcPr>
          <w:p>
            <w:r>
              <w:rPr>
                <w:sz w:val="18"/>
              </w:rPr>
              <w:t>INAIL (infortuni)</w:t>
            </w:r>
          </w:p>
        </w:tc>
        <w:tc>
          <w:tcPr>
            <w:tcW w:type="dxa" w:w="4703"/>
          </w:tcPr>
          <w:p>
            <w:r>
              <w:rPr>
                <w:sz w:val="18"/>
              </w:rPr>
              <w:t>803.164</w:t>
            </w:r>
          </w:p>
        </w:tc>
      </w:tr>
      <w:tr>
        <w:tc>
          <w:tcPr>
            <w:tcW w:type="dxa" w:w="4703"/>
          </w:tcPr>
          <w:p>
            <w:r>
              <w:rPr>
                <w:sz w:val="18"/>
              </w:rPr>
              <w:t>ASL competente</w:t>
            </w:r>
          </w:p>
        </w:tc>
        <w:tc>
          <w:tcPr>
            <w:tcW w:type="dxa" w:w="4703"/>
          </w:tcPr>
          <w:p>
            <w:r>
              <w:rPr>
                <w:sz w:val="18"/>
              </w:rPr>
              <w:t>ASST Brianza — sede di Monza</w:t>
            </w:r>
          </w:p>
        </w:tc>
      </w:tr>
      <w:tr>
        <w:tc>
          <w:tcPr>
            <w:tcW w:type="dxa" w:w="4703"/>
          </w:tcPr>
          <w:p>
            <w:r>
              <w:rPr>
                <w:sz w:val="18"/>
              </w:rPr>
              <w:t>Ospedale/PS più vicino</w:t>
            </w:r>
          </w:p>
        </w:tc>
        <w:tc>
          <w:tcPr>
            <w:tcW w:type="dxa" w:w="4703"/>
          </w:tcPr>
          <w:p>
            <w:r>
              <w:rPr>
                <w:sz w:val="18"/>
              </w:rPr>
              <w:t>—</w:t>
            </w:r>
          </w:p>
        </w:tc>
      </w:tr>
      <w:tr>
        <w:tc>
          <w:tcPr>
            <w:tcW w:type="dxa" w:w="4703"/>
          </w:tcPr>
          <w:p>
            <w:r>
              <w:rPr>
                <w:sz w:val="18"/>
              </w:rPr>
              <w:t>Addetti primo soccorso</w:t>
            </w:r>
          </w:p>
        </w:tc>
        <w:tc>
          <w:tcPr>
            <w:tcW w:type="dxa" w:w="4703"/>
          </w:tcPr>
          <w:p>
            <w:r>
              <w:rPr>
                <w:sz w:val="18"/>
              </w:rPr>
              <w:t>Da nominare</w:t>
            </w:r>
          </w:p>
        </w:tc>
      </w:tr>
      <w:tr>
        <w:tc>
          <w:tcPr>
            <w:tcW w:type="dxa" w:w="4703"/>
          </w:tcPr>
          <w:p>
            <w:r>
              <w:rPr>
                <w:sz w:val="18"/>
              </w:rPr>
              <w:t>Addetti antincendio</w:t>
            </w:r>
          </w:p>
        </w:tc>
        <w:tc>
          <w:tcPr>
            <w:tcW w:type="dxa" w:w="4703"/>
          </w:tcPr>
          <w:p>
            <w:r>
              <w:rPr>
                <w:sz w:val="18"/>
              </w:rPr>
              <w:t>Da nominare</w:t>
            </w:r>
          </w:p>
        </w:tc>
      </w:tr>
    </w:tbl>
    <w:p/>
    <w:p>
      <w:r>
        <w:rPr>
          <w:sz w:val="20"/>
        </w:rPr>
        <w:t>In caso di infortunio: prestare primo soccorso, chiamare il 118, mettere in sicurezza l'area, avvisare immediatamente il CSE e il Datore di Lavoro, compilare la denuncia di infortunio INAIL entro 24h per eventi &gt; 3 giorni. Presidi: cassetta PS (D.M. 388/2003), estintori polvere ABC 6kg ogni 200mq.</w:t>
      </w:r>
    </w:p>
    <w:p>
      <w:r>
        <w:br w:type="page"/>
      </w:r>
    </w:p>
    <w:p>
      <w:pPr>
        <w:spacing w:before="280" w:after="80"/>
        <w:pBdr>
          <w:bottom w:val="single" w:sz="6" w:space="1" w:color="C88B2A"/>
        </w:pBdr>
      </w:pPr>
      <w:r>
        <w:rPr>
          <w:rFonts w:ascii="Calibri" w:hAnsi="Calibri"/>
          <w:b/>
          <w:color w:val="1A3A5C"/>
          <w:sz w:val="24"/>
        </w:rPr>
        <w:t>9.  STIMA DEI COSTI DELLA SICUREZZA</w:t>
      </w:r>
    </w:p>
    <w:p>
      <w:pPr>
        <w:ind w:left="283"/>
      </w:pPr>
      <w:r>
        <w:rPr>
          <w:i/>
          <w:color w:val="5A6B7D"/>
          <w:sz w:val="17"/>
        </w:rPr>
        <w:t>Rif. norm.: Allegato XV, punto 4 — D.Lgs. 81/2008</w:t>
      </w:r>
    </w:p>
    <w:p>
      <w:r>
        <w:rPr>
          <w:b/>
          <w:color w:val="C0392B"/>
        </w:rPr>
        <w:t>I costi della sicurezza sono ESCLUSI dal ribasso d'asta — art. 100 co. 1, D.Lgs. 81/2008</w:t>
      </w:r>
    </w:p>
    <w:tbl>
      <w:tblPr>
        <w:tblStyle w:val="TableGrid"/>
        <w:tblW w:type="auto" w:w="0"/>
        <w:tblLook w:firstColumn="1" w:firstRow="1" w:lastColumn="0" w:lastRow="0" w:noHBand="0" w:noVBand="1" w:val="04A0"/>
      </w:tblPr>
      <w:tblGrid>
        <w:gridCol w:w="4703"/>
        <w:gridCol w:w="4703"/>
      </w:tblGrid>
      <w:tr>
        <w:tc>
          <w:tcPr>
            <w:tcW w:type="dxa" w:w="4703"/>
            <w:shd w:val="clear" w:color="auto" w:fill="E8F0F8"/>
          </w:tcPr>
          <w:p>
            <w:r>
              <w:rPr>
                <w:b/>
                <w:color w:val="1A3A5C"/>
                <w:sz w:val="18"/>
              </w:rPr>
              <w:t>Voce di costo</w:t>
            </w:r>
          </w:p>
        </w:tc>
        <w:tc>
          <w:tcPr>
            <w:tcW w:type="dxa" w:w="4703"/>
            <w:shd w:val="clear" w:color="auto" w:fill="E8F0F8"/>
          </w:tcPr>
          <w:p>
            <w:r>
              <w:rPr>
                <w:b/>
                <w:color w:val="1A3A5C"/>
                <w:sz w:val="18"/>
              </w:rPr>
              <w:t>Importo</w:t>
            </w:r>
          </w:p>
        </w:tc>
      </w:tr>
      <w:tr>
        <w:tc>
          <w:tcPr>
            <w:tcW w:type="dxa" w:w="4703"/>
          </w:tcPr>
          <w:p>
            <w:r>
              <w:rPr>
                <w:sz w:val="18"/>
              </w:rPr>
              <w:t>Apprestamenti (ponteggi, trabattelli, etc.)</w:t>
            </w:r>
          </w:p>
        </w:tc>
        <w:tc>
          <w:tcPr>
            <w:tcW w:type="dxa" w:w="4703"/>
          </w:tcPr>
          <w:p>
            <w:r>
              <w:rPr>
                <w:sz w:val="18"/>
              </w:rPr>
              <w:t>€ 1</w:t>
            </w:r>
          </w:p>
        </w:tc>
      </w:tr>
      <w:tr>
        <w:tc>
          <w:tcPr>
            <w:tcW w:type="dxa" w:w="4703"/>
          </w:tcPr>
          <w:p>
            <w:r>
              <w:rPr>
                <w:sz w:val="18"/>
              </w:rPr>
              <w:t>Misure preventive, protettive e DPI aggiuntivi</w:t>
            </w:r>
          </w:p>
        </w:tc>
        <w:tc>
          <w:tcPr>
            <w:tcW w:type="dxa" w:w="4703"/>
          </w:tcPr>
          <w:p>
            <w:r>
              <w:rPr>
                <w:sz w:val="18"/>
              </w:rPr>
              <w:t>€ 2</w:t>
            </w:r>
          </w:p>
        </w:tc>
      </w:tr>
      <w:tr>
        <w:tc>
          <w:tcPr>
            <w:tcW w:type="dxa" w:w="4703"/>
          </w:tcPr>
          <w:p>
            <w:r>
              <w:rPr>
                <w:sz w:val="18"/>
              </w:rPr>
              <w:t>Impianto di terra e protezione scariche atmosferiche</w:t>
            </w:r>
          </w:p>
        </w:tc>
        <w:tc>
          <w:tcPr>
            <w:tcW w:type="dxa" w:w="4703"/>
          </w:tcPr>
          <w:p>
            <w:r>
              <w:rPr>
                <w:sz w:val="18"/>
              </w:rPr>
              <w:t>€ 3</w:t>
            </w:r>
          </w:p>
        </w:tc>
      </w:tr>
      <w:tr>
        <w:tc>
          <w:tcPr>
            <w:tcW w:type="dxa" w:w="4703"/>
          </w:tcPr>
          <w:p>
            <w:r>
              <w:rPr>
                <w:sz w:val="18"/>
              </w:rPr>
              <w:t>Mezzi e servizi di protezione collettiva</w:t>
            </w:r>
          </w:p>
        </w:tc>
        <w:tc>
          <w:tcPr>
            <w:tcW w:type="dxa" w:w="4703"/>
          </w:tcPr>
          <w:p>
            <w:r>
              <w:rPr>
                <w:sz w:val="18"/>
              </w:rPr>
              <w:t>€ 4</w:t>
            </w:r>
          </w:p>
        </w:tc>
      </w:tr>
      <w:tr>
        <w:tc>
          <w:tcPr>
            <w:tcW w:type="dxa" w:w="4703"/>
          </w:tcPr>
          <w:p>
            <w:r>
              <w:rPr>
                <w:sz w:val="18"/>
              </w:rPr>
              <w:t>Procedure specifiche per imprese speciali</w:t>
            </w:r>
          </w:p>
        </w:tc>
        <w:tc>
          <w:tcPr>
            <w:tcW w:type="dxa" w:w="4703"/>
          </w:tcPr>
          <w:p>
            <w:r>
              <w:rPr>
                <w:sz w:val="18"/>
              </w:rPr>
              <w:t>€ 5</w:t>
            </w:r>
          </w:p>
        </w:tc>
      </w:tr>
      <w:tr>
        <w:tc>
          <w:tcPr>
            <w:tcW w:type="dxa" w:w="4703"/>
          </w:tcPr>
          <w:p>
            <w:r>
              <w:rPr>
                <w:sz w:val="18"/>
              </w:rPr>
              <w:t>Presidi di primo soccorso e antincendio</w:t>
            </w:r>
          </w:p>
        </w:tc>
        <w:tc>
          <w:tcPr>
            <w:tcW w:type="dxa" w:w="4703"/>
          </w:tcPr>
          <w:p>
            <w:r>
              <w:rPr>
                <w:sz w:val="18"/>
              </w:rPr>
              <w:t>€ 6</w:t>
            </w:r>
          </w:p>
        </w:tc>
      </w:tr>
      <w:tr>
        <w:tc>
          <w:tcPr>
            <w:tcW w:type="dxa" w:w="4703"/>
          </w:tcPr>
          <w:p>
            <w:r>
              <w:rPr>
                <w:sz w:val="18"/>
              </w:rPr>
              <w:t>Cartellonistica di sicurezza</w:t>
            </w:r>
          </w:p>
        </w:tc>
        <w:tc>
          <w:tcPr>
            <w:tcW w:type="dxa" w:w="4703"/>
          </w:tcPr>
          <w:p>
            <w:r>
              <w:rPr>
                <w:sz w:val="18"/>
              </w:rPr>
              <w:t>€ 7</w:t>
            </w:r>
          </w:p>
        </w:tc>
      </w:tr>
      <w:tr>
        <w:tc>
          <w:tcPr>
            <w:tcW w:type="dxa" w:w="4703"/>
          </w:tcPr>
          <w:p>
            <w:r>
              <w:rPr>
                <w:sz w:val="18"/>
              </w:rPr>
              <w:t>TOTALE COSTI SICUREZZA</w:t>
            </w:r>
          </w:p>
        </w:tc>
        <w:tc>
          <w:tcPr>
            <w:tcW w:type="dxa" w:w="4703"/>
          </w:tcPr>
          <w:p>
            <w:r>
              <w:rPr>
                <w:sz w:val="18"/>
              </w:rPr>
              <w:t>€ 12345</w:t>
            </w:r>
          </w:p>
        </w:tc>
      </w:tr>
    </w:tbl>
    <w:p/>
    <w:p>
      <w:r>
        <w:br w:type="page"/>
      </w:r>
    </w:p>
    <w:p>
      <w:pPr>
        <w:spacing w:before="280" w:after="80"/>
        <w:pBdr>
          <w:bottom w:val="single" w:sz="6" w:space="1" w:color="C88B2A"/>
        </w:pBdr>
      </w:pPr>
      <w:r>
        <w:rPr>
          <w:rFonts w:ascii="Calibri" w:hAnsi="Calibri"/>
          <w:b/>
          <w:color w:val="1A3A5C"/>
          <w:sz w:val="24"/>
        </w:rPr>
        <w:t>10.  FIRME</w:t>
      </w:r>
    </w:p>
    <w:p>
      <w:r>
        <w:rPr>
          <w:sz w:val="20"/>
        </w:rPr>
        <w:t>Il sottoscritto CSP dichiara che il presente PSC è stato redatto in conformità all'art. 100 e all'Allegato XV del D.Lgs. 81/2008, con il coinvolgimento del Responsabile dei Lavori e previa presa visione dell'area di cantiere.</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F0F8"/>
          </w:tcPr>
          <w:p>
            <w:r>
              <w:rPr>
                <w:b/>
                <w:color w:val="1A3A5C"/>
                <w:sz w:val="18"/>
              </w:rPr>
              <w:t>Qualifica</w:t>
            </w:r>
          </w:p>
        </w:tc>
        <w:tc>
          <w:tcPr>
            <w:tcW w:type="dxa" w:w="3135"/>
            <w:shd w:val="clear" w:color="auto" w:fill="E8F0F8"/>
          </w:tcPr>
          <w:p>
            <w:r>
              <w:rPr>
                <w:b/>
                <w:color w:val="1A3A5C"/>
                <w:sz w:val="18"/>
              </w:rPr>
              <w:t>Nome e Cognome</w:t>
            </w:r>
          </w:p>
        </w:tc>
        <w:tc>
          <w:tcPr>
            <w:tcW w:type="dxa" w:w="3135"/>
            <w:shd w:val="clear" w:color="auto" w:fill="E8F0F8"/>
          </w:tcPr>
          <w:p>
            <w:r>
              <w:rPr>
                <w:b/>
                <w:color w:val="1A3A5C"/>
                <w:sz w:val="18"/>
              </w:rPr>
              <w:t>Firma</w:t>
            </w:r>
          </w:p>
        </w:tc>
      </w:tr>
      <w:tr>
        <w:tc>
          <w:tcPr>
            <w:tcW w:type="dxa" w:w="3135"/>
          </w:tcPr>
          <w:p>
            <w:r>
              <w:rPr>
                <w:sz w:val="18"/>
              </w:rPr>
              <w:t>Il Committente / Responsabile dei Lavori</w:t>
            </w:r>
          </w:p>
        </w:tc>
        <w:tc>
          <w:tcPr>
            <w:tcW w:type="dxa" w:w="3135"/>
          </w:tcPr>
          <w:p>
            <w:r>
              <w:rPr>
                <w:sz w:val="18"/>
              </w:rPr>
              <w:t>Giovanni Romeo</w:t>
            </w:r>
          </w:p>
        </w:tc>
        <w:tc>
          <w:tcPr>
            <w:tcW w:type="dxa" w:w="3135"/>
          </w:tcPr>
          <w:p>
            <w:r>
              <w:rPr>
                <w:sz w:val="18"/>
              </w:rPr>
              <w:t>_____________________________</w:t>
            </w:r>
          </w:p>
        </w:tc>
      </w:tr>
      <w:tr>
        <w:tc>
          <w:tcPr>
            <w:tcW w:type="dxa" w:w="3135"/>
          </w:tcPr>
          <w:p>
            <w:r>
              <w:rPr>
                <w:sz w:val="18"/>
              </w:rPr>
              <w:t>Il Coordinatore per la Progettazione (CSP)</w:t>
            </w:r>
          </w:p>
        </w:tc>
        <w:tc>
          <w:tcPr>
            <w:tcW w:type="dxa" w:w="3135"/>
          </w:tcPr>
          <w:p>
            <w:r>
              <w:rPr>
                <w:sz w:val="18"/>
              </w:rPr>
              <w:t>Luca Marini</w:t>
            </w:r>
          </w:p>
        </w:tc>
        <w:tc>
          <w:tcPr>
            <w:tcW w:type="dxa" w:w="3135"/>
          </w:tcPr>
          <w:p>
            <w:r>
              <w:rPr>
                <w:sz w:val="18"/>
              </w:rPr>
              <w:t>_____________________________</w:t>
            </w:r>
          </w:p>
        </w:tc>
      </w:tr>
      <w:tr>
        <w:tc>
          <w:tcPr>
            <w:tcW w:type="dxa" w:w="3135"/>
          </w:tcPr>
          <w:p>
            <w:r>
              <w:rPr>
                <w:sz w:val="18"/>
              </w:rPr>
              <w:t>Luogo e data</w:t>
            </w:r>
          </w:p>
        </w:tc>
        <w:tc>
          <w:tcPr>
            <w:tcW w:type="dxa" w:w="3135"/>
          </w:tcPr>
          <w:p>
            <w:r>
              <w:rPr>
                <w:sz w:val="18"/>
              </w:rPr>
              <w:t>Monza,  _____ / _____ / _______</w:t>
            </w:r>
          </w:p>
        </w:tc>
        <w:tc>
          <w:tcPr>
            <w:tcW w:type="dxa" w:w="3135"/>
          </w:tcPr>
          <w:p>
            <w:r>
              <w:rPr>
                <w:sz w:val="18"/>
              </w:rPr>
              <w:t>—</w:t>
            </w:r>
          </w:p>
        </w:tc>
      </w:tr>
    </w:tbl>
    <w:p/>
    <w:p/>
    <w:p>
      <w:r>
        <w:rPr>
          <w:i/>
          <w:color w:val="CC4400"/>
          <w:sz w:val="16"/>
        </w:rPr>
        <w:t>⚠  AVVISO: Documento generato automaticamente come supporto al professionista. Deve essere verificato, completato e firmato dal professionista responsabile prima dell'utilizzo.</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A6B7D"/>
        <w:sz w:val="14"/>
      </w:rPr>
      <w:t>PIANO DI SICUREZZA E COORDINAMENTO (PSC) — Art. 100 D.Lgs. 81/2008 — All. XV  —  Generato il 07/03/2026 21:29  —  Conforme D.Lgs. 81/2008  —  Da verificare e completare a cura del professionista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