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CD4" w:rsidRPr="003F07E7" w:rsidRDefault="00E05982" w:rsidP="002409F9">
      <w:pPr>
        <w:ind w:left="-113"/>
        <w:rPr>
          <w:rFonts w:ascii="Arial" w:hAnsi="Arial"/>
        </w:rPr>
      </w:pPr>
      <w:r>
        <w:rPr>
          <w:rFonts w:ascii="Arial" w:hAnsi="Arial"/>
          <w:noProof/>
        </w:rPr>
        <w:drawing>
          <wp:inline distT="0" distB="0" distL="0" distR="0">
            <wp:extent cx="24574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457200"/>
                    </a:xfrm>
                    <a:prstGeom prst="rect">
                      <a:avLst/>
                    </a:prstGeom>
                    <a:noFill/>
                    <a:ln>
                      <a:noFill/>
                    </a:ln>
                  </pic:spPr>
                </pic:pic>
              </a:graphicData>
            </a:graphic>
          </wp:inline>
        </w:drawing>
      </w:r>
    </w:p>
    <w:p w:rsidR="006A2CD4" w:rsidRPr="003F07E7" w:rsidRDefault="006A2CD4">
      <w:pPr>
        <w:rPr>
          <w:rFonts w:ascii="Arial" w:hAnsi="Arial"/>
        </w:rPr>
      </w:pPr>
    </w:p>
    <w:p w:rsidR="006A2CD4" w:rsidRPr="003F07E7" w:rsidRDefault="006A2CD4">
      <w:pPr>
        <w:rPr>
          <w:rFonts w:ascii="Arial" w:hAnsi="Arial"/>
          <w:b/>
        </w:rPr>
      </w:pPr>
      <w:r w:rsidRPr="003F07E7">
        <w:rPr>
          <w:rFonts w:ascii="Arial" w:hAnsi="Arial"/>
          <w:b/>
        </w:rPr>
        <w:t>NEWS RELEASE</w:t>
      </w:r>
    </w:p>
    <w:p w:rsidR="006A2CD4" w:rsidRPr="003F07E7" w:rsidRDefault="006A2CD4">
      <w:pPr>
        <w:rPr>
          <w:rFonts w:ascii="Arial" w:hAnsi="Arial"/>
        </w:rPr>
      </w:pPr>
    </w:p>
    <w:p w:rsidR="006A2CD4" w:rsidRPr="003F07E7" w:rsidRDefault="006A2CD4">
      <w:pPr>
        <w:rPr>
          <w:rFonts w:ascii="Arial" w:hAnsi="Arial"/>
          <w:b/>
        </w:rPr>
      </w:pPr>
      <w:proofErr w:type="spellStart"/>
      <w:r w:rsidRPr="003F07E7">
        <w:rPr>
          <w:rFonts w:ascii="Arial" w:hAnsi="Arial"/>
          <w:b/>
        </w:rPr>
        <w:t>MDxHealth</w:t>
      </w:r>
      <w:proofErr w:type="spellEnd"/>
      <w:r w:rsidRPr="003F07E7">
        <w:rPr>
          <w:rFonts w:ascii="Arial" w:hAnsi="Arial"/>
          <w:b/>
        </w:rPr>
        <w:t xml:space="preserve"> Closes Agreement with Pfizer, </w:t>
      </w:r>
      <w:smartTag w:uri="urn:schemas-microsoft-com:office:smarttags" w:element="PlaceName">
        <w:smartTag w:uri="urn:schemas-microsoft-com:office:smarttags" w:element="place">
          <w:r w:rsidRPr="003F07E7">
            <w:rPr>
              <w:rFonts w:ascii="Arial" w:hAnsi="Arial"/>
              <w:b/>
            </w:rPr>
            <w:t>Newcastle</w:t>
          </w:r>
        </w:smartTag>
        <w:r w:rsidRPr="003F07E7">
          <w:rPr>
            <w:rFonts w:ascii="Arial" w:hAnsi="Arial"/>
            <w:b/>
          </w:rPr>
          <w:t xml:space="preserve"> </w:t>
        </w:r>
        <w:smartTag w:uri="urn:schemas-microsoft-com:office:smarttags" w:element="PlaceType">
          <w:r w:rsidRPr="003F07E7">
            <w:rPr>
              <w:rFonts w:ascii="Arial" w:hAnsi="Arial"/>
              <w:b/>
            </w:rPr>
            <w:t>University</w:t>
          </w:r>
        </w:smartTag>
      </w:smartTag>
      <w:r w:rsidRPr="003F07E7">
        <w:rPr>
          <w:rFonts w:ascii="Arial" w:hAnsi="Arial"/>
          <w:b/>
        </w:rPr>
        <w:t xml:space="preserve"> and CRT to </w:t>
      </w:r>
      <w:r w:rsidRPr="00E05982">
        <w:rPr>
          <w:rFonts w:ascii="Arial" w:hAnsi="Arial"/>
          <w:b/>
        </w:rPr>
        <w:t>Identify a Predictive Biomarker</w:t>
      </w:r>
      <w:r w:rsidRPr="003F07E7">
        <w:rPr>
          <w:rFonts w:ascii="Arial" w:hAnsi="Arial"/>
          <w:b/>
        </w:rPr>
        <w:t xml:space="preserve"> for PARP inhibitor therapies</w:t>
      </w:r>
    </w:p>
    <w:p w:rsidR="006A2CD4" w:rsidRPr="003F07E7" w:rsidRDefault="006A2CD4">
      <w:pPr>
        <w:rPr>
          <w:rFonts w:ascii="Arial" w:hAnsi="Arial"/>
        </w:rPr>
      </w:pPr>
    </w:p>
    <w:p w:rsidR="006A2CD4" w:rsidRPr="003F07E7" w:rsidRDefault="006A2CD4" w:rsidP="004253F5">
      <w:pPr>
        <w:jc w:val="both"/>
        <w:rPr>
          <w:rFonts w:ascii="Arial" w:hAnsi="Arial"/>
          <w:sz w:val="21"/>
        </w:rPr>
      </w:pPr>
      <w:r w:rsidRPr="003F07E7">
        <w:rPr>
          <w:rFonts w:ascii="Arial" w:hAnsi="Arial"/>
          <w:b/>
          <w:sz w:val="21"/>
        </w:rPr>
        <w:t>DURHAM, NC, and LIEGE, BELGIUM</w:t>
      </w:r>
      <w:r w:rsidRPr="003F07E7">
        <w:rPr>
          <w:rFonts w:ascii="Arial" w:hAnsi="Arial"/>
          <w:sz w:val="21"/>
        </w:rPr>
        <w:t xml:space="preserve"> – </w:t>
      </w:r>
      <w:r w:rsidR="005F024B">
        <w:rPr>
          <w:rFonts w:ascii="Arial" w:hAnsi="Arial"/>
          <w:sz w:val="21"/>
        </w:rPr>
        <w:t>January 31</w:t>
      </w:r>
      <w:r w:rsidRPr="003F07E7">
        <w:rPr>
          <w:rFonts w:ascii="Arial" w:hAnsi="Arial"/>
          <w:sz w:val="21"/>
        </w:rPr>
        <w:t xml:space="preserve">, 2010 – </w:t>
      </w:r>
      <w:proofErr w:type="spellStart"/>
      <w:r w:rsidRPr="003F07E7">
        <w:rPr>
          <w:rFonts w:ascii="Arial" w:hAnsi="Arial"/>
          <w:sz w:val="21"/>
        </w:rPr>
        <w:t>MDxHealth</w:t>
      </w:r>
      <w:proofErr w:type="spellEnd"/>
      <w:r w:rsidRPr="003F07E7">
        <w:rPr>
          <w:rFonts w:ascii="Arial" w:hAnsi="Arial"/>
          <w:sz w:val="21"/>
        </w:rPr>
        <w:t xml:space="preserve"> SA (NYSE Euronext: MDXH), a leading molecular diagnostics company in the field of personalized cancer treatment, today announced that it has signed an agreement with Newcastle University (UK), Cancer Research Technology Limited (CRT) and Pfizer Inc. to collaborate on the identification and development of a biomarker predicting response to Pfizer, CRT and Newcastle University’s drug candidate for PARP inhibition, PF-01367338. The partners believe identification of a successful predictive biomarker could potentially lead to the development of a companion diagnostic to guide treatment decisions in ovarian and breast cancers. </w:t>
      </w:r>
    </w:p>
    <w:p w:rsidR="006A2CD4" w:rsidRPr="003F07E7" w:rsidRDefault="006A2CD4" w:rsidP="004253F5">
      <w:pPr>
        <w:jc w:val="both"/>
        <w:rPr>
          <w:rFonts w:ascii="Arial" w:hAnsi="Arial"/>
          <w:sz w:val="21"/>
        </w:rPr>
      </w:pPr>
    </w:p>
    <w:p w:rsidR="006A2CD4" w:rsidRPr="003F07E7" w:rsidRDefault="006A2CD4" w:rsidP="004253F5">
      <w:pPr>
        <w:jc w:val="both"/>
        <w:rPr>
          <w:rFonts w:ascii="Arial" w:hAnsi="Arial"/>
          <w:sz w:val="21"/>
        </w:rPr>
      </w:pPr>
      <w:r w:rsidRPr="003F07E7">
        <w:rPr>
          <w:rFonts w:ascii="Arial" w:hAnsi="Arial"/>
          <w:sz w:val="21"/>
        </w:rPr>
        <w:t>“</w:t>
      </w:r>
      <w:proofErr w:type="spellStart"/>
      <w:r w:rsidRPr="003F07E7">
        <w:rPr>
          <w:rFonts w:ascii="Arial" w:hAnsi="Arial"/>
          <w:sz w:val="21"/>
        </w:rPr>
        <w:t>MDxHealth’s</w:t>
      </w:r>
      <w:proofErr w:type="spellEnd"/>
      <w:r w:rsidRPr="003F07E7">
        <w:rPr>
          <w:rFonts w:ascii="Arial" w:hAnsi="Arial"/>
          <w:sz w:val="21"/>
        </w:rPr>
        <w:t xml:space="preserve"> methylation platform </w:t>
      </w:r>
      <w:r w:rsidRPr="00E05982">
        <w:rPr>
          <w:rFonts w:ascii="Arial" w:hAnsi="Arial"/>
          <w:sz w:val="21"/>
        </w:rPr>
        <w:t>is potentially</w:t>
      </w:r>
      <w:r w:rsidRPr="003F07E7">
        <w:rPr>
          <w:rFonts w:ascii="Arial" w:hAnsi="Arial"/>
          <w:sz w:val="21"/>
        </w:rPr>
        <w:t xml:space="preserve"> suited for the development of companion diagnostics in a wide range of cancer indications,” said </w:t>
      </w:r>
      <w:r w:rsidR="00E05982">
        <w:rPr>
          <w:rFonts w:ascii="Arial" w:hAnsi="Arial"/>
          <w:sz w:val="21"/>
        </w:rPr>
        <w:t xml:space="preserve">Dr. </w:t>
      </w:r>
      <w:r w:rsidRPr="003F07E7">
        <w:rPr>
          <w:rFonts w:ascii="Arial" w:hAnsi="Arial"/>
          <w:sz w:val="21"/>
        </w:rPr>
        <w:t xml:space="preserve">Jan Groen, </w:t>
      </w:r>
      <w:r w:rsidR="00E05982">
        <w:rPr>
          <w:rFonts w:ascii="Arial" w:hAnsi="Arial"/>
          <w:sz w:val="21"/>
        </w:rPr>
        <w:t>C</w:t>
      </w:r>
      <w:r w:rsidRPr="003F07E7">
        <w:rPr>
          <w:rFonts w:ascii="Arial" w:hAnsi="Arial"/>
          <w:sz w:val="21"/>
        </w:rPr>
        <w:t xml:space="preserve">hief </w:t>
      </w:r>
      <w:r w:rsidR="00E05982">
        <w:rPr>
          <w:rFonts w:ascii="Arial" w:hAnsi="Arial"/>
          <w:sz w:val="21"/>
        </w:rPr>
        <w:t>E</w:t>
      </w:r>
      <w:r w:rsidRPr="003F07E7">
        <w:rPr>
          <w:rFonts w:ascii="Arial" w:hAnsi="Arial"/>
          <w:sz w:val="21"/>
        </w:rPr>
        <w:t xml:space="preserve">xecutive </w:t>
      </w:r>
      <w:r w:rsidR="00E05982">
        <w:rPr>
          <w:rFonts w:ascii="Arial" w:hAnsi="Arial"/>
          <w:sz w:val="21"/>
        </w:rPr>
        <w:t>O</w:t>
      </w:r>
      <w:r w:rsidRPr="003F07E7">
        <w:rPr>
          <w:rFonts w:ascii="Arial" w:hAnsi="Arial"/>
          <w:sz w:val="21"/>
        </w:rPr>
        <w:t xml:space="preserve">fficer of </w:t>
      </w:r>
      <w:proofErr w:type="spellStart"/>
      <w:r w:rsidRPr="003F07E7">
        <w:rPr>
          <w:rFonts w:ascii="Arial" w:hAnsi="Arial"/>
          <w:sz w:val="21"/>
        </w:rPr>
        <w:t>MDxHealth</w:t>
      </w:r>
      <w:proofErr w:type="spellEnd"/>
      <w:r w:rsidRPr="003F07E7">
        <w:rPr>
          <w:rFonts w:ascii="Arial" w:hAnsi="Arial"/>
          <w:sz w:val="21"/>
        </w:rPr>
        <w:t xml:space="preserve">. “Our advanced capabilities run from discovery to proof of principle, using deep sequencing at our new </w:t>
      </w:r>
      <w:smartTag w:uri="urn:schemas-microsoft-com:office:smarttags" w:element="City">
        <w:r w:rsidRPr="003F07E7">
          <w:rPr>
            <w:rFonts w:ascii="Arial" w:hAnsi="Arial"/>
            <w:sz w:val="21"/>
          </w:rPr>
          <w:t>Ghent</w:t>
        </w:r>
      </w:smartTag>
      <w:r w:rsidRPr="003F07E7">
        <w:rPr>
          <w:rFonts w:ascii="Arial" w:hAnsi="Arial"/>
          <w:sz w:val="21"/>
        </w:rPr>
        <w:t xml:space="preserve"> facility, to assay development and clinical trial testing at our ISO-certified </w:t>
      </w:r>
      <w:smartTag w:uri="urn:schemas-microsoft-com:office:smarttags" w:element="place">
        <w:r w:rsidRPr="003F07E7">
          <w:rPr>
            <w:rFonts w:ascii="Arial" w:hAnsi="Arial"/>
            <w:sz w:val="21"/>
          </w:rPr>
          <w:t>Liege</w:t>
        </w:r>
      </w:smartTag>
      <w:r w:rsidRPr="003F07E7">
        <w:rPr>
          <w:rFonts w:ascii="Arial" w:hAnsi="Arial"/>
          <w:sz w:val="21"/>
        </w:rPr>
        <w:t xml:space="preserve"> laboratories. We offer a platform that has been tried and tested and is highly attractive for our partners. This and similar agreements with other pharmaceutical companies and academic institutions build on our strong capabilities in the exciting and rapidly emerging field of companion diagnostics.”</w:t>
      </w:r>
    </w:p>
    <w:p w:rsidR="006A2CD4" w:rsidRPr="003F07E7" w:rsidRDefault="006A2CD4" w:rsidP="004253F5">
      <w:pPr>
        <w:jc w:val="both"/>
        <w:rPr>
          <w:rFonts w:ascii="Arial" w:hAnsi="Arial"/>
          <w:sz w:val="21"/>
        </w:rPr>
      </w:pPr>
    </w:p>
    <w:p w:rsidR="006A2CD4" w:rsidRPr="003F07E7" w:rsidRDefault="006A2CD4" w:rsidP="00CE46A2">
      <w:pPr>
        <w:jc w:val="both"/>
        <w:rPr>
          <w:rFonts w:ascii="Arial" w:hAnsi="Arial"/>
          <w:sz w:val="21"/>
        </w:rPr>
      </w:pPr>
      <w:r w:rsidRPr="003F07E7">
        <w:rPr>
          <w:rFonts w:ascii="Arial" w:hAnsi="Arial"/>
          <w:sz w:val="21"/>
        </w:rPr>
        <w:t>PF-01367338 [works by inhibiting PARP1 and PARP2</w:t>
      </w:r>
      <w:r>
        <w:rPr>
          <w:rFonts w:ascii="Arial" w:hAnsi="Arial"/>
          <w:sz w:val="21"/>
        </w:rPr>
        <w:t>b</w:t>
      </w:r>
      <w:r w:rsidRPr="003F07E7">
        <w:rPr>
          <w:rFonts w:ascii="Arial" w:hAnsi="Arial"/>
          <w:sz w:val="21"/>
        </w:rPr>
        <w:t xml:space="preserve"> enzymes involved in cellular DNA damage repair (DDR). As part of the collaboration, </w:t>
      </w:r>
      <w:proofErr w:type="spellStart"/>
      <w:r w:rsidRPr="003F07E7">
        <w:rPr>
          <w:rFonts w:ascii="Arial" w:hAnsi="Arial"/>
          <w:sz w:val="21"/>
        </w:rPr>
        <w:t>MDxHealth</w:t>
      </w:r>
      <w:proofErr w:type="spellEnd"/>
      <w:r w:rsidRPr="003F07E7">
        <w:rPr>
          <w:rFonts w:ascii="Arial" w:hAnsi="Arial"/>
          <w:sz w:val="21"/>
        </w:rPr>
        <w:t xml:space="preserve"> will profile the methylation patterns of DDR genes to seek to identify those involved in predicting tumor development and response to PARP inhibition. </w:t>
      </w:r>
      <w:proofErr w:type="spellStart"/>
      <w:r w:rsidRPr="00E05982">
        <w:rPr>
          <w:rFonts w:ascii="Arial" w:hAnsi="Arial"/>
          <w:sz w:val="21"/>
        </w:rPr>
        <w:t>MDxHealth</w:t>
      </w:r>
      <w:r w:rsidRPr="003F07E7">
        <w:rPr>
          <w:rFonts w:ascii="Arial" w:hAnsi="Arial"/>
          <w:sz w:val="21"/>
        </w:rPr>
        <w:t>’</w:t>
      </w:r>
      <w:r w:rsidRPr="00E05982">
        <w:rPr>
          <w:rFonts w:ascii="Arial" w:hAnsi="Arial"/>
          <w:sz w:val="21"/>
        </w:rPr>
        <w:t>s</w:t>
      </w:r>
      <w:proofErr w:type="spellEnd"/>
      <w:r w:rsidRPr="003F07E7">
        <w:rPr>
          <w:rFonts w:ascii="Arial" w:hAnsi="Arial"/>
          <w:sz w:val="21"/>
        </w:rPr>
        <w:t xml:space="preserve"> aim is to ultimately set up a high throughput platform that is clinically validated to rapidly test for epigenetic defects in key DDR genes to support the design and implementation of clinical trials to enable development of optimized, targeted therapies.</w:t>
      </w:r>
    </w:p>
    <w:p w:rsidR="006A2CD4" w:rsidRPr="003F07E7" w:rsidRDefault="006A2CD4" w:rsidP="00CE46A2">
      <w:pPr>
        <w:jc w:val="both"/>
        <w:rPr>
          <w:rFonts w:ascii="Arial" w:hAnsi="Arial"/>
          <w:sz w:val="21"/>
        </w:rPr>
      </w:pPr>
    </w:p>
    <w:p w:rsidR="006A2CD4" w:rsidRPr="003F07E7" w:rsidRDefault="006A2CD4" w:rsidP="00CE46A2">
      <w:pPr>
        <w:jc w:val="both"/>
        <w:rPr>
          <w:rFonts w:ascii="Arial" w:hAnsi="Arial"/>
          <w:sz w:val="21"/>
        </w:rPr>
      </w:pPr>
      <w:r w:rsidRPr="003F07E7">
        <w:rPr>
          <w:rFonts w:ascii="Arial" w:hAnsi="Arial"/>
          <w:sz w:val="21"/>
        </w:rPr>
        <w:t xml:space="preserve">Financial terms of the agreement were not disclosed. </w:t>
      </w:r>
      <w:proofErr w:type="spellStart"/>
      <w:r w:rsidRPr="003F07E7">
        <w:rPr>
          <w:rFonts w:ascii="Arial" w:hAnsi="Arial"/>
          <w:sz w:val="21"/>
        </w:rPr>
        <w:t>MDxHealth</w:t>
      </w:r>
      <w:proofErr w:type="spellEnd"/>
      <w:r w:rsidRPr="003F07E7">
        <w:rPr>
          <w:rFonts w:ascii="Arial" w:hAnsi="Arial"/>
          <w:sz w:val="21"/>
        </w:rPr>
        <w:t xml:space="preserve"> will provide biomarker discovery services, assay development services, clinical trial testing, and will retain rights  to any methylation-based commercial companion diagnostic test that may result from this collaboration. </w:t>
      </w:r>
      <w:smartTag w:uri="urn:schemas-microsoft-com:office:smarttags" w:element="place">
        <w:smartTag w:uri="urn:schemas-microsoft-com:office:smarttags" w:element="PlaceName">
          <w:r w:rsidRPr="003F07E7">
            <w:rPr>
              <w:rFonts w:ascii="Arial" w:hAnsi="Arial"/>
              <w:sz w:val="21"/>
            </w:rPr>
            <w:t>Newcastle</w:t>
          </w:r>
        </w:smartTag>
        <w:r w:rsidRPr="003F07E7">
          <w:rPr>
            <w:rFonts w:ascii="Arial" w:hAnsi="Arial"/>
            <w:sz w:val="21"/>
          </w:rPr>
          <w:t xml:space="preserve"> </w:t>
        </w:r>
        <w:smartTag w:uri="urn:schemas-microsoft-com:office:smarttags" w:element="PlaceType">
          <w:r w:rsidRPr="003F07E7">
            <w:rPr>
              <w:rFonts w:ascii="Arial" w:hAnsi="Arial"/>
              <w:sz w:val="21"/>
            </w:rPr>
            <w:t>University</w:t>
          </w:r>
        </w:smartTag>
      </w:smartTag>
      <w:r w:rsidRPr="003F07E7">
        <w:rPr>
          <w:rFonts w:ascii="Arial" w:hAnsi="Arial"/>
          <w:sz w:val="21"/>
        </w:rPr>
        <w:t xml:space="preserve">, through research groups led by Professor Nicola Curtin and Dr. Richard Edmondson, will participate in biomarker discovery and validation activities. CRT will have rights to develop and </w:t>
      </w:r>
      <w:proofErr w:type="spellStart"/>
      <w:r w:rsidRPr="003F07E7">
        <w:rPr>
          <w:rFonts w:ascii="Arial" w:hAnsi="Arial"/>
          <w:sz w:val="21"/>
        </w:rPr>
        <w:t>commercialise</w:t>
      </w:r>
      <w:proofErr w:type="spellEnd"/>
      <w:r w:rsidRPr="003F07E7">
        <w:rPr>
          <w:rFonts w:ascii="Arial" w:hAnsi="Arial"/>
          <w:sz w:val="21"/>
        </w:rPr>
        <w:t xml:space="preserve"> new biomarkers in other fields. </w:t>
      </w:r>
      <w:r w:rsidRPr="00E05982">
        <w:rPr>
          <w:rFonts w:ascii="Arial" w:hAnsi="Arial"/>
          <w:sz w:val="21"/>
        </w:rPr>
        <w:t>Pfizer will contribute experimental and intellectual input through its translational research team in addition to funding the collaboration.</w:t>
      </w:r>
    </w:p>
    <w:p w:rsidR="006A2CD4" w:rsidRPr="003F07E7" w:rsidRDefault="006A2CD4" w:rsidP="004253F5">
      <w:pPr>
        <w:jc w:val="both"/>
        <w:rPr>
          <w:rFonts w:ascii="Arial" w:hAnsi="Arial"/>
          <w:sz w:val="21"/>
        </w:rPr>
      </w:pPr>
    </w:p>
    <w:p w:rsidR="006A2CD4" w:rsidRDefault="006A2CD4" w:rsidP="004253F5">
      <w:pPr>
        <w:jc w:val="both"/>
        <w:rPr>
          <w:rFonts w:ascii="Arial" w:hAnsi="Arial"/>
          <w:b/>
          <w:sz w:val="21"/>
        </w:rPr>
      </w:pPr>
      <w:r w:rsidRPr="003F07E7">
        <w:rPr>
          <w:rFonts w:ascii="Arial" w:hAnsi="Arial"/>
          <w:b/>
          <w:sz w:val="21"/>
        </w:rPr>
        <w:t>About PARP inhibition</w:t>
      </w:r>
    </w:p>
    <w:p w:rsidR="00735E06" w:rsidRPr="003F07E7" w:rsidRDefault="00735E06" w:rsidP="004253F5">
      <w:pPr>
        <w:jc w:val="both"/>
        <w:rPr>
          <w:rFonts w:ascii="Arial" w:hAnsi="Arial"/>
          <w:b/>
          <w:sz w:val="21"/>
        </w:rPr>
      </w:pPr>
    </w:p>
    <w:p w:rsidR="006A2CD4" w:rsidRPr="003F07E7" w:rsidRDefault="006A2CD4" w:rsidP="004253F5">
      <w:pPr>
        <w:jc w:val="both"/>
        <w:rPr>
          <w:rFonts w:ascii="Arial" w:hAnsi="Arial"/>
          <w:sz w:val="21"/>
        </w:rPr>
      </w:pPr>
      <w:r w:rsidRPr="003F07E7">
        <w:rPr>
          <w:rFonts w:ascii="Arial" w:hAnsi="Arial"/>
          <w:sz w:val="21"/>
        </w:rPr>
        <w:t xml:space="preserve">Many chemotherapeutic agents attack cancer cells by disrupting them at the DNA level to block proliferation and their ability to metastasize. Cancer cells take advantage of these natural DNA repair mechanisms to counteract the effects of chemotherapy. Researchers are now exploring how to effectively disarm cancer cells by removing their DDR capabilities.  BRCA1 and BRCA2 are implicated in homologous </w:t>
      </w:r>
      <w:proofErr w:type="spellStart"/>
      <w:r w:rsidRPr="003F07E7">
        <w:rPr>
          <w:rFonts w:ascii="Arial" w:hAnsi="Arial"/>
          <w:sz w:val="21"/>
        </w:rPr>
        <w:t>recombinational</w:t>
      </w:r>
      <w:proofErr w:type="spellEnd"/>
      <w:r w:rsidRPr="003F07E7">
        <w:rPr>
          <w:rFonts w:ascii="Arial" w:hAnsi="Arial"/>
          <w:sz w:val="21"/>
        </w:rPr>
        <w:t xml:space="preserve"> repair. </w:t>
      </w:r>
      <w:r w:rsidRPr="003F07E7">
        <w:rPr>
          <w:rFonts w:ascii="Arial" w:hAnsi="Arial" w:cs="Arial"/>
          <w:sz w:val="20"/>
          <w:szCs w:val="20"/>
        </w:rPr>
        <w:t xml:space="preserve">  </w:t>
      </w:r>
      <w:r w:rsidRPr="003F07E7">
        <w:rPr>
          <w:rFonts w:ascii="Arial" w:hAnsi="Arial"/>
          <w:sz w:val="21"/>
        </w:rPr>
        <w:t xml:space="preserve">Recent studies suggest that PARP inhibition can augment DNA damage in cancer cells with defective homologous recombination such as in prostate, breast and ovarian cancers with mutations in the BRCA1 and BRCA2 genes.  </w:t>
      </w:r>
    </w:p>
    <w:p w:rsidR="006A2CD4" w:rsidRPr="003F07E7" w:rsidRDefault="006A2CD4" w:rsidP="004253F5">
      <w:pPr>
        <w:jc w:val="both"/>
        <w:rPr>
          <w:rFonts w:ascii="Arial" w:hAnsi="Arial"/>
          <w:sz w:val="21"/>
        </w:rPr>
      </w:pPr>
    </w:p>
    <w:p w:rsidR="006A2CD4" w:rsidRDefault="006A2CD4" w:rsidP="004253F5">
      <w:pPr>
        <w:jc w:val="both"/>
        <w:rPr>
          <w:rFonts w:ascii="Arial" w:hAnsi="Arial"/>
          <w:b/>
          <w:sz w:val="21"/>
        </w:rPr>
      </w:pPr>
      <w:bookmarkStart w:id="0" w:name="OLE_LINK3"/>
      <w:r w:rsidRPr="003F07E7">
        <w:rPr>
          <w:rFonts w:ascii="Arial" w:hAnsi="Arial"/>
          <w:b/>
          <w:sz w:val="21"/>
        </w:rPr>
        <w:lastRenderedPageBreak/>
        <w:t xml:space="preserve">About </w:t>
      </w:r>
      <w:proofErr w:type="spellStart"/>
      <w:r w:rsidRPr="003F07E7">
        <w:rPr>
          <w:rFonts w:ascii="Arial" w:hAnsi="Arial"/>
          <w:b/>
          <w:sz w:val="21"/>
        </w:rPr>
        <w:t>MDxHealth</w:t>
      </w:r>
      <w:proofErr w:type="spellEnd"/>
    </w:p>
    <w:p w:rsidR="00735E06" w:rsidRPr="003F07E7" w:rsidRDefault="00735E06" w:rsidP="004253F5">
      <w:pPr>
        <w:jc w:val="both"/>
        <w:rPr>
          <w:rFonts w:ascii="Arial" w:hAnsi="Arial"/>
          <w:b/>
          <w:sz w:val="21"/>
        </w:rPr>
      </w:pPr>
    </w:p>
    <w:p w:rsidR="006A2CD4" w:rsidRPr="003F07E7" w:rsidRDefault="006A2CD4" w:rsidP="00BC3846">
      <w:pPr>
        <w:jc w:val="both"/>
        <w:rPr>
          <w:rFonts w:ascii="Arial" w:hAnsi="Arial"/>
          <w:sz w:val="21"/>
        </w:rPr>
      </w:pPr>
      <w:proofErr w:type="spellStart"/>
      <w:r w:rsidRPr="003F07E7">
        <w:rPr>
          <w:rFonts w:ascii="Arial" w:hAnsi="Arial"/>
          <w:sz w:val="21"/>
        </w:rPr>
        <w:t>MDxHealth</w:t>
      </w:r>
      <w:proofErr w:type="spellEnd"/>
      <w:r w:rsidRPr="003F07E7">
        <w:rPr>
          <w:rFonts w:ascii="Arial" w:hAnsi="Arial"/>
          <w:sz w:val="21"/>
        </w:rPr>
        <w:t xml:space="preserve"> </w:t>
      </w:r>
      <w:bookmarkEnd w:id="0"/>
      <w:r w:rsidRPr="003F07E7">
        <w:rPr>
          <w:rFonts w:ascii="Arial" w:hAnsi="Arial"/>
          <w:sz w:val="21"/>
        </w:rPr>
        <w:t xml:space="preserve">is a leading molecular diagnostics company that develops and commercializes oncology-based molecular diagnostic testing for personalized medicine. The company’s tests are based on proprietary gene methylation technology and assist physicians with the diagnosis of cancer, prognosis of recurrence risk, and prediction of response to a specific therapy. </w:t>
      </w:r>
      <w:proofErr w:type="spellStart"/>
      <w:r w:rsidRPr="003F07E7">
        <w:rPr>
          <w:rFonts w:ascii="Arial" w:hAnsi="Arial"/>
          <w:sz w:val="21"/>
        </w:rPr>
        <w:t>MDxHealth</w:t>
      </w:r>
      <w:proofErr w:type="spellEnd"/>
      <w:r w:rsidRPr="003F07E7">
        <w:rPr>
          <w:rFonts w:ascii="Arial" w:hAnsi="Arial"/>
          <w:sz w:val="21"/>
        </w:rPr>
        <w:t xml:space="preserve"> collaborates with leading cancer research center such as Johns Hopkins University, Duke University, Lovelace Respiratory Research Institute, </w:t>
      </w:r>
      <w:smartTag w:uri="urn:schemas-microsoft-com:office:smarttags" w:element="place">
        <w:smartTag w:uri="urn:schemas-microsoft-com:office:smarttags" w:element="PlaceName">
          <w:r w:rsidRPr="003F07E7">
            <w:rPr>
              <w:rFonts w:ascii="Arial" w:hAnsi="Arial"/>
              <w:sz w:val="21"/>
            </w:rPr>
            <w:t>Eastern</w:t>
          </w:r>
        </w:smartTag>
        <w:r w:rsidRPr="003F07E7">
          <w:rPr>
            <w:rFonts w:ascii="Arial" w:hAnsi="Arial"/>
            <w:sz w:val="21"/>
          </w:rPr>
          <w:t xml:space="preserve"> </w:t>
        </w:r>
        <w:smartTag w:uri="urn:schemas-microsoft-com:office:smarttags" w:element="PlaceName">
          <w:r w:rsidRPr="003F07E7">
            <w:rPr>
              <w:rFonts w:ascii="Arial" w:hAnsi="Arial"/>
              <w:sz w:val="21"/>
            </w:rPr>
            <w:t>Virginia</w:t>
          </w:r>
        </w:smartTag>
        <w:r w:rsidRPr="003F07E7">
          <w:rPr>
            <w:rFonts w:ascii="Arial" w:hAnsi="Arial"/>
            <w:sz w:val="21"/>
          </w:rPr>
          <w:t xml:space="preserve"> </w:t>
        </w:r>
        <w:smartTag w:uri="urn:schemas-microsoft-com:office:smarttags" w:element="PlaceName">
          <w:r w:rsidRPr="003F07E7">
            <w:rPr>
              <w:rFonts w:ascii="Arial" w:hAnsi="Arial"/>
              <w:sz w:val="21"/>
            </w:rPr>
            <w:t>Medical</w:t>
          </w:r>
        </w:smartTag>
        <w:r w:rsidRPr="003F07E7">
          <w:rPr>
            <w:rFonts w:ascii="Arial" w:hAnsi="Arial"/>
            <w:sz w:val="21"/>
          </w:rPr>
          <w:t xml:space="preserve"> </w:t>
        </w:r>
        <w:smartTag w:uri="urn:schemas-microsoft-com:office:smarttags" w:element="PlaceType">
          <w:r w:rsidRPr="003F07E7">
            <w:rPr>
              <w:rFonts w:ascii="Arial" w:hAnsi="Arial"/>
              <w:sz w:val="21"/>
            </w:rPr>
            <w:t>School</w:t>
          </w:r>
        </w:smartTag>
      </w:smartTag>
      <w:r w:rsidRPr="003F07E7">
        <w:rPr>
          <w:rFonts w:ascii="Arial" w:hAnsi="Arial"/>
          <w:sz w:val="21"/>
        </w:rPr>
        <w:t xml:space="preserve">, Cleveland Clinic, Memorial Sloan Kettering, and major European academic medical centers. The company has a number of commercial and collaborative partnerships with </w:t>
      </w:r>
      <w:proofErr w:type="spellStart"/>
      <w:r w:rsidRPr="003F07E7">
        <w:rPr>
          <w:rFonts w:ascii="Arial" w:hAnsi="Arial"/>
          <w:sz w:val="21"/>
        </w:rPr>
        <w:t>LabCorp</w:t>
      </w:r>
      <w:proofErr w:type="spellEnd"/>
      <w:r w:rsidRPr="003F07E7">
        <w:rPr>
          <w:rFonts w:ascii="Arial" w:hAnsi="Arial"/>
          <w:sz w:val="21"/>
        </w:rPr>
        <w:t xml:space="preserve">, Merck &amp; Co./Schering Plough, GlaxoSmithKline </w:t>
      </w:r>
      <w:proofErr w:type="spellStart"/>
      <w:r w:rsidRPr="003F07E7">
        <w:rPr>
          <w:rFonts w:ascii="Arial" w:hAnsi="Arial"/>
          <w:sz w:val="21"/>
        </w:rPr>
        <w:t>Biologicals</w:t>
      </w:r>
      <w:proofErr w:type="spellEnd"/>
      <w:r w:rsidRPr="003F07E7">
        <w:rPr>
          <w:rFonts w:ascii="Arial" w:hAnsi="Arial"/>
          <w:sz w:val="21"/>
        </w:rPr>
        <w:t xml:space="preserve">, Roche, Merck </w:t>
      </w:r>
      <w:proofErr w:type="spellStart"/>
      <w:r w:rsidRPr="003F07E7">
        <w:rPr>
          <w:rFonts w:ascii="Arial" w:hAnsi="Arial"/>
          <w:sz w:val="21"/>
        </w:rPr>
        <w:t>Serono</w:t>
      </w:r>
      <w:proofErr w:type="spellEnd"/>
      <w:r w:rsidRPr="003F07E7">
        <w:rPr>
          <w:rFonts w:ascii="Arial" w:hAnsi="Arial"/>
          <w:sz w:val="21"/>
        </w:rPr>
        <w:t xml:space="preserve">, </w:t>
      </w:r>
      <w:proofErr w:type="spellStart"/>
      <w:r w:rsidRPr="003F07E7">
        <w:rPr>
          <w:rFonts w:ascii="Arial" w:hAnsi="Arial"/>
          <w:sz w:val="21"/>
        </w:rPr>
        <w:t>Qiagen</w:t>
      </w:r>
      <w:proofErr w:type="spellEnd"/>
      <w:r w:rsidRPr="003F07E7">
        <w:rPr>
          <w:rFonts w:ascii="Arial" w:hAnsi="Arial"/>
          <w:sz w:val="21"/>
        </w:rPr>
        <w:t>, and other industry leaders.</w:t>
      </w:r>
    </w:p>
    <w:p w:rsidR="006A2CD4" w:rsidRPr="003F07E7" w:rsidRDefault="006A2CD4" w:rsidP="004253F5">
      <w:pPr>
        <w:jc w:val="both"/>
        <w:rPr>
          <w:rFonts w:ascii="Arial" w:hAnsi="Arial"/>
          <w:sz w:val="21"/>
        </w:rPr>
      </w:pPr>
    </w:p>
    <w:p w:rsidR="006A2CD4" w:rsidRPr="003F07E7" w:rsidRDefault="006A2CD4" w:rsidP="004253F5">
      <w:pPr>
        <w:jc w:val="both"/>
        <w:rPr>
          <w:rFonts w:ascii="Arial" w:hAnsi="Arial"/>
          <w:b/>
          <w:sz w:val="21"/>
        </w:rPr>
      </w:pPr>
      <w:r w:rsidRPr="003F07E7">
        <w:rPr>
          <w:rFonts w:ascii="Arial" w:hAnsi="Arial"/>
          <w:b/>
          <w:sz w:val="21"/>
        </w:rPr>
        <w:t>For more information:</w:t>
      </w:r>
    </w:p>
    <w:p w:rsidR="006A2CD4" w:rsidRPr="003F07E7" w:rsidRDefault="006A2CD4" w:rsidP="004253F5">
      <w:pPr>
        <w:jc w:val="both"/>
        <w:rPr>
          <w:rFonts w:ascii="Arial" w:hAnsi="Arial"/>
          <w:sz w:val="21"/>
        </w:rPr>
      </w:pPr>
      <w:r w:rsidRPr="003F07E7">
        <w:rPr>
          <w:rFonts w:ascii="Arial" w:hAnsi="Arial"/>
          <w:sz w:val="21"/>
        </w:rPr>
        <w:t>Dr. Jan Groen, CEO</w:t>
      </w:r>
      <w:r w:rsidRPr="003F07E7">
        <w:rPr>
          <w:rFonts w:ascii="Arial" w:hAnsi="Arial"/>
          <w:sz w:val="21"/>
        </w:rPr>
        <w:tab/>
      </w:r>
      <w:r w:rsidRPr="003F07E7">
        <w:rPr>
          <w:rFonts w:ascii="Arial" w:hAnsi="Arial"/>
          <w:sz w:val="21"/>
        </w:rPr>
        <w:tab/>
      </w:r>
      <w:r w:rsidRPr="003F07E7">
        <w:rPr>
          <w:rFonts w:ascii="Arial" w:hAnsi="Arial"/>
          <w:sz w:val="21"/>
        </w:rPr>
        <w:tab/>
        <w:t xml:space="preserve">Hans </w:t>
      </w:r>
      <w:proofErr w:type="spellStart"/>
      <w:r w:rsidRPr="003F07E7">
        <w:rPr>
          <w:rFonts w:ascii="Arial" w:hAnsi="Arial"/>
          <w:sz w:val="21"/>
        </w:rPr>
        <w:t>Herklots</w:t>
      </w:r>
      <w:proofErr w:type="spellEnd"/>
    </w:p>
    <w:p w:rsidR="006A2CD4" w:rsidRPr="003F07E7" w:rsidRDefault="006A2CD4" w:rsidP="004253F5">
      <w:pPr>
        <w:jc w:val="both"/>
        <w:rPr>
          <w:rFonts w:ascii="Arial" w:hAnsi="Arial"/>
          <w:sz w:val="21"/>
        </w:rPr>
      </w:pPr>
      <w:proofErr w:type="spellStart"/>
      <w:r w:rsidRPr="003F07E7">
        <w:rPr>
          <w:rFonts w:ascii="Arial" w:hAnsi="Arial"/>
          <w:sz w:val="21"/>
        </w:rPr>
        <w:t>MDxHealth</w:t>
      </w:r>
      <w:proofErr w:type="spellEnd"/>
      <w:r w:rsidRPr="003F07E7">
        <w:rPr>
          <w:rFonts w:ascii="Arial" w:hAnsi="Arial"/>
          <w:sz w:val="21"/>
        </w:rPr>
        <w:tab/>
      </w:r>
      <w:r w:rsidRPr="003F07E7">
        <w:rPr>
          <w:rFonts w:ascii="Arial" w:hAnsi="Arial"/>
          <w:sz w:val="21"/>
        </w:rPr>
        <w:tab/>
      </w:r>
      <w:r w:rsidRPr="003F07E7">
        <w:rPr>
          <w:rFonts w:ascii="Arial" w:hAnsi="Arial"/>
          <w:sz w:val="21"/>
        </w:rPr>
        <w:tab/>
      </w:r>
      <w:r w:rsidRPr="003F07E7">
        <w:rPr>
          <w:rFonts w:ascii="Arial" w:hAnsi="Arial"/>
          <w:sz w:val="21"/>
        </w:rPr>
        <w:tab/>
        <w:t>Capricorn One</w:t>
      </w:r>
    </w:p>
    <w:p w:rsidR="006A2CD4" w:rsidRPr="003F07E7" w:rsidRDefault="006A2CD4" w:rsidP="004253F5">
      <w:pPr>
        <w:jc w:val="both"/>
        <w:rPr>
          <w:rFonts w:ascii="Arial" w:hAnsi="Arial"/>
          <w:sz w:val="21"/>
        </w:rPr>
      </w:pPr>
      <w:r w:rsidRPr="003F07E7">
        <w:rPr>
          <w:rFonts w:ascii="Arial" w:hAnsi="Arial"/>
          <w:sz w:val="21"/>
        </w:rPr>
        <w:t>+32 4 364 20 70</w:t>
      </w:r>
      <w:r w:rsidRPr="003F07E7">
        <w:rPr>
          <w:rFonts w:ascii="Arial" w:hAnsi="Arial"/>
          <w:sz w:val="21"/>
        </w:rPr>
        <w:tab/>
      </w:r>
      <w:r w:rsidRPr="003F07E7">
        <w:rPr>
          <w:rFonts w:ascii="Arial" w:hAnsi="Arial"/>
          <w:sz w:val="21"/>
        </w:rPr>
        <w:tab/>
      </w:r>
      <w:r w:rsidRPr="003F07E7">
        <w:rPr>
          <w:rFonts w:ascii="Arial" w:hAnsi="Arial"/>
          <w:sz w:val="21"/>
        </w:rPr>
        <w:tab/>
        <w:t>+41 79 598 7149</w:t>
      </w:r>
    </w:p>
    <w:p w:rsidR="006A2CD4" w:rsidRPr="003F07E7" w:rsidRDefault="006A2CD4" w:rsidP="004253F5">
      <w:pPr>
        <w:jc w:val="both"/>
        <w:rPr>
          <w:rFonts w:ascii="Arial" w:hAnsi="Arial"/>
          <w:sz w:val="21"/>
        </w:rPr>
      </w:pPr>
    </w:p>
    <w:p w:rsidR="006A2CD4" w:rsidRPr="003F07E7" w:rsidRDefault="006A2CD4" w:rsidP="004253F5">
      <w:pPr>
        <w:jc w:val="both"/>
        <w:rPr>
          <w:rFonts w:ascii="Arial" w:hAnsi="Arial"/>
          <w:i/>
          <w:sz w:val="21"/>
        </w:rPr>
      </w:pPr>
      <w:r w:rsidRPr="003F07E7">
        <w:rPr>
          <w:rFonts w:ascii="Arial" w:hAnsi="Arial"/>
          <w:i/>
          <w:sz w:val="21"/>
        </w:rPr>
        <w:t xml:space="preserve">This press release contains forward-looking statements and estimates with respect to the anticipated future performance of </w:t>
      </w:r>
      <w:proofErr w:type="spellStart"/>
      <w:r w:rsidRPr="003F07E7">
        <w:rPr>
          <w:rFonts w:ascii="Arial" w:hAnsi="Arial"/>
          <w:i/>
          <w:sz w:val="21"/>
        </w:rPr>
        <w:t>MDxHealth</w:t>
      </w:r>
      <w:proofErr w:type="spellEnd"/>
      <w:r w:rsidRPr="003F07E7">
        <w:rPr>
          <w:rFonts w:ascii="Arial" w:hAnsi="Arial"/>
          <w:i/>
          <w:sz w:val="21"/>
        </w:rPr>
        <w:t xml:space="preserve"> and the market in which it operates. Such statements and estimates are based on assumptions and assessments of known and unknown risks, uncertainties and other factors, which were deemed reasonable but may not prove to be correct. Actual events are difficult to predict, may depend upon factors that are beyond the Company’s control, and may turn out to be materially different. </w:t>
      </w:r>
      <w:proofErr w:type="spellStart"/>
      <w:r w:rsidRPr="003F07E7">
        <w:rPr>
          <w:rFonts w:ascii="Arial" w:hAnsi="Arial"/>
          <w:i/>
          <w:sz w:val="21"/>
        </w:rPr>
        <w:t>MDxHealth</w:t>
      </w:r>
      <w:proofErr w:type="spellEnd"/>
      <w:r w:rsidRPr="003F07E7">
        <w:rPr>
          <w:rFonts w:ascii="Arial" w:hAnsi="Arial"/>
          <w:i/>
          <w:sz w:val="21"/>
        </w:rPr>
        <w:t xml:space="preserve"> expressly disclaims any obligation to update any such forward-looking statements in this release to reflect any change in its expectations with regard thereto or any change in events, conditions or circumstances on which any such statement is based unless required by law or regulation</w:t>
      </w:r>
    </w:p>
    <w:p w:rsidR="006A2CD4" w:rsidRPr="005F024B" w:rsidRDefault="006A2CD4" w:rsidP="00A96B18">
      <w:pPr>
        <w:spacing w:before="100" w:beforeAutospacing="1" w:after="100" w:afterAutospacing="1"/>
        <w:outlineLvl w:val="4"/>
        <w:rPr>
          <w:rFonts w:ascii="Arial" w:hAnsi="Arial" w:cs="Arial"/>
          <w:b/>
          <w:sz w:val="21"/>
          <w:szCs w:val="21"/>
        </w:rPr>
      </w:pPr>
      <w:r w:rsidRPr="005F024B">
        <w:rPr>
          <w:rFonts w:ascii="Arial" w:hAnsi="Arial" w:cs="Arial"/>
          <w:b/>
          <w:sz w:val="21"/>
          <w:szCs w:val="21"/>
        </w:rPr>
        <w:t>About Cancer Research Technology</w:t>
      </w:r>
    </w:p>
    <w:p w:rsidR="006A2CD4" w:rsidRPr="005F024B" w:rsidRDefault="006A2CD4" w:rsidP="00A96B18">
      <w:pPr>
        <w:spacing w:before="100" w:beforeAutospacing="1" w:after="100" w:afterAutospacing="1"/>
        <w:jc w:val="both"/>
        <w:rPr>
          <w:rFonts w:ascii="Arial" w:hAnsi="Arial" w:cs="Arial"/>
          <w:sz w:val="21"/>
          <w:szCs w:val="21"/>
        </w:rPr>
      </w:pPr>
      <w:r w:rsidRPr="005F024B">
        <w:rPr>
          <w:rFonts w:ascii="Arial" w:hAnsi="Arial" w:cs="Arial"/>
          <w:sz w:val="21"/>
          <w:szCs w:val="21"/>
        </w:rPr>
        <w:t xml:space="preserve">Cancer Research Technology Limited (CRT) is a specialist commercialisation and development company, which aims to develop new discoveries in cancer research for the benefit of cancer patients. CRT works closely with leading international cancer scientists and their institutes to protect intellectual property arising from their research and to establish links with commercial partners. CRT facilitates the discovery, development and marketing of new cancer therapeutics, vaccines, diagnostics and enabling technologies. CRT is wholly owned by Cancer Research </w:t>
      </w:r>
      <w:smartTag w:uri="urn:schemas-microsoft-com:office:smarttags" w:element="place">
        <w:smartTag w:uri="urn:schemas-microsoft-com:office:smarttags" w:element="country-region">
          <w:r w:rsidRPr="005F024B">
            <w:rPr>
              <w:rFonts w:ascii="Arial" w:hAnsi="Arial" w:cs="Arial"/>
              <w:sz w:val="21"/>
              <w:szCs w:val="21"/>
            </w:rPr>
            <w:t>UK</w:t>
          </w:r>
        </w:smartTag>
      </w:smartTag>
      <w:r w:rsidRPr="005F024B">
        <w:rPr>
          <w:rFonts w:ascii="Arial" w:hAnsi="Arial" w:cs="Arial"/>
          <w:sz w:val="21"/>
          <w:szCs w:val="21"/>
        </w:rPr>
        <w:t>, the largest independent funder of cancer research in the world.</w:t>
      </w:r>
    </w:p>
    <w:p w:rsidR="006A2CD4" w:rsidRPr="005F024B" w:rsidRDefault="006A2CD4" w:rsidP="00A96B18">
      <w:pPr>
        <w:spacing w:before="100" w:beforeAutospacing="1" w:after="100" w:afterAutospacing="1"/>
        <w:jc w:val="both"/>
        <w:rPr>
          <w:rFonts w:ascii="Arial" w:hAnsi="Arial" w:cs="Arial"/>
          <w:sz w:val="21"/>
          <w:szCs w:val="21"/>
        </w:rPr>
      </w:pPr>
      <w:r w:rsidRPr="005F024B">
        <w:rPr>
          <w:rFonts w:ascii="Arial" w:hAnsi="Arial" w:cs="Arial"/>
          <w:sz w:val="21"/>
          <w:szCs w:val="21"/>
        </w:rPr>
        <w:t>CRT's discovery laboratories build on exploratory research to create attractive commercial opportunities through collaboration with research institutes worldwide. Therapeutic programmes are then out-licensed for further development following identification of a suitable partner.</w:t>
      </w:r>
    </w:p>
    <w:p w:rsidR="006A2CD4" w:rsidRPr="003F07E7" w:rsidRDefault="006A2CD4" w:rsidP="00324FBE">
      <w:pPr>
        <w:rPr>
          <w:rFonts w:ascii="Arial" w:hAnsi="Arial" w:cs="Arial"/>
          <w:b/>
          <w:sz w:val="21"/>
          <w:szCs w:val="21"/>
        </w:rPr>
      </w:pPr>
      <w:r w:rsidRPr="003F07E7">
        <w:rPr>
          <w:rFonts w:ascii="Arial" w:hAnsi="Arial" w:cs="Arial"/>
          <w:b/>
          <w:sz w:val="21"/>
          <w:szCs w:val="21"/>
        </w:rPr>
        <w:t xml:space="preserve">About </w:t>
      </w:r>
      <w:smartTag w:uri="urn:schemas-microsoft-com:office:smarttags" w:element="place">
        <w:smartTag w:uri="urn:schemas-microsoft-com:office:smarttags" w:element="PlaceName">
          <w:r w:rsidRPr="003F07E7">
            <w:rPr>
              <w:rFonts w:ascii="Arial" w:hAnsi="Arial" w:cs="Arial"/>
              <w:b/>
              <w:sz w:val="21"/>
              <w:szCs w:val="21"/>
            </w:rPr>
            <w:t>Newcastle</w:t>
          </w:r>
        </w:smartTag>
        <w:r w:rsidRPr="003F07E7">
          <w:rPr>
            <w:rFonts w:ascii="Arial" w:hAnsi="Arial" w:cs="Arial"/>
            <w:b/>
            <w:sz w:val="21"/>
            <w:szCs w:val="21"/>
          </w:rPr>
          <w:t xml:space="preserve"> </w:t>
        </w:r>
        <w:smartTag w:uri="urn:schemas-microsoft-com:office:smarttags" w:element="PlaceType">
          <w:r w:rsidRPr="003F07E7">
            <w:rPr>
              <w:rFonts w:ascii="Arial" w:hAnsi="Arial" w:cs="Arial"/>
              <w:b/>
              <w:sz w:val="21"/>
              <w:szCs w:val="21"/>
            </w:rPr>
            <w:t>University</w:t>
          </w:r>
        </w:smartTag>
      </w:smartTag>
    </w:p>
    <w:p w:rsidR="006A2CD4" w:rsidRPr="003F07E7" w:rsidRDefault="006A2CD4" w:rsidP="00324FBE">
      <w:pPr>
        <w:rPr>
          <w:rFonts w:ascii="Arial" w:hAnsi="Arial" w:cs="Arial"/>
          <w:sz w:val="21"/>
          <w:szCs w:val="21"/>
        </w:rPr>
      </w:pPr>
      <w:r w:rsidRPr="003F07E7">
        <w:rPr>
          <w:rFonts w:ascii="Arial" w:hAnsi="Arial" w:cs="Arial"/>
          <w:sz w:val="21"/>
          <w:szCs w:val="21"/>
        </w:rPr>
        <w:t> </w:t>
      </w:r>
    </w:p>
    <w:p w:rsidR="006A2CD4" w:rsidRPr="003F07E7" w:rsidRDefault="006A2CD4" w:rsidP="00324FBE">
      <w:pPr>
        <w:jc w:val="both"/>
        <w:rPr>
          <w:rFonts w:ascii="Arial" w:hAnsi="Arial" w:cs="Arial"/>
          <w:sz w:val="21"/>
          <w:szCs w:val="21"/>
        </w:rPr>
      </w:pPr>
      <w:smartTag w:uri="urn:schemas-microsoft-com:office:smarttags" w:element="PlaceName">
        <w:r w:rsidRPr="003F07E7">
          <w:rPr>
            <w:rFonts w:ascii="Arial" w:hAnsi="Arial" w:cs="Arial"/>
            <w:sz w:val="21"/>
            <w:szCs w:val="21"/>
          </w:rPr>
          <w:t>Newcastle</w:t>
        </w:r>
      </w:smartTag>
      <w:r w:rsidRPr="003F07E7">
        <w:rPr>
          <w:rFonts w:ascii="Arial" w:hAnsi="Arial" w:cs="Arial"/>
          <w:sz w:val="21"/>
          <w:szCs w:val="21"/>
        </w:rPr>
        <w:t xml:space="preserve"> </w:t>
      </w:r>
      <w:smartTag w:uri="urn:schemas-microsoft-com:office:smarttags" w:element="PlaceType">
        <w:r w:rsidRPr="003F07E7">
          <w:rPr>
            <w:rFonts w:ascii="Arial" w:hAnsi="Arial" w:cs="Arial"/>
            <w:sz w:val="21"/>
            <w:szCs w:val="21"/>
          </w:rPr>
          <w:t>University</w:t>
        </w:r>
      </w:smartTag>
      <w:r w:rsidRPr="003F07E7">
        <w:rPr>
          <w:rFonts w:ascii="Arial" w:hAnsi="Arial" w:cs="Arial"/>
          <w:sz w:val="21"/>
          <w:szCs w:val="21"/>
        </w:rPr>
        <w:t xml:space="preserve"> is a leading </w:t>
      </w:r>
      <w:smartTag w:uri="urn:schemas-microsoft-com:office:smarttags" w:element="place">
        <w:smartTag w:uri="urn:schemas-microsoft-com:office:smarttags" w:element="country-region">
          <w:r w:rsidRPr="003F07E7">
            <w:rPr>
              <w:rFonts w:ascii="Arial" w:hAnsi="Arial" w:cs="Arial"/>
              <w:sz w:val="21"/>
              <w:szCs w:val="21"/>
            </w:rPr>
            <w:t>UK</w:t>
          </w:r>
        </w:smartTag>
      </w:smartTag>
      <w:r w:rsidRPr="003F07E7">
        <w:rPr>
          <w:rFonts w:ascii="Arial" w:hAnsi="Arial" w:cs="Arial"/>
          <w:sz w:val="21"/>
          <w:szCs w:val="21"/>
        </w:rPr>
        <w:t xml:space="preserve"> higher education institution with a reputation for international excellence built on the quality of teaching, research and work with the community and industry. The University is a member of the Russell Group of 20 leading </w:t>
      </w:r>
      <w:smartTag w:uri="urn:schemas-microsoft-com:office:smarttags" w:element="place">
        <w:smartTag w:uri="urn:schemas-microsoft-com:office:smarttags" w:element="country-region">
          <w:r w:rsidRPr="003F07E7">
            <w:rPr>
              <w:rFonts w:ascii="Arial" w:hAnsi="Arial" w:cs="Arial"/>
              <w:sz w:val="21"/>
              <w:szCs w:val="21"/>
            </w:rPr>
            <w:t>UK</w:t>
          </w:r>
        </w:smartTag>
      </w:smartTag>
      <w:r w:rsidRPr="003F07E7">
        <w:rPr>
          <w:rFonts w:ascii="Arial" w:hAnsi="Arial" w:cs="Arial"/>
          <w:sz w:val="21"/>
          <w:szCs w:val="21"/>
        </w:rPr>
        <w:t xml:space="preserve"> universities that are committed to maintaining the very best research, an outstanding teaching and learning experience and unrivalled links with business and the public sector. The University is based in the city of </w:t>
      </w:r>
      <w:smartTag w:uri="urn:schemas-microsoft-com:office:smarttags" w:element="place">
        <w:smartTag w:uri="urn:schemas-microsoft-com:office:smarttags" w:element="City">
          <w:r w:rsidRPr="003F07E7">
            <w:rPr>
              <w:rFonts w:ascii="Arial" w:hAnsi="Arial" w:cs="Arial"/>
              <w:sz w:val="21"/>
              <w:szCs w:val="21"/>
            </w:rPr>
            <w:t>Newcastle upon Tyne</w:t>
          </w:r>
        </w:smartTag>
      </w:smartTag>
      <w:r w:rsidRPr="003F07E7">
        <w:rPr>
          <w:rFonts w:ascii="Arial" w:hAnsi="Arial" w:cs="Arial"/>
          <w:sz w:val="21"/>
          <w:szCs w:val="21"/>
        </w:rPr>
        <w:t xml:space="preserve">, in North East England.  </w:t>
      </w:r>
    </w:p>
    <w:p w:rsidR="006A2CD4" w:rsidRPr="003F07E7" w:rsidRDefault="006A2CD4" w:rsidP="00324FBE">
      <w:pPr>
        <w:rPr>
          <w:rFonts w:ascii="Arial" w:hAnsi="Arial" w:cs="Arial"/>
          <w:sz w:val="21"/>
          <w:szCs w:val="21"/>
        </w:rPr>
      </w:pPr>
      <w:r w:rsidRPr="003F07E7">
        <w:rPr>
          <w:rFonts w:ascii="Arial" w:hAnsi="Arial" w:cs="Arial"/>
          <w:sz w:val="21"/>
          <w:szCs w:val="21"/>
        </w:rPr>
        <w:t> </w:t>
      </w:r>
    </w:p>
    <w:p w:rsidR="006A2CD4" w:rsidRPr="003F07E7" w:rsidRDefault="005F024B" w:rsidP="00324FBE">
      <w:pPr>
        <w:rPr>
          <w:rFonts w:ascii="Arial" w:hAnsi="Arial" w:cs="Arial"/>
          <w:sz w:val="21"/>
          <w:szCs w:val="21"/>
        </w:rPr>
      </w:pPr>
      <w:hyperlink r:id="rId6" w:history="1">
        <w:r w:rsidR="006A2CD4" w:rsidRPr="003F07E7">
          <w:rPr>
            <w:rStyle w:val="Hyperlink"/>
            <w:rFonts w:ascii="Arial" w:hAnsi="Arial" w:cs="Arial"/>
            <w:sz w:val="21"/>
            <w:szCs w:val="21"/>
          </w:rPr>
          <w:t>http://www.ncl.ac.uk/</w:t>
        </w:r>
      </w:hyperlink>
      <w:bookmarkStart w:id="1" w:name="_GoBack"/>
      <w:bookmarkEnd w:id="1"/>
    </w:p>
    <w:p w:rsidR="006A2CD4" w:rsidRPr="00324FBE" w:rsidRDefault="005F024B" w:rsidP="00324FBE">
      <w:pPr>
        <w:rPr>
          <w:rFonts w:ascii="Arial" w:hAnsi="Arial" w:cs="Arial"/>
          <w:sz w:val="21"/>
          <w:szCs w:val="21"/>
        </w:rPr>
      </w:pPr>
      <w:hyperlink r:id="rId7" w:history="1">
        <w:r w:rsidR="006A2CD4" w:rsidRPr="003F07E7">
          <w:rPr>
            <w:rStyle w:val="Hyperlink"/>
            <w:rFonts w:ascii="Arial" w:hAnsi="Arial" w:cs="Arial"/>
            <w:sz w:val="21"/>
            <w:szCs w:val="21"/>
          </w:rPr>
          <w:t>http://www.russellgroup.ac.uk/</w:t>
        </w:r>
      </w:hyperlink>
    </w:p>
    <w:p w:rsidR="006A2CD4" w:rsidRPr="004253F5" w:rsidRDefault="006A2CD4" w:rsidP="004253F5">
      <w:pPr>
        <w:jc w:val="both"/>
        <w:rPr>
          <w:rFonts w:ascii="Arial" w:hAnsi="Arial"/>
          <w:sz w:val="21"/>
        </w:rPr>
      </w:pPr>
    </w:p>
    <w:sectPr w:rsidR="006A2CD4" w:rsidRPr="004253F5" w:rsidSect="00A73AC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EFF"/>
    <w:rsid w:val="000078C1"/>
    <w:rsid w:val="000219BC"/>
    <w:rsid w:val="00023283"/>
    <w:rsid w:val="0002777E"/>
    <w:rsid w:val="000434AB"/>
    <w:rsid w:val="000504AD"/>
    <w:rsid w:val="00053EDD"/>
    <w:rsid w:val="00057CE6"/>
    <w:rsid w:val="00066EFE"/>
    <w:rsid w:val="00077E99"/>
    <w:rsid w:val="000A08C5"/>
    <w:rsid w:val="000A0B27"/>
    <w:rsid w:val="000A3FE3"/>
    <w:rsid w:val="000B22C0"/>
    <w:rsid w:val="000D3E56"/>
    <w:rsid w:val="0010350E"/>
    <w:rsid w:val="0010379B"/>
    <w:rsid w:val="00104D2C"/>
    <w:rsid w:val="00126F61"/>
    <w:rsid w:val="0014555F"/>
    <w:rsid w:val="0015435D"/>
    <w:rsid w:val="001655F4"/>
    <w:rsid w:val="00171523"/>
    <w:rsid w:val="00177C4B"/>
    <w:rsid w:val="0018077E"/>
    <w:rsid w:val="0019100F"/>
    <w:rsid w:val="001B06DF"/>
    <w:rsid w:val="001B0A0D"/>
    <w:rsid w:val="001D0D22"/>
    <w:rsid w:val="001D268C"/>
    <w:rsid w:val="001E13F7"/>
    <w:rsid w:val="00202171"/>
    <w:rsid w:val="00211E18"/>
    <w:rsid w:val="002176B8"/>
    <w:rsid w:val="00221482"/>
    <w:rsid w:val="00223D63"/>
    <w:rsid w:val="00224EFD"/>
    <w:rsid w:val="0023565B"/>
    <w:rsid w:val="002409F9"/>
    <w:rsid w:val="00262748"/>
    <w:rsid w:val="0029688F"/>
    <w:rsid w:val="002A1884"/>
    <w:rsid w:val="002B077C"/>
    <w:rsid w:val="003220B6"/>
    <w:rsid w:val="00324FBE"/>
    <w:rsid w:val="00354DBD"/>
    <w:rsid w:val="00370E24"/>
    <w:rsid w:val="003904A1"/>
    <w:rsid w:val="00397A46"/>
    <w:rsid w:val="003B0B4E"/>
    <w:rsid w:val="003D6AA5"/>
    <w:rsid w:val="003E0744"/>
    <w:rsid w:val="003F07E7"/>
    <w:rsid w:val="00401EFF"/>
    <w:rsid w:val="00405371"/>
    <w:rsid w:val="00416D30"/>
    <w:rsid w:val="004253F5"/>
    <w:rsid w:val="00425AB1"/>
    <w:rsid w:val="00454C24"/>
    <w:rsid w:val="00461F45"/>
    <w:rsid w:val="00481793"/>
    <w:rsid w:val="00486863"/>
    <w:rsid w:val="004C5AFE"/>
    <w:rsid w:val="004D5D76"/>
    <w:rsid w:val="004D5E4D"/>
    <w:rsid w:val="004E0A1F"/>
    <w:rsid w:val="00502D48"/>
    <w:rsid w:val="0050717F"/>
    <w:rsid w:val="0051549B"/>
    <w:rsid w:val="00532E03"/>
    <w:rsid w:val="005463E5"/>
    <w:rsid w:val="005522A5"/>
    <w:rsid w:val="0056439F"/>
    <w:rsid w:val="00575224"/>
    <w:rsid w:val="00585B4F"/>
    <w:rsid w:val="005D127A"/>
    <w:rsid w:val="005E70CD"/>
    <w:rsid w:val="005E7416"/>
    <w:rsid w:val="005F024B"/>
    <w:rsid w:val="00602CA1"/>
    <w:rsid w:val="00610F79"/>
    <w:rsid w:val="00621AC1"/>
    <w:rsid w:val="00643A66"/>
    <w:rsid w:val="00665816"/>
    <w:rsid w:val="006A2CD4"/>
    <w:rsid w:val="006A6A16"/>
    <w:rsid w:val="006B7E89"/>
    <w:rsid w:val="006D0417"/>
    <w:rsid w:val="006D6E91"/>
    <w:rsid w:val="006F1D8E"/>
    <w:rsid w:val="006F68D5"/>
    <w:rsid w:val="00703B69"/>
    <w:rsid w:val="00722229"/>
    <w:rsid w:val="00735E06"/>
    <w:rsid w:val="007364C9"/>
    <w:rsid w:val="00755A67"/>
    <w:rsid w:val="00761A36"/>
    <w:rsid w:val="00763DC2"/>
    <w:rsid w:val="00794F0D"/>
    <w:rsid w:val="007A1D31"/>
    <w:rsid w:val="007B642B"/>
    <w:rsid w:val="007B661C"/>
    <w:rsid w:val="007B6C53"/>
    <w:rsid w:val="007C4060"/>
    <w:rsid w:val="007C524B"/>
    <w:rsid w:val="007E2CD0"/>
    <w:rsid w:val="007E5DD5"/>
    <w:rsid w:val="007F6577"/>
    <w:rsid w:val="008061B2"/>
    <w:rsid w:val="008164E1"/>
    <w:rsid w:val="00835ECF"/>
    <w:rsid w:val="0084049E"/>
    <w:rsid w:val="0084199E"/>
    <w:rsid w:val="00842897"/>
    <w:rsid w:val="008478DE"/>
    <w:rsid w:val="008628A2"/>
    <w:rsid w:val="008856C5"/>
    <w:rsid w:val="00892F38"/>
    <w:rsid w:val="008A27C6"/>
    <w:rsid w:val="008A6048"/>
    <w:rsid w:val="008B006C"/>
    <w:rsid w:val="008B6695"/>
    <w:rsid w:val="008C1F04"/>
    <w:rsid w:val="008C6F5C"/>
    <w:rsid w:val="009056CE"/>
    <w:rsid w:val="00905779"/>
    <w:rsid w:val="00927728"/>
    <w:rsid w:val="00933679"/>
    <w:rsid w:val="00950F7D"/>
    <w:rsid w:val="009765F9"/>
    <w:rsid w:val="0098094B"/>
    <w:rsid w:val="00984785"/>
    <w:rsid w:val="009A0C17"/>
    <w:rsid w:val="009B1D24"/>
    <w:rsid w:val="009F7DDA"/>
    <w:rsid w:val="00A02F51"/>
    <w:rsid w:val="00A114A8"/>
    <w:rsid w:val="00A153B4"/>
    <w:rsid w:val="00A20796"/>
    <w:rsid w:val="00A50C14"/>
    <w:rsid w:val="00A539A3"/>
    <w:rsid w:val="00A55010"/>
    <w:rsid w:val="00A567B5"/>
    <w:rsid w:val="00A66E3E"/>
    <w:rsid w:val="00A73ACE"/>
    <w:rsid w:val="00A86079"/>
    <w:rsid w:val="00A86388"/>
    <w:rsid w:val="00A922A6"/>
    <w:rsid w:val="00A96B18"/>
    <w:rsid w:val="00AA3386"/>
    <w:rsid w:val="00AB17E1"/>
    <w:rsid w:val="00AD2A43"/>
    <w:rsid w:val="00AD327A"/>
    <w:rsid w:val="00B046CF"/>
    <w:rsid w:val="00B06B5C"/>
    <w:rsid w:val="00B12152"/>
    <w:rsid w:val="00B20734"/>
    <w:rsid w:val="00B309FA"/>
    <w:rsid w:val="00B7535B"/>
    <w:rsid w:val="00B95A83"/>
    <w:rsid w:val="00BA2358"/>
    <w:rsid w:val="00BC3846"/>
    <w:rsid w:val="00BD0C13"/>
    <w:rsid w:val="00BD1311"/>
    <w:rsid w:val="00BF0225"/>
    <w:rsid w:val="00C03F88"/>
    <w:rsid w:val="00C2590E"/>
    <w:rsid w:val="00C25CC8"/>
    <w:rsid w:val="00C31211"/>
    <w:rsid w:val="00C36550"/>
    <w:rsid w:val="00C5293D"/>
    <w:rsid w:val="00C5318A"/>
    <w:rsid w:val="00C54A42"/>
    <w:rsid w:val="00C75A69"/>
    <w:rsid w:val="00CA2A8B"/>
    <w:rsid w:val="00CA7850"/>
    <w:rsid w:val="00CC3E0D"/>
    <w:rsid w:val="00CC6040"/>
    <w:rsid w:val="00CD1CFF"/>
    <w:rsid w:val="00CD3689"/>
    <w:rsid w:val="00CD4E89"/>
    <w:rsid w:val="00CE46A2"/>
    <w:rsid w:val="00D16D13"/>
    <w:rsid w:val="00D2627C"/>
    <w:rsid w:val="00D313EB"/>
    <w:rsid w:val="00D4042A"/>
    <w:rsid w:val="00D7124E"/>
    <w:rsid w:val="00DA0F78"/>
    <w:rsid w:val="00DB02D3"/>
    <w:rsid w:val="00DB1A17"/>
    <w:rsid w:val="00DB6483"/>
    <w:rsid w:val="00DC513B"/>
    <w:rsid w:val="00DE1D39"/>
    <w:rsid w:val="00DF4BD5"/>
    <w:rsid w:val="00E00CD3"/>
    <w:rsid w:val="00E05982"/>
    <w:rsid w:val="00E064F5"/>
    <w:rsid w:val="00E07340"/>
    <w:rsid w:val="00E21FE3"/>
    <w:rsid w:val="00E533AE"/>
    <w:rsid w:val="00E651DB"/>
    <w:rsid w:val="00E75E8A"/>
    <w:rsid w:val="00E8715F"/>
    <w:rsid w:val="00E96EED"/>
    <w:rsid w:val="00EC5E1F"/>
    <w:rsid w:val="00ED245E"/>
    <w:rsid w:val="00EE60F1"/>
    <w:rsid w:val="00EE7C77"/>
    <w:rsid w:val="00F111BA"/>
    <w:rsid w:val="00F33161"/>
    <w:rsid w:val="00F36CC4"/>
    <w:rsid w:val="00F36DF8"/>
    <w:rsid w:val="00F55D57"/>
    <w:rsid w:val="00F60F6F"/>
    <w:rsid w:val="00F639C8"/>
    <w:rsid w:val="00F73082"/>
    <w:rsid w:val="00F909CD"/>
    <w:rsid w:val="00F90B43"/>
    <w:rsid w:val="00F97D2E"/>
    <w:rsid w:val="00FB4A74"/>
    <w:rsid w:val="00FC0DEC"/>
    <w:rsid w:val="00FD27B5"/>
    <w:rsid w:val="00FF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D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B95A83"/>
    <w:rPr>
      <w:rFonts w:ascii="Tahoma" w:hAnsi="Tahoma" w:cs="Tahoma"/>
      <w:sz w:val="16"/>
      <w:szCs w:val="16"/>
    </w:rPr>
  </w:style>
  <w:style w:type="character" w:customStyle="1" w:styleId="BalloonTextChar">
    <w:name w:val="Balloon Text Char"/>
    <w:basedOn w:val="DefaultParagraphFont"/>
    <w:link w:val="BalloonText"/>
    <w:uiPriority w:val="99"/>
    <w:locked/>
    <w:rsid w:val="00B95A83"/>
    <w:rPr>
      <w:rFonts w:ascii="Tahoma" w:hAnsi="Tahoma" w:cs="Tahoma"/>
      <w:sz w:val="16"/>
      <w:szCs w:val="16"/>
    </w:rPr>
  </w:style>
  <w:style w:type="character" w:styleId="Hyperlink">
    <w:name w:val="Hyperlink"/>
    <w:basedOn w:val="DefaultParagraphFont"/>
    <w:uiPriority w:val="99"/>
    <w:semiHidden/>
    <w:rsid w:val="001B06DF"/>
    <w:rPr>
      <w:rFonts w:cs="Times New Roman"/>
      <w:color w:val="0000FF"/>
      <w:u w:val="single"/>
    </w:rPr>
  </w:style>
  <w:style w:type="character" w:styleId="CommentReference">
    <w:name w:val="annotation reference"/>
    <w:basedOn w:val="DefaultParagraphFont"/>
    <w:uiPriority w:val="99"/>
    <w:rsid w:val="00E96EED"/>
    <w:rPr>
      <w:rFonts w:cs="Times New Roman"/>
      <w:sz w:val="16"/>
      <w:szCs w:val="16"/>
    </w:rPr>
  </w:style>
  <w:style w:type="paragraph" w:styleId="CommentText">
    <w:name w:val="annotation text"/>
    <w:basedOn w:val="Normal"/>
    <w:link w:val="CommentTextChar"/>
    <w:uiPriority w:val="99"/>
    <w:rsid w:val="00E96EED"/>
    <w:rPr>
      <w:sz w:val="20"/>
      <w:szCs w:val="20"/>
    </w:rPr>
  </w:style>
  <w:style w:type="character" w:customStyle="1" w:styleId="CommentTextChar">
    <w:name w:val="Comment Text Char"/>
    <w:basedOn w:val="DefaultParagraphFont"/>
    <w:link w:val="CommentText"/>
    <w:uiPriority w:val="99"/>
    <w:locked/>
    <w:rsid w:val="00E96EED"/>
    <w:rPr>
      <w:rFonts w:cs="Times New Roman"/>
      <w:sz w:val="20"/>
      <w:szCs w:val="20"/>
    </w:rPr>
  </w:style>
  <w:style w:type="paragraph" w:styleId="CommentSubject">
    <w:name w:val="annotation subject"/>
    <w:basedOn w:val="CommentText"/>
    <w:next w:val="CommentText"/>
    <w:link w:val="CommentSubjectChar"/>
    <w:uiPriority w:val="99"/>
    <w:rsid w:val="00E96EED"/>
    <w:rPr>
      <w:b/>
      <w:bCs/>
    </w:rPr>
  </w:style>
  <w:style w:type="character" w:customStyle="1" w:styleId="CommentSubjectChar">
    <w:name w:val="Comment Subject Char"/>
    <w:basedOn w:val="CommentTextChar"/>
    <w:link w:val="CommentSubject"/>
    <w:uiPriority w:val="99"/>
    <w:locked/>
    <w:rsid w:val="00E96EED"/>
    <w:rPr>
      <w:rFonts w:cs="Times New Roman"/>
      <w:b/>
      <w:bCs/>
      <w:sz w:val="20"/>
      <w:szCs w:val="20"/>
    </w:rPr>
  </w:style>
  <w:style w:type="paragraph" w:styleId="Revision">
    <w:name w:val="Revision"/>
    <w:hidden/>
    <w:uiPriority w:val="99"/>
    <w:rsid w:val="00E96EE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D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B95A83"/>
    <w:rPr>
      <w:rFonts w:ascii="Tahoma" w:hAnsi="Tahoma" w:cs="Tahoma"/>
      <w:sz w:val="16"/>
      <w:szCs w:val="16"/>
    </w:rPr>
  </w:style>
  <w:style w:type="character" w:customStyle="1" w:styleId="BalloonTextChar">
    <w:name w:val="Balloon Text Char"/>
    <w:basedOn w:val="DefaultParagraphFont"/>
    <w:link w:val="BalloonText"/>
    <w:uiPriority w:val="99"/>
    <w:locked/>
    <w:rsid w:val="00B95A83"/>
    <w:rPr>
      <w:rFonts w:ascii="Tahoma" w:hAnsi="Tahoma" w:cs="Tahoma"/>
      <w:sz w:val="16"/>
      <w:szCs w:val="16"/>
    </w:rPr>
  </w:style>
  <w:style w:type="character" w:styleId="Hyperlink">
    <w:name w:val="Hyperlink"/>
    <w:basedOn w:val="DefaultParagraphFont"/>
    <w:uiPriority w:val="99"/>
    <w:semiHidden/>
    <w:rsid w:val="001B06DF"/>
    <w:rPr>
      <w:rFonts w:cs="Times New Roman"/>
      <w:color w:val="0000FF"/>
      <w:u w:val="single"/>
    </w:rPr>
  </w:style>
  <w:style w:type="character" w:styleId="CommentReference">
    <w:name w:val="annotation reference"/>
    <w:basedOn w:val="DefaultParagraphFont"/>
    <w:uiPriority w:val="99"/>
    <w:rsid w:val="00E96EED"/>
    <w:rPr>
      <w:rFonts w:cs="Times New Roman"/>
      <w:sz w:val="16"/>
      <w:szCs w:val="16"/>
    </w:rPr>
  </w:style>
  <w:style w:type="paragraph" w:styleId="CommentText">
    <w:name w:val="annotation text"/>
    <w:basedOn w:val="Normal"/>
    <w:link w:val="CommentTextChar"/>
    <w:uiPriority w:val="99"/>
    <w:rsid w:val="00E96EED"/>
    <w:rPr>
      <w:sz w:val="20"/>
      <w:szCs w:val="20"/>
    </w:rPr>
  </w:style>
  <w:style w:type="character" w:customStyle="1" w:styleId="CommentTextChar">
    <w:name w:val="Comment Text Char"/>
    <w:basedOn w:val="DefaultParagraphFont"/>
    <w:link w:val="CommentText"/>
    <w:uiPriority w:val="99"/>
    <w:locked/>
    <w:rsid w:val="00E96EED"/>
    <w:rPr>
      <w:rFonts w:cs="Times New Roman"/>
      <w:sz w:val="20"/>
      <w:szCs w:val="20"/>
    </w:rPr>
  </w:style>
  <w:style w:type="paragraph" w:styleId="CommentSubject">
    <w:name w:val="annotation subject"/>
    <w:basedOn w:val="CommentText"/>
    <w:next w:val="CommentText"/>
    <w:link w:val="CommentSubjectChar"/>
    <w:uiPriority w:val="99"/>
    <w:rsid w:val="00E96EED"/>
    <w:rPr>
      <w:b/>
      <w:bCs/>
    </w:rPr>
  </w:style>
  <w:style w:type="character" w:customStyle="1" w:styleId="CommentSubjectChar">
    <w:name w:val="Comment Subject Char"/>
    <w:basedOn w:val="CommentTextChar"/>
    <w:link w:val="CommentSubject"/>
    <w:uiPriority w:val="99"/>
    <w:locked/>
    <w:rsid w:val="00E96EED"/>
    <w:rPr>
      <w:rFonts w:cs="Times New Roman"/>
      <w:b/>
      <w:bCs/>
      <w:sz w:val="20"/>
      <w:szCs w:val="20"/>
    </w:rPr>
  </w:style>
  <w:style w:type="paragraph" w:styleId="Revision">
    <w:name w:val="Revision"/>
    <w:hidden/>
    <w:uiPriority w:val="99"/>
    <w:rsid w:val="00E96E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03376">
      <w:marLeft w:val="0"/>
      <w:marRight w:val="0"/>
      <w:marTop w:val="0"/>
      <w:marBottom w:val="0"/>
      <w:divBdr>
        <w:top w:val="none" w:sz="0" w:space="0" w:color="auto"/>
        <w:left w:val="none" w:sz="0" w:space="0" w:color="auto"/>
        <w:bottom w:val="none" w:sz="0" w:space="0" w:color="auto"/>
        <w:right w:val="none" w:sz="0" w:space="0" w:color="auto"/>
      </w:divBdr>
    </w:div>
    <w:div w:id="1716003379">
      <w:marLeft w:val="0"/>
      <w:marRight w:val="0"/>
      <w:marTop w:val="0"/>
      <w:marBottom w:val="0"/>
      <w:divBdr>
        <w:top w:val="none" w:sz="0" w:space="0" w:color="auto"/>
        <w:left w:val="none" w:sz="0" w:space="0" w:color="auto"/>
        <w:bottom w:val="none" w:sz="0" w:space="0" w:color="auto"/>
        <w:right w:val="none" w:sz="0" w:space="0" w:color="auto"/>
      </w:divBdr>
      <w:divsChild>
        <w:div w:id="1716003378">
          <w:marLeft w:val="0"/>
          <w:marRight w:val="0"/>
          <w:marTop w:val="0"/>
          <w:marBottom w:val="0"/>
          <w:divBdr>
            <w:top w:val="none" w:sz="0" w:space="0" w:color="auto"/>
            <w:left w:val="none" w:sz="0" w:space="0" w:color="auto"/>
            <w:bottom w:val="none" w:sz="0" w:space="0" w:color="auto"/>
            <w:right w:val="none" w:sz="0" w:space="0" w:color="auto"/>
          </w:divBdr>
          <w:divsChild>
            <w:div w:id="1716003381">
              <w:marLeft w:val="45"/>
              <w:marRight w:val="0"/>
              <w:marTop w:val="0"/>
              <w:marBottom w:val="0"/>
              <w:divBdr>
                <w:top w:val="none" w:sz="0" w:space="0" w:color="auto"/>
                <w:left w:val="none" w:sz="0" w:space="0" w:color="auto"/>
                <w:bottom w:val="none" w:sz="0" w:space="0" w:color="auto"/>
                <w:right w:val="none" w:sz="0" w:space="0" w:color="auto"/>
              </w:divBdr>
              <w:divsChild>
                <w:div w:id="1716003382">
                  <w:marLeft w:val="0"/>
                  <w:marRight w:val="0"/>
                  <w:marTop w:val="270"/>
                  <w:marBottom w:val="270"/>
                  <w:divBdr>
                    <w:top w:val="none" w:sz="0" w:space="0" w:color="auto"/>
                    <w:left w:val="none" w:sz="0" w:space="0" w:color="auto"/>
                    <w:bottom w:val="none" w:sz="0" w:space="0" w:color="auto"/>
                    <w:right w:val="none" w:sz="0" w:space="0" w:color="auto"/>
                  </w:divBdr>
                  <w:divsChild>
                    <w:div w:id="1716003377">
                      <w:marLeft w:val="300"/>
                      <w:marRight w:val="0"/>
                      <w:marTop w:val="0"/>
                      <w:marBottom w:val="0"/>
                      <w:divBdr>
                        <w:top w:val="none" w:sz="0" w:space="0" w:color="auto"/>
                        <w:left w:val="none" w:sz="0" w:space="0" w:color="auto"/>
                        <w:bottom w:val="none" w:sz="0" w:space="0" w:color="auto"/>
                        <w:right w:val="none" w:sz="0" w:space="0" w:color="auto"/>
                      </w:divBdr>
                      <w:divsChild>
                        <w:div w:id="1716003380">
                          <w:marLeft w:val="300"/>
                          <w:marRight w:val="0"/>
                          <w:marTop w:val="0"/>
                          <w:marBottom w:val="0"/>
                          <w:divBdr>
                            <w:top w:val="none" w:sz="0" w:space="0" w:color="auto"/>
                            <w:left w:val="none" w:sz="0" w:space="0" w:color="auto"/>
                            <w:bottom w:val="none" w:sz="0" w:space="0" w:color="auto"/>
                            <w:right w:val="none" w:sz="0" w:space="0" w:color="auto"/>
                          </w:divBdr>
                          <w:divsChild>
                            <w:div w:id="17160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ussellgroup.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cl.ac.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MDxHealth &amp; Pfizer CDx PARP</vt:lpstr>
    </vt:vector>
  </TitlesOfParts>
  <Company>Brought to you by Capricorn One &amp; Halsin Partners</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MDxHealth &amp; Pfizer CDx PARP</dc:title>
  <dc:creator>Hans Herklots</dc:creator>
  <cp:lastModifiedBy>Amanda Capps</cp:lastModifiedBy>
  <cp:revision>2</cp:revision>
  <dcterms:created xsi:type="dcterms:W3CDTF">2011-01-30T15:17:00Z</dcterms:created>
  <dcterms:modified xsi:type="dcterms:W3CDTF">2011-01-30T15:17:00Z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oFAAohepTGvwTLitkKY+z+S5OIYcnd903bdLELM0biCRb+ao1Xy9nSrfsxJ9AsCs7txDw9qV6BizndZLMfKgm71tgRPTTjqNOw7CTZv1hsye9jrmskuiZ5l4bcAa46XjB+wavFE8j6isvh5MCGoQwAKkAgY2y9D66BvDwlFUogMbhaHJLNjAwORX9SyFMA0zMO/Y314qa6h2FsmJI+y0H3kl6RZDQ9DcWEk8zu52qpaImsMwVwFEDwoV7</vt:lpwstr>
  </property>
  <property fmtid="{D5CDD505-2E9C-101B-9397-08002B2CF9AE}" pid="3" name="MAIL_MSG_ID2">
    <vt:lpwstr>MHeJks9OW8pmzeM4BZ/3RhmTefh04GmqXP64jFZ4N4YiBTyXnvdgO76lHXhD7PjgEcdtcEdai+b8QfOsDtHjbDf/erQwCaYg/gwbxSyxq1x</vt:lpwstr>
  </property>
  <property fmtid="{D5CDD505-2E9C-101B-9397-08002B2CF9AE}" pid="4" name="RESPONSE_SENDER_NAME">
    <vt:lpwstr>sAAAGYoQX4c3X/L7X0lytfvFy19aAdp8CNQEHlfI8wo0jGo=</vt:lpwstr>
  </property>
  <property fmtid="{D5CDD505-2E9C-101B-9397-08002B2CF9AE}" pid="5" name="EMAIL_OWNER_ADDRESS">
    <vt:lpwstr>4AAA6DouqOs9baGIxUGP4u0hxZId0Lkzy91Wd9ZZoD3B98vYi3vEV3i5dw==</vt:lpwstr>
  </property>
</Properties>
</file>