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8B5" w:rsidRPr="001A68B5" w:rsidRDefault="001A68B5" w:rsidP="001A6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Software </w:t>
      </w:r>
      <w:proofErr w:type="spellStart"/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Configuration</w:t>
      </w:r>
      <w:proofErr w:type="spellEnd"/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Management Plan 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A68B5" w:rsidRPr="001A68B5" w:rsidTr="001A68B5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Introduction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1.1 Purpose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1.2 Scope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1.3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Key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terms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1.4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References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Introduction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scope and audience of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key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references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 Management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2.1 Organization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2.2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Responsibilities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Management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organization of the project (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which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can be a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reference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corresponding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</w:t>
            </w:r>
            <w:hyperlink r:id="rId5" w:history="1">
              <w:r w:rsidRPr="001A68B5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it-IT"/>
                </w:rPr>
                <w:t>Software</w:t>
              </w:r>
              <w:proofErr w:type="spellEnd"/>
              <w:r w:rsidRPr="001A68B5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it-IT"/>
                </w:rPr>
                <w:t xml:space="preserve"> Project Management Plan</w:t>
              </w:r>
            </w:hyperlink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;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see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 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begin"/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instrText xml:space="preserve"> HYPERLINK "https://ase.in.tum.de/lehrstuhl_1/component/content/article/43-books/236" </w:instrText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separate"/>
            </w:r>
            <w:r w:rsidRPr="001A68B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  <w:u w:val="single"/>
                <w:lang w:eastAsia="it-IT"/>
              </w:rPr>
              <w:t>Chapter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  <w:u w:val="single"/>
                <w:lang w:eastAsia="it-IT"/>
              </w:rPr>
              <w:t xml:space="preserve"> 14, Project Management</w:t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end"/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)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assigned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within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organization.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Activities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detail the identification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items, the change control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creating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releases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for auditing, and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status accounting.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these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assigned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a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role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management section.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4. Schedule</w:t>
            </w:r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Schedule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denotes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when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take place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coordinated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particular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which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point changes can be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requested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approved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through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formal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change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Resources</w:t>
            </w:r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Resources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tools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techniques, equipment,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personnel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training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necessary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accomplishing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6. Plan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Maintenance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Finally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Plan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Maintenance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SCMP,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itself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under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maintained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revised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particular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details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person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responsible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maintenance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the frequency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updates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the change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updating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plan.</w:t>
            </w:r>
          </w:p>
        </w:tc>
      </w:tr>
    </w:tbl>
    <w:p w:rsidR="00983776" w:rsidRDefault="00983776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Pr="00506D8E" w:rsidRDefault="001A68B5" w:rsidP="001A68B5">
      <w:pPr>
        <w:jc w:val="center"/>
        <w:rPr>
          <w:rFonts w:asciiTheme="majorHAnsi" w:hAnsiTheme="majorHAnsi" w:cstheme="majorHAnsi"/>
          <w:sz w:val="48"/>
          <w:szCs w:val="28"/>
        </w:rPr>
      </w:pPr>
      <w:bookmarkStart w:id="0" w:name="_Hlk1392462"/>
      <w:r w:rsidRPr="00506D8E">
        <w:rPr>
          <w:rFonts w:asciiTheme="majorHAnsi" w:hAnsiTheme="majorHAnsi" w:cstheme="majorHAnsi"/>
          <w:sz w:val="48"/>
          <w:szCs w:val="28"/>
        </w:rPr>
        <w:lastRenderedPageBreak/>
        <w:t>Progetto di Ingegneria del software</w:t>
      </w:r>
    </w:p>
    <w:p w:rsidR="001A68B5" w:rsidRPr="00506D8E" w:rsidRDefault="001A68B5" w:rsidP="001A68B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Pr="00506D8E" w:rsidRDefault="001A68B5" w:rsidP="001A68B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618F306" wp14:editId="363032ED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B5" w:rsidRPr="00506D8E" w:rsidRDefault="001A68B5" w:rsidP="001A68B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1A68B5" w:rsidRPr="00506D8E" w:rsidRDefault="001A68B5" w:rsidP="001A68B5">
      <w:pPr>
        <w:rPr>
          <w:rFonts w:asciiTheme="majorHAnsi" w:hAnsiTheme="majorHAnsi" w:cstheme="majorHAnsi"/>
          <w:noProof/>
        </w:rPr>
      </w:pPr>
    </w:p>
    <w:p w:rsidR="001A68B5" w:rsidRPr="00506D8E" w:rsidRDefault="001A68B5" w:rsidP="001A68B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21E90C7" wp14:editId="19A5049A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68B5" w:rsidRPr="00506D8E" w:rsidRDefault="001A68B5" w:rsidP="001A68B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1A68B5" w:rsidRPr="00506D8E" w:rsidTr="00667592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31125B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1A68B5" w:rsidRPr="00506D8E" w:rsidRDefault="001A68B5" w:rsidP="001A68B5">
      <w:pPr>
        <w:rPr>
          <w:rFonts w:asciiTheme="majorHAnsi" w:hAnsiTheme="majorHAnsi" w:cstheme="majorHAnsi"/>
        </w:rPr>
      </w:pPr>
    </w:p>
    <w:bookmarkEnd w:id="0"/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Pr="001A68B5" w:rsidRDefault="001A68B5" w:rsidP="001A68B5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it-IT"/>
        </w:rPr>
      </w:pPr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lastRenderedPageBreak/>
        <w:t xml:space="preserve">Software </w:t>
      </w:r>
      <w:proofErr w:type="spellStart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Configuration</w:t>
      </w:r>
      <w:proofErr w:type="spellEnd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 xml:space="preserve"> </w:t>
      </w:r>
      <w:proofErr w:type="gramStart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 xml:space="preserve">Management  </w:t>
      </w:r>
      <w:proofErr w:type="spellStart"/>
      <w: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Document</w:t>
      </w:r>
      <w:proofErr w:type="spellEnd"/>
      <w:proofErr w:type="gramEnd"/>
    </w:p>
    <w:p w:rsidR="001A68B5" w:rsidRPr="00506D8E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</w:tblGrid>
      <w:tr w:rsidR="001A68B5" w:rsidRPr="001A68B5" w:rsidTr="001A68B5">
        <w:trPr>
          <w:tblCellSpacing w:w="15" w:type="dxa"/>
        </w:trPr>
        <w:tc>
          <w:tcPr>
            <w:tcW w:w="4938" w:type="pct"/>
            <w:vAlign w:val="center"/>
            <w:hideMark/>
          </w:tcPr>
          <w:p w:rsidR="001A68B5" w:rsidRPr="001A68B5" w:rsidRDefault="001A68B5" w:rsidP="00667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1A68B5" w:rsidRDefault="001A68B5" w:rsidP="001A68B5">
      <w:pPr>
        <w:pStyle w:val="Paragrafoelenco"/>
        <w:numPr>
          <w:ilvl w:val="0"/>
          <w:numId w:val="2"/>
        </w:numPr>
      </w:pPr>
      <w:r>
        <w:t>Introduzione</w:t>
      </w:r>
    </w:p>
    <w:p w:rsidR="001A68B5" w:rsidRDefault="00F945FB" w:rsidP="00F945FB">
      <w:pPr>
        <w:pStyle w:val="Paragrafoelenco"/>
        <w:numPr>
          <w:ilvl w:val="1"/>
          <w:numId w:val="2"/>
        </w:numPr>
      </w:pPr>
      <w:r>
        <w:t>Scopo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Parole chiave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Riferimenti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Management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Organizzazione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Responsabilità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Attività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Pianificazione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Risorse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Piano di manutenzione</w:t>
      </w:r>
    </w:p>
    <w:p w:rsidR="001A68B5" w:rsidRDefault="001A68B5" w:rsidP="001A68B5">
      <w:pPr>
        <w:pStyle w:val="Paragrafoelenco"/>
        <w:ind w:left="1440"/>
      </w:pPr>
    </w:p>
    <w:p w:rsidR="001A68B5" w:rsidRDefault="001A68B5" w:rsidP="001A68B5"/>
    <w:p w:rsidR="0091371F" w:rsidRDefault="0091371F" w:rsidP="001A68B5"/>
    <w:p w:rsidR="0091371F" w:rsidRDefault="0091371F" w:rsidP="001A68B5"/>
    <w:p w:rsidR="0091371F" w:rsidRDefault="0091371F" w:rsidP="001A68B5">
      <w:bookmarkStart w:id="1" w:name="_GoBack"/>
      <w:bookmarkEnd w:id="1"/>
    </w:p>
    <w:p w:rsidR="0091371F" w:rsidRDefault="0091371F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4B3091" w:rsidRDefault="004B3091" w:rsidP="0091371F">
      <w:pPr>
        <w:rPr>
          <w:rFonts w:asciiTheme="majorHAnsi" w:hAnsiTheme="majorHAnsi" w:cstheme="majorHAnsi"/>
          <w:sz w:val="24"/>
          <w:u w:val="single"/>
        </w:rPr>
      </w:pPr>
    </w:p>
    <w:p w:rsidR="004B3091" w:rsidRPr="00506D8E" w:rsidRDefault="004B3091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</w:p>
    <w:p w:rsidR="0091371F" w:rsidRPr="00B40B21" w:rsidRDefault="0091371F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  <w:r w:rsidRPr="00B40B21">
        <w:rPr>
          <w:rFonts w:asciiTheme="majorHAnsi" w:hAnsiTheme="majorHAnsi" w:cstheme="majorHAnsi"/>
          <w:b/>
          <w:bCs/>
          <w:sz w:val="28"/>
          <w:szCs w:val="28"/>
        </w:rPr>
        <w:t>1. Introduzione</w:t>
      </w:r>
    </w:p>
    <w:p w:rsidR="0091371F" w:rsidRPr="00F945FB" w:rsidRDefault="0091371F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0B21">
        <w:rPr>
          <w:rFonts w:asciiTheme="majorHAnsi" w:hAnsiTheme="majorHAnsi" w:cstheme="majorHAnsi"/>
          <w:b/>
          <w:bCs/>
          <w:sz w:val="28"/>
          <w:szCs w:val="28"/>
        </w:rPr>
        <w:t>1.</w:t>
      </w:r>
      <w:proofErr w:type="gramStart"/>
      <w:r w:rsidRPr="00B40B21">
        <w:rPr>
          <w:rFonts w:asciiTheme="majorHAnsi" w:hAnsiTheme="majorHAnsi" w:cstheme="majorHAnsi"/>
          <w:b/>
          <w:bCs/>
          <w:sz w:val="28"/>
          <w:szCs w:val="28"/>
        </w:rPr>
        <w:t>1.Scopo</w:t>
      </w:r>
      <w:proofErr w:type="gramEnd"/>
      <w:r w:rsidRPr="00B40B21">
        <w:rPr>
          <w:rFonts w:asciiTheme="majorHAnsi" w:hAnsiTheme="majorHAnsi" w:cstheme="majorHAnsi"/>
          <w:b/>
          <w:bCs/>
          <w:sz w:val="28"/>
          <w:szCs w:val="28"/>
        </w:rPr>
        <w:t xml:space="preserve"> del </w:t>
      </w:r>
      <w:r w:rsidR="00F945FB">
        <w:rPr>
          <w:rFonts w:asciiTheme="majorHAnsi" w:hAnsiTheme="majorHAnsi" w:cstheme="majorHAnsi"/>
          <w:b/>
          <w:bCs/>
          <w:sz w:val="28"/>
          <w:szCs w:val="28"/>
        </w:rPr>
        <w:t>documento</w:t>
      </w:r>
    </w:p>
    <w:p w:rsidR="001A68B5" w:rsidRDefault="0091371F" w:rsidP="00F945FB">
      <w:pPr>
        <w:pStyle w:val="Standard"/>
        <w:rPr>
          <w:rFonts w:asciiTheme="majorHAnsi" w:hAnsiTheme="majorHAnsi" w:cstheme="majorHAnsi"/>
          <w:bCs/>
          <w:sz w:val="28"/>
          <w:szCs w:val="28"/>
        </w:rPr>
      </w:pPr>
      <w:r w:rsidRPr="00B40B21">
        <w:rPr>
          <w:rFonts w:asciiTheme="majorHAnsi" w:hAnsiTheme="majorHAnsi" w:cstheme="majorHAnsi"/>
          <w:bCs/>
          <w:sz w:val="28"/>
          <w:szCs w:val="28"/>
        </w:rPr>
        <w:t>Gli obiettivi d</w:t>
      </w:r>
      <w:r w:rsidR="00F945FB">
        <w:rPr>
          <w:rFonts w:asciiTheme="majorHAnsi" w:hAnsiTheme="majorHAnsi" w:cstheme="majorHAnsi"/>
          <w:bCs/>
          <w:sz w:val="28"/>
          <w:szCs w:val="28"/>
        </w:rPr>
        <w:t>i questo documento sono</w:t>
      </w:r>
      <w:r w:rsidR="00C9685F">
        <w:rPr>
          <w:rFonts w:asciiTheme="majorHAnsi" w:hAnsiTheme="majorHAnsi" w:cstheme="majorHAnsi"/>
          <w:bCs/>
          <w:sz w:val="28"/>
          <w:szCs w:val="28"/>
        </w:rPr>
        <w:t xml:space="preserve"> la pianificazione delle varie attività di testing sul sistema appena realizzato.</w:t>
      </w:r>
      <w:r w:rsidR="00B35C67">
        <w:rPr>
          <w:rFonts w:asciiTheme="majorHAnsi" w:hAnsiTheme="majorHAnsi" w:cstheme="majorHAnsi"/>
          <w:bCs/>
          <w:sz w:val="28"/>
          <w:szCs w:val="28"/>
        </w:rPr>
        <w:t xml:space="preserve"> Verranno individuati i vari elementi del sistema </w:t>
      </w:r>
      <w:proofErr w:type="spellStart"/>
      <w:r w:rsidR="00B35C67">
        <w:rPr>
          <w:rFonts w:asciiTheme="majorHAnsi" w:hAnsiTheme="majorHAnsi" w:cstheme="majorHAnsi"/>
          <w:bCs/>
          <w:sz w:val="28"/>
          <w:szCs w:val="28"/>
        </w:rPr>
        <w:t>CarCheck</w:t>
      </w:r>
      <w:proofErr w:type="spellEnd"/>
      <w:r w:rsidR="00B35C67">
        <w:rPr>
          <w:rFonts w:asciiTheme="majorHAnsi" w:hAnsiTheme="majorHAnsi" w:cstheme="majorHAnsi"/>
          <w:bCs/>
          <w:sz w:val="28"/>
          <w:szCs w:val="28"/>
        </w:rPr>
        <w:t xml:space="preserve"> che dovranno essere testati e saranno scelte le varie strategie di testing da utilizzare.</w:t>
      </w:r>
      <w:r w:rsidR="000C76FD">
        <w:rPr>
          <w:rFonts w:asciiTheme="majorHAnsi" w:hAnsiTheme="majorHAnsi" w:cstheme="majorHAnsi"/>
          <w:bCs/>
          <w:sz w:val="28"/>
          <w:szCs w:val="28"/>
        </w:rPr>
        <w:t xml:space="preserve"> Altri fattori da tenere sotto considerazione saranno le risorse utilizzate per effettuare tali attività.</w:t>
      </w:r>
      <w:r w:rsidR="004B3E5D">
        <w:rPr>
          <w:rFonts w:asciiTheme="majorHAnsi" w:hAnsiTheme="majorHAnsi" w:cstheme="majorHAnsi"/>
          <w:bCs/>
          <w:sz w:val="28"/>
          <w:szCs w:val="28"/>
        </w:rPr>
        <w:t xml:space="preserve"> L’obiettivo principale del testing sarà quello di individuare malfunzionamenti e fault.</w:t>
      </w:r>
      <w:r w:rsidR="00A90D84">
        <w:rPr>
          <w:rFonts w:asciiTheme="majorHAnsi" w:hAnsiTheme="majorHAnsi" w:cstheme="majorHAnsi"/>
          <w:bCs/>
          <w:sz w:val="28"/>
          <w:szCs w:val="28"/>
        </w:rPr>
        <w:t xml:space="preserve"> Questo è importante perché permette di correggere tali errori individuati prima di rilasciare il software al cliente.</w:t>
      </w:r>
    </w:p>
    <w:p w:rsidR="00BC2268" w:rsidRPr="00BC2268" w:rsidRDefault="00BC2268" w:rsidP="00F945FB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2.1 Management</w:t>
      </w: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204A49" w:rsidRDefault="00881B97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2.1 Organizzazione</w:t>
      </w:r>
    </w:p>
    <w:p w:rsidR="00CF6C28" w:rsidRDefault="00FA37BC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lavoro sarà equamente distribuito tra i componenti del team, e le varie attività verranno svolte in concomitanza in una delle aule disponibili o biblioteche</w:t>
      </w:r>
      <w:r w:rsidR="00E4639A">
        <w:rPr>
          <w:rFonts w:asciiTheme="majorHAnsi" w:hAnsiTheme="majorHAnsi" w:cstheme="majorHAnsi"/>
          <w:sz w:val="26"/>
          <w:szCs w:val="26"/>
        </w:rPr>
        <w:t xml:space="preserve"> dell’università degli studi di Salerno.</w:t>
      </w:r>
    </w:p>
    <w:p w:rsidR="00CF6C28" w:rsidRDefault="00CF6C28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3 Attività</w:t>
      </w: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3.1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0267DB">
        <w:rPr>
          <w:rFonts w:asciiTheme="majorHAnsi" w:hAnsiTheme="majorHAnsi" w:cstheme="majorHAnsi"/>
          <w:b/>
          <w:sz w:val="26"/>
          <w:szCs w:val="26"/>
        </w:rPr>
        <w:t>Funzionalità da testare e da non testare</w:t>
      </w:r>
    </w:p>
    <w:p w:rsidR="009350B0" w:rsidRDefault="009350B0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9350B0" w:rsidRDefault="009350B0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0F2F6B" w:rsidRDefault="000F2F6B" w:rsidP="006B73E4">
      <w:pPr>
        <w:pStyle w:val="Default"/>
        <w:rPr>
          <w:sz w:val="28"/>
          <w:szCs w:val="28"/>
        </w:rPr>
      </w:pPr>
    </w:p>
    <w:p w:rsidR="006B73E4" w:rsidRDefault="006B73E4" w:rsidP="006B73E4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157D7B" w:rsidRDefault="00157D7B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157D7B" w:rsidRPr="000267DB" w:rsidRDefault="00157D7B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5 Risorse</w:t>
      </w:r>
    </w:p>
    <w:sectPr w:rsidR="00157D7B" w:rsidRPr="00026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A74"/>
    <w:multiLevelType w:val="hybridMultilevel"/>
    <w:tmpl w:val="80E443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C0D"/>
    <w:multiLevelType w:val="hybridMultilevel"/>
    <w:tmpl w:val="3AC624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B5"/>
    <w:rsid w:val="000267DB"/>
    <w:rsid w:val="000C76FD"/>
    <w:rsid w:val="000F2F6B"/>
    <w:rsid w:val="00157D7B"/>
    <w:rsid w:val="001A68B5"/>
    <w:rsid w:val="00204A49"/>
    <w:rsid w:val="00295D63"/>
    <w:rsid w:val="0031125B"/>
    <w:rsid w:val="004B3091"/>
    <w:rsid w:val="004B3E5D"/>
    <w:rsid w:val="006B73E4"/>
    <w:rsid w:val="00881B97"/>
    <w:rsid w:val="0091371F"/>
    <w:rsid w:val="009350B0"/>
    <w:rsid w:val="00962179"/>
    <w:rsid w:val="0097246C"/>
    <w:rsid w:val="00983776"/>
    <w:rsid w:val="00A90D84"/>
    <w:rsid w:val="00B35C67"/>
    <w:rsid w:val="00B82CDF"/>
    <w:rsid w:val="00BC2268"/>
    <w:rsid w:val="00C9685F"/>
    <w:rsid w:val="00CF6C28"/>
    <w:rsid w:val="00D44D7D"/>
    <w:rsid w:val="00DB7D82"/>
    <w:rsid w:val="00E4639A"/>
    <w:rsid w:val="00F945FB"/>
    <w:rsid w:val="00F97839"/>
    <w:rsid w:val="00F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DFA5"/>
  <w15:chartTrackingRefBased/>
  <w15:docId w15:val="{E120286C-4BAE-487B-A177-6490AA9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A6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8B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A68B5"/>
    <w:rPr>
      <w:b/>
      <w:bCs/>
    </w:rPr>
  </w:style>
  <w:style w:type="character" w:styleId="Enfasicorsivo">
    <w:name w:val="Emphasis"/>
    <w:basedOn w:val="Carpredefinitoparagrafo"/>
    <w:uiPriority w:val="20"/>
    <w:qFormat/>
    <w:rsid w:val="001A68B5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1A68B5"/>
    <w:rPr>
      <w:color w:val="0000FF"/>
      <w:u w:val="single"/>
    </w:rPr>
  </w:style>
  <w:style w:type="paragraph" w:customStyle="1" w:styleId="Standard">
    <w:name w:val="Standard"/>
    <w:rsid w:val="001A68B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A68B5"/>
    <w:pPr>
      <w:suppressLineNumbers/>
    </w:pPr>
  </w:style>
  <w:style w:type="paragraph" w:customStyle="1" w:styleId="Normale1">
    <w:name w:val="Normale1"/>
    <w:rsid w:val="001A68B5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1A68B5"/>
    <w:pPr>
      <w:ind w:left="720"/>
      <w:contextualSpacing/>
    </w:pPr>
  </w:style>
  <w:style w:type="paragraph" w:customStyle="1" w:styleId="Default">
    <w:name w:val="Default"/>
    <w:rsid w:val="00B35C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e.in.tum.de/lehrstuhl_1/component/content/article/43-books/2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25</cp:revision>
  <dcterms:created xsi:type="dcterms:W3CDTF">2019-02-17T16:40:00Z</dcterms:created>
  <dcterms:modified xsi:type="dcterms:W3CDTF">2019-02-18T13:30:00Z</dcterms:modified>
</cp:coreProperties>
</file>