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UC_A13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Modificare Amministratore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L’amministratore, si rende conto che le informazioni di un amministratore sono errate quindi devono essere corrette 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seleziona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dal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menu laterale la categoria “Gestione Amministratori”.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dove è presente una lista di tutti gli amministratori.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Cerca l’amministratore scorrendo la lista o semplicemente digitando il suo indirizzo mail nell’apposita barra di ricerca.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sul pulsante “Modifica”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che mostra i dati dell’amministratore: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Nome e cognome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Email</w:t>
            </w:r>
            <w:proofErr w:type="gramEnd"/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Password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Permessi per Gestione Amministratori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cliccando sull’area di testo attiva il cursore e modifica i dati scorretti”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“Modifica”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 dati di un amministratore subiranno una modifica</w:t>
            </w:r>
          </w:p>
        </w:tc>
      </w:tr>
      <w:tr w:rsidR="00837C20">
        <w:trPr>
          <w:trHeight w:val="44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Default="001D5A26">
            <w:pPr>
              <w:pStyle w:val="Normale1"/>
              <w:ind w:left="708" w:hanging="708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Style w:val="Carpredefinitoparagrafo1"/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7, si viene rimandati al caso d’uso: EX_30</w:t>
            </w:r>
          </w:p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8, si viene rimandati al caso d’uso: EX_06</w:t>
            </w:r>
          </w:p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8, si viene rimandati al caso d’uso: EX_16</w:t>
            </w:r>
          </w:p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9, si viene rimandati al caso d’uso: EX_15</w:t>
            </w:r>
          </w:p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9, si viene rimandati al caso d’uso: EX_17</w:t>
            </w: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UC_A14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Eliminare un Amministratore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che hanno i permessi di “Gestione Amministratori”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ha ricevuto la lettera di dimissioni di un altro amministratore quindi procederà con l’eliminazione del profilo dal sistema.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Amministratori”.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dove è presente una lista di tutti gli amministratori.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Cerca l’amministratore scorrendo la lista o semplicemente digitando il suo indirizzo mail nell’apposita barra di ricerca.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sul pulsante “Modifica”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che mostra i dati dell’amministratore: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Nome e cognome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Email</w:t>
            </w:r>
            <w:proofErr w:type="gramEnd"/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Password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Permessi per Gestione Amministratori</w:t>
            </w:r>
          </w:p>
          <w:p w:rsidR="00837C20" w:rsidRDefault="001D5A26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       15.L’amministratore preme sul pulsante “Elimina”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 amministratore verrà eliminato dal sistema</w:t>
            </w:r>
          </w:p>
        </w:tc>
      </w:tr>
      <w:tr w:rsidR="00837C20">
        <w:trPr>
          <w:trHeight w:val="59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Default="001D5A26">
            <w:pPr>
              <w:pStyle w:val="Normale1"/>
              <w:ind w:left="708" w:hanging="708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Style w:val="Carpredefinitoparagrafo1"/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rPr>
          <w:trHeight w:val="41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UC_A15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Approvazione Officina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Amministratori, Responsabile Officina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Tecnico si reca nell’Officina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interessata .</w:t>
            </w:r>
            <w:proofErr w:type="gramEnd"/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Controlla gli standard qualitativi dell’Officina.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riceve una segnalazione che conferma gli standard qualitativi di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 officina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reca nella sezione Richieste.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schermata seleziona “Richieste in Sospeso”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con una lista di tutte le richieste in sospeso.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Scorre la lista e trova l’Officina di suo interesse.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“Approva”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una Mail comunicando la password d’accesso temporanea all’Officina interessata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Responsabile dell’officina Effettua il login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Clicca su Conferma</w:t>
            </w:r>
          </w:p>
          <w:p w:rsidR="00837C20" w:rsidRDefault="00837C20">
            <w:pPr>
              <w:pStyle w:val="Paragrafoelenco1"/>
              <w:ind w:left="36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è loggato 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avrà libero accesso al pannello di controllo</w:t>
            </w:r>
          </w:p>
        </w:tc>
      </w:tr>
      <w:tr w:rsidR="00837C20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Default="001D5A26">
            <w:pPr>
              <w:pStyle w:val="Normale1"/>
              <w:ind w:left="708" w:hanging="708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Style w:val="Carpredefinitoparagrafo1"/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10, si viene rimandati al caso d’uso: EX_13</w:t>
            </w:r>
          </w:p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12, si viene rimandati al caso d’uso: EX_15</w:t>
            </w: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UC_A16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non rispetta gli standard Qualitativi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,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Officina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riceve una segnalazione che indica la mancanza con la relativa descrizione di alcuni standard qualitativi.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reca nella sezione Richieste.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schermata seleziona “Richieste in Sospeso”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con una lista di tutte le richieste in sospeso.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Scorre la lista e trova l’Officina di suo interesse.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15.L’amministratore preme sul pulsante “Rifiuta”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Form che permette di digitare in maniera descrittiva gli standard che non sono rispettati.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inserisce la descrizione nel campo Motivo del Rifiuto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 “Invia Email” così facendo.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richiesta verrà immediatamente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cancellata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dal sistema.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una mail che descrive tutti gli standard mancanti all’azienda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 l’officina compenserà gli standard dovrà effettuare nuovamente la richiesta </w:t>
            </w:r>
          </w:p>
          <w:p w:rsidR="00837C20" w:rsidRDefault="00837C20">
            <w:pPr>
              <w:pStyle w:val="Paragrafoelenco1"/>
              <w:ind w:left="36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 e richiesta dell’Officina è stata respinta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la mail che descrive i motivi del rifiuto</w:t>
            </w:r>
          </w:p>
        </w:tc>
      </w:tr>
      <w:tr w:rsidR="00837C20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Default="001D5A26">
            <w:pPr>
              <w:pStyle w:val="Normale1"/>
              <w:ind w:left="708" w:hanging="708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Style w:val="Carpredefinitoparagrafo1"/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30, si viene rimandati al caso d’uso: EX_12</w:t>
            </w:r>
          </w:p>
          <w:p w:rsidR="00837C20" w:rsidRDefault="00837C20">
            <w:pPr>
              <w:pStyle w:val="Paragrafoelenco1"/>
              <w:ind w:left="36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E62241" w:rsidRDefault="00E62241"/>
    <w:p w:rsidR="00E62241" w:rsidRDefault="00E62241"/>
    <w:p w:rsidR="00E62241" w:rsidRDefault="00E62241"/>
    <w:p w:rsidR="00E62241" w:rsidRDefault="00E62241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62241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UC_A17</w:t>
            </w:r>
          </w:p>
        </w:tc>
      </w:tr>
      <w:tr w:rsidR="00E62241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Logout</w:t>
            </w:r>
            <w:proofErr w:type="spellEnd"/>
          </w:p>
        </w:tc>
      </w:tr>
      <w:tr w:rsidR="00E62241" w:rsidTr="00CF368D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oppure Officina</w:t>
            </w:r>
          </w:p>
        </w:tc>
      </w:tr>
      <w:tr w:rsidR="00E62241" w:rsidTr="00CF368D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E62241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 questo momento in poi l’attore del caso d’uso verrà identificato con il nome di Utente.</w:t>
            </w:r>
          </w:p>
          <w:p w:rsidR="00E62241" w:rsidRDefault="00E62241" w:rsidP="00E62241">
            <w:pPr>
              <w:pStyle w:val="Paragrafoelenco1"/>
              <w:numPr>
                <w:ilvl w:val="0"/>
                <w:numId w:val="7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terminate tutte le attività decide di uscire dal sistema.</w:t>
            </w:r>
          </w:p>
          <w:p w:rsidR="00E62241" w:rsidRDefault="00E62241" w:rsidP="00E62241">
            <w:pPr>
              <w:pStyle w:val="Paragrafoelenco1"/>
              <w:numPr>
                <w:ilvl w:val="0"/>
                <w:numId w:val="7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Effettua il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logout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</w:tc>
      </w:tr>
      <w:tr w:rsidR="00E62241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 e richiesta dell’Officina è stata respinta</w:t>
            </w:r>
          </w:p>
        </w:tc>
      </w:tr>
      <w:tr w:rsidR="00E62241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la mail che descrive i motivi del rifiuto</w:t>
            </w:r>
          </w:p>
        </w:tc>
      </w:tr>
      <w:tr w:rsidR="00E62241" w:rsidTr="00CF368D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E62241" w:rsidRDefault="00E62241" w:rsidP="00CF368D">
            <w:pPr>
              <w:pStyle w:val="Normale1"/>
              <w:ind w:left="708" w:hanging="708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Style w:val="Carpredefinitoparagrafo1"/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62241" w:rsidTr="00E62241">
        <w:trPr>
          <w:trHeight w:val="50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E62241">
            <w:pPr>
              <w:pStyle w:val="Paragrafoelenco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FA7C99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EX_30</w:t>
            </w:r>
          </w:p>
        </w:tc>
      </w:tr>
      <w:tr w:rsidR="00FA7C99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Errore nella validazione del campo “Nome e Cognome dell’Amministratore”</w:t>
            </w:r>
          </w:p>
        </w:tc>
      </w:tr>
      <w:tr w:rsidR="00FA7C99" w:rsidTr="00CF368D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FA7C99" w:rsidTr="00CF368D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non ha rispettato il formato richiesto per il campo “Nome e Cognome”: il campo deve contenere almeno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3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caratteri.</w:t>
            </w:r>
          </w:p>
          <w:p w:rsidR="00FA7C99" w:rsidRDefault="00FA7C99" w:rsidP="00CF368D">
            <w:pPr>
              <w:pStyle w:val="Paragrafoelenco"/>
              <w:numPr>
                <w:ilvl w:val="0"/>
                <w:numId w:val="6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del campo “Nome e Cognome” e viene mostrato sopra di esso un messaggio che dice “Nome e Cognome non validi”</w:t>
            </w:r>
          </w:p>
          <w:p w:rsidR="00FA7C99" w:rsidRDefault="00FA7C99" w:rsidP="00CF368D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:rsidR="00FA7C99" w:rsidRDefault="00FA7C99" w:rsidP="00CF368D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del campo “Nome e Cognome” e nasconde il messaggio d’errore.</w:t>
            </w:r>
          </w:p>
        </w:tc>
      </w:tr>
      <w:tr w:rsidR="00FA7C99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inserito nel campo “Nome e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Cognome ”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un valore con meno di 3 caratteri</w:t>
            </w:r>
          </w:p>
        </w:tc>
      </w:tr>
      <w:tr w:rsidR="00FA7C99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inserito nel campo “Nome e Cognome” un valore con più di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3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caratteri</w:t>
            </w:r>
          </w:p>
        </w:tc>
      </w:tr>
      <w:tr w:rsidR="00FA7C99" w:rsidTr="00CF368D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FA7C99" w:rsidRDefault="00FA7C99" w:rsidP="00CF368D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FA7C99" w:rsidTr="00CF368D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FA7C99" w:rsidRDefault="00FA7C99" w:rsidP="00FA7C99">
      <w:pPr>
        <w:suppressAutoHyphens w:val="0"/>
        <w:spacing w:after="160" w:line="254" w:lineRule="auto"/>
      </w:pPr>
    </w:p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FA7C99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EX_31</w:t>
            </w:r>
          </w:p>
        </w:tc>
      </w:tr>
      <w:tr w:rsidR="00FA7C99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Errore nella validazione della data</w:t>
            </w:r>
          </w:p>
        </w:tc>
      </w:tr>
      <w:tr w:rsidR="00FA7C99" w:rsidTr="00CF368D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FA7C99" w:rsidTr="00CF368D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Pr="009F5943" w:rsidRDefault="009F5943" w:rsidP="009F5943">
            <w:pPr>
              <w:suppressAutoHyphens w:val="0"/>
              <w:textAlignment w:val="auto"/>
            </w:pPr>
            <w:r>
              <w:t>Da questo momento Data di Scadenza indicherà Data di Scadenza dell’Assicurazione e Data di scadenza del bollo</w:t>
            </w:r>
          </w:p>
          <w:p w:rsidR="00FA7C99" w:rsidRDefault="00FA7C99" w:rsidP="00CF368D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ha inserito una data antecedente a quella odierna</w:t>
            </w:r>
          </w:p>
          <w:p w:rsidR="00FA7C99" w:rsidRDefault="00FA7C99" w:rsidP="00CF368D">
            <w:pPr>
              <w:pStyle w:val="Paragrafoelenco"/>
              <w:numPr>
                <w:ilvl w:val="0"/>
                <w:numId w:val="6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colora di rosso i bordi del campo “Data </w:t>
            </w:r>
            <w:r w:rsidR="009F5943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di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Scadenza” e viene mostrato sopra di esso un messaggio che dice “Data non valida”</w:t>
            </w:r>
          </w:p>
          <w:p w:rsidR="00FA7C99" w:rsidRDefault="00FA7C99" w:rsidP="00CF368D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:rsidR="00FA7C99" w:rsidRDefault="00FA7C99" w:rsidP="00CF368D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imposta il colore di default ai bordi del campo “Data </w:t>
            </w:r>
            <w:r w:rsidR="009F5943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di Scadenza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” e nasconde il messaggio d’errore.</w:t>
            </w:r>
          </w:p>
        </w:tc>
      </w:tr>
      <w:tr w:rsidR="00FA7C99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inserito nel campo “Data </w:t>
            </w:r>
            <w:r w:rsidR="009F5943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di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9F5943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Scadenza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” un valore con una data già passata</w:t>
            </w:r>
          </w:p>
        </w:tc>
      </w:tr>
      <w:tr w:rsidR="00FA7C99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Viene inserito nel campo “</w:t>
            </w:r>
            <w:r w:rsidR="009F5943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Data di Scadenza” un valore con una data già passata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” </w:t>
            </w:r>
            <w:r w:rsidR="009F5943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una data corretta</w:t>
            </w:r>
          </w:p>
        </w:tc>
      </w:tr>
      <w:tr w:rsidR="00FA7C99" w:rsidTr="00CF368D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FA7C99" w:rsidRDefault="00FA7C99" w:rsidP="00CF368D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FA7C99" w:rsidTr="00CF368D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99" w:rsidRDefault="00FA7C99" w:rsidP="00CF368D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9F5943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EX_32</w:t>
            </w:r>
          </w:p>
        </w:tc>
      </w:tr>
      <w:tr w:rsidR="009F5943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876DF9" w:rsidP="00CF368D">
            <w:pPr>
              <w:textAlignment w:val="auto"/>
            </w:pPr>
            <w:r>
              <w:t>La data di scadenza dell’assicurazione non è valida</w:t>
            </w:r>
          </w:p>
        </w:tc>
      </w:tr>
      <w:tr w:rsidR="009F5943" w:rsidTr="00CF368D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9F5943" w:rsidRDefault="009F5943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9F5943" w:rsidTr="00CF368D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9F5943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ha inserito una data</w:t>
            </w:r>
            <w:r w:rsidR="00485E8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di scadenza assicurativa la quale supera i 365 giorni di validità</w:t>
            </w:r>
            <w:r w:rsidR="00874A0A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:rsidR="009F5943" w:rsidRDefault="009F5943" w:rsidP="009F5943">
            <w:pPr>
              <w:pStyle w:val="Paragrafoelenco"/>
              <w:numPr>
                <w:ilvl w:val="0"/>
                <w:numId w:val="10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colora di rosso i bordi del campo “Data di Scadenza” e viene mostrato sopra di esso un messaggio che dice “Data </w:t>
            </w:r>
            <w:r w:rsidR="00485E8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supera il limite degli standard contrattuali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”</w:t>
            </w:r>
          </w:p>
          <w:p w:rsidR="009F5943" w:rsidRDefault="009F5943" w:rsidP="009F5943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:rsidR="009F5943" w:rsidRDefault="009F5943" w:rsidP="009F5943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del campo “Data di Scadenza” e nasconde il messaggio d’errore.</w:t>
            </w:r>
          </w:p>
        </w:tc>
      </w:tr>
      <w:tr w:rsidR="009F5943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inserito nel campo “Data di Scadenza” un valore con una data </w:t>
            </w:r>
            <w:r w:rsidR="00485E8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superiore ad un anno</w:t>
            </w:r>
          </w:p>
        </w:tc>
      </w:tr>
      <w:tr w:rsidR="009F5943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inserito nel campo “Data di Scadenza” un valore </w:t>
            </w:r>
            <w:r w:rsidR="00485E8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</w:t>
            </w:r>
            <w:r w:rsidR="00874A0A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on una data non maggiore di un anno</w:t>
            </w:r>
          </w:p>
        </w:tc>
      </w:tr>
      <w:tr w:rsidR="009F5943" w:rsidTr="00CF368D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9F5943" w:rsidRDefault="009F5943" w:rsidP="00CF368D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9F5943" w:rsidTr="00CF368D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5943" w:rsidRDefault="009F5943" w:rsidP="00CF368D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9F5943" w:rsidRDefault="009F5943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p w:rsidR="00874A0A" w:rsidRDefault="00874A0A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74A0A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EX_3</w:t>
            </w:r>
            <w:r w:rsidR="00436F6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74A0A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436F64" w:rsidP="00CF368D">
            <w:pPr>
              <w:textAlignment w:val="auto"/>
            </w:pPr>
            <w:r>
              <w:t>La data di scadenza Bollo non è valida</w:t>
            </w:r>
          </w:p>
        </w:tc>
      </w:tr>
      <w:tr w:rsidR="00874A0A" w:rsidTr="00CF368D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74A0A" w:rsidRDefault="00874A0A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874A0A" w:rsidTr="00CF368D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874A0A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ha inserito una data di scadenza </w:t>
            </w:r>
            <w:r w:rsidR="00436F6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bollo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quale supera </w:t>
            </w:r>
            <w:r w:rsidR="00826D8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 anno dalla data di immatricolazione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:rsidR="00874A0A" w:rsidRDefault="00874A0A" w:rsidP="00874A0A">
            <w:pPr>
              <w:pStyle w:val="Paragrafoelenco"/>
              <w:numPr>
                <w:ilvl w:val="0"/>
                <w:numId w:val="11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del campo “Data di Scadenza” e viene mostrato sopra di esso un messaggio che dice “</w:t>
            </w:r>
            <w:r w:rsidR="00826D8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Data supera</w:t>
            </w:r>
            <w:r w:rsidR="00826D8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i limiti di scadenza cioè 365 </w:t>
            </w:r>
            <w:proofErr w:type="gramStart"/>
            <w:r w:rsidR="00826D8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giorni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”</w:t>
            </w:r>
            <w:proofErr w:type="gramEnd"/>
          </w:p>
          <w:p w:rsidR="00874A0A" w:rsidRDefault="00874A0A" w:rsidP="00874A0A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:rsidR="00874A0A" w:rsidRDefault="00874A0A" w:rsidP="00874A0A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del campo “Data di Scadenza” e nasconde il messaggio d’errore.</w:t>
            </w:r>
          </w:p>
        </w:tc>
      </w:tr>
      <w:tr w:rsidR="00874A0A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Viene inserito nel campo “Data di Scadenza” un valore con una data superiore ad un anno</w:t>
            </w:r>
            <w:r w:rsidR="00826D8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dalla data di immatricolazione. </w:t>
            </w:r>
          </w:p>
        </w:tc>
      </w:tr>
      <w:tr w:rsidR="00874A0A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Viene inserito nel campo “Data di Scadenza” un valore con una da</w:t>
            </w:r>
            <w:r w:rsidR="00826D8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ta che è compresa nell’intervallo previsto </w:t>
            </w:r>
          </w:p>
        </w:tc>
      </w:tr>
      <w:tr w:rsidR="00874A0A" w:rsidTr="00CF368D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74A0A" w:rsidRDefault="00874A0A" w:rsidP="00CF368D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74A0A" w:rsidTr="00CF368D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A0A" w:rsidRDefault="00874A0A" w:rsidP="00CF368D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9F5943" w:rsidRDefault="009F5943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p w:rsidR="0091485F" w:rsidRDefault="0091485F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91485F" w:rsidTr="00702E83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EX_3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 w:rsidR="0091485F" w:rsidTr="00702E83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textAlignment w:val="auto"/>
            </w:pPr>
            <w:r>
              <w:t xml:space="preserve">La data </w:t>
            </w:r>
            <w:r>
              <w:t>della Revisione non è valida</w:t>
            </w:r>
          </w:p>
        </w:tc>
      </w:tr>
      <w:tr w:rsidR="0091485F" w:rsidTr="00702E8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91485F" w:rsidRDefault="0091485F" w:rsidP="00702E83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oppure Officina</w:t>
            </w:r>
          </w:p>
        </w:tc>
      </w:tr>
      <w:tr w:rsidR="0091485F" w:rsidTr="00702E83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91485F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ha inserito una </w:t>
            </w:r>
            <w:r w:rsidR="00DB5426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ata di </w:t>
            </w:r>
            <w:r w:rsidR="00DB5426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cadenza</w:t>
            </w:r>
            <w:r w:rsidR="00187273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Revisione </w:t>
            </w:r>
            <w:r w:rsidR="005F2E5D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quale non rispetta gli intervalli definiti dall’anno di </w:t>
            </w:r>
            <w:proofErr w:type="spellStart"/>
            <w:r w:rsidR="005F2E5D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imatricolazione</w:t>
            </w:r>
            <w:proofErr w:type="spellEnd"/>
            <w:r w:rsidR="005F2E5D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di 4 anni per i nuovi veicoli e 2 anni per i veicoli vecchi di almeno 4 anni </w:t>
            </w:r>
          </w:p>
          <w:p w:rsidR="0091485F" w:rsidRDefault="0091485F" w:rsidP="0091485F">
            <w:pPr>
              <w:pStyle w:val="Paragrafoelenco"/>
              <w:numPr>
                <w:ilvl w:val="0"/>
                <w:numId w:val="12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del campo “Data di Scadenza” e viene mostrato sopra di esso un messaggio che dice “</w:t>
            </w:r>
            <w:r w:rsidR="005F2E5D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L’intervallo di tempo consentito è di 4 o 2 anni a partire dalla data di </w:t>
            </w:r>
            <w:proofErr w:type="gramStart"/>
            <w:r w:rsidR="005F2E5D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immatricolazione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”</w:t>
            </w:r>
            <w:proofErr w:type="gramEnd"/>
          </w:p>
          <w:p w:rsidR="0091485F" w:rsidRDefault="0091485F" w:rsidP="0091485F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:rsidR="0091485F" w:rsidRDefault="0091485F" w:rsidP="0091485F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del campo “Data di Scadenza</w:t>
            </w:r>
            <w:r w:rsidR="00DB5426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Revisione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” e nasconde il messaggio d’errore.</w:t>
            </w:r>
          </w:p>
        </w:tc>
      </w:tr>
      <w:tr w:rsidR="0091485F" w:rsidTr="00702E8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Viene inserito nel campo “Data di Scadenza</w:t>
            </w:r>
            <w:r w:rsidR="00DB5426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Revisione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” un valore con una data</w:t>
            </w:r>
            <w:r w:rsidR="00DB5426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non compresa tra 4 o 2 anni a partire dall’anno di matricolazione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. </w:t>
            </w:r>
          </w:p>
        </w:tc>
      </w:tr>
      <w:tr w:rsidR="0091485F" w:rsidTr="00702E8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DB5426" w:rsidP="00702E83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Viene inserito nel campo “Data di Scadenza Revisione” un valore con una data compresa tra 4 o 2 anni a partire dall’anno di matricolazione.</w:t>
            </w:r>
          </w:p>
        </w:tc>
      </w:tr>
      <w:tr w:rsidR="0091485F" w:rsidTr="00702E83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91485F" w:rsidRDefault="0091485F" w:rsidP="00702E83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bookmarkStart w:id="0" w:name="_GoBack"/>
            <w:bookmarkEnd w:id="0"/>
          </w:p>
        </w:tc>
      </w:tr>
      <w:tr w:rsidR="0091485F" w:rsidTr="00702E83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5F" w:rsidRDefault="0091485F" w:rsidP="00702E83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9F5943" w:rsidRDefault="009F5943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E62241" w:rsidRDefault="00E62241"/>
    <w:p w:rsidR="00837C20" w:rsidRDefault="00837C20"/>
    <w:sectPr w:rsidR="00837C20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7CC" w:rsidRDefault="009077CC">
      <w:r>
        <w:separator/>
      </w:r>
    </w:p>
  </w:endnote>
  <w:endnote w:type="continuationSeparator" w:id="0">
    <w:p w:rsidR="009077CC" w:rsidRDefault="0090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7CC" w:rsidRDefault="009077CC">
      <w:r>
        <w:rPr>
          <w:color w:val="000000"/>
        </w:rPr>
        <w:separator/>
      </w:r>
    </w:p>
  </w:footnote>
  <w:footnote w:type="continuationSeparator" w:id="0">
    <w:p w:rsidR="009077CC" w:rsidRDefault="00907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1CE7"/>
    <w:multiLevelType w:val="multilevel"/>
    <w:tmpl w:val="11EE2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4F7F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4908"/>
    <w:multiLevelType w:val="multilevel"/>
    <w:tmpl w:val="FF34F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69B5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37FCE"/>
    <w:multiLevelType w:val="multilevel"/>
    <w:tmpl w:val="A002DE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25C6A16"/>
    <w:multiLevelType w:val="multilevel"/>
    <w:tmpl w:val="4D52A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B5AC4"/>
    <w:multiLevelType w:val="multilevel"/>
    <w:tmpl w:val="B296C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815A9"/>
    <w:multiLevelType w:val="hybridMultilevel"/>
    <w:tmpl w:val="761CA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84F9D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576CD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A1519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D09E7"/>
    <w:multiLevelType w:val="hybridMultilevel"/>
    <w:tmpl w:val="45B8F6B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C20"/>
    <w:rsid w:val="00187273"/>
    <w:rsid w:val="001D5A26"/>
    <w:rsid w:val="00263A5F"/>
    <w:rsid w:val="00436F64"/>
    <w:rsid w:val="00485E84"/>
    <w:rsid w:val="0058680F"/>
    <w:rsid w:val="005F2E5D"/>
    <w:rsid w:val="00826D87"/>
    <w:rsid w:val="00837C20"/>
    <w:rsid w:val="00874A0A"/>
    <w:rsid w:val="00876DF9"/>
    <w:rsid w:val="009077CC"/>
    <w:rsid w:val="0091485F"/>
    <w:rsid w:val="009F5943"/>
    <w:rsid w:val="00DB5426"/>
    <w:rsid w:val="00E62241"/>
    <w:rsid w:val="00FA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1D09"/>
  <w15:docId w15:val="{7C14965B-6DAE-491F-9F0B-BC06217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Carpredefinitoparagrafo1">
    <w:name w:val="Car. predefinito paragrafo1"/>
  </w:style>
  <w:style w:type="paragraph" w:customStyle="1" w:styleId="Paragrafoelenco1">
    <w:name w:val="Paragrafo elenco1"/>
    <w:basedOn w:val="Normale1"/>
    <w:pPr>
      <w:ind w:left="720"/>
    </w:pPr>
  </w:style>
  <w:style w:type="paragraph" w:styleId="Paragrafoelenco">
    <w:name w:val="List Paragraph"/>
    <w:basedOn w:val="Normal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7FFFE-CB62-442E-9A8E-4BC92413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DD</dc:creator>
  <dc:description/>
  <cp:lastModifiedBy>AA DD</cp:lastModifiedBy>
  <cp:revision>4</cp:revision>
  <dcterms:created xsi:type="dcterms:W3CDTF">2018-11-12T19:58:00Z</dcterms:created>
  <dcterms:modified xsi:type="dcterms:W3CDTF">2018-11-13T12:09:00Z</dcterms:modified>
</cp:coreProperties>
</file>